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28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8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FALTISCHEK DENISE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TILRAY BRANDS, INC. 265 TALBOT STREET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Tilray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TLRY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LEAMINGTON  A6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N8H 4H3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0.58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874,564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0.58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824,782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46,964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93,928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PSUs")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-2254250</wp:posOffset>
            </wp:positionV>
            <wp:extent cx="28575" cy="2259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5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26, 2022, the reporting person was granted 187,853 of 2022 PSUs, with vesting subject to the achievement of certain pre-established performance parameters relating to the aggregate EBITDA generated from the HEXO transaction. The underlying performance condition was satisfied, and 46,964 units vested on July 31,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shares of Common Stock beneficially owned by the reporting person but excludes other unvested RSUs.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the tax withholding obligation associated with the vesting of 46,964 of 2022 PSUs previously granted on June 26,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(1) share of Tilray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Denise M. Faltischek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08/04/2025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7590" TargetMode="External"/><Relationship Id="rId14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2025-08-04T15:15:31Z</dcterms:created>
  <dcterms:modified xsi:type="dcterms:W3CDTF">2025-08-04T15:15:31Z</dcterms:modified>
</cp:coreProperties>
</file>