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840" w:type="dxa"/>
            <w:vAlign w:val="bottom"/>
          </w:tcPr>
          <w:p>
            <w:pPr>
              <w:spacing w:after="0"/>
              <w:rPr>
                <w:sz w:val="24"/>
                <w:szCs w:val="24"/>
                <w:color w:val="auto"/>
              </w:rPr>
            </w:pPr>
          </w:p>
        </w:tc>
        <w:tc>
          <w:tcPr>
            <w:tcW w:w="33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2600" w:type="dxa"/>
            <w:vAlign w:val="bottom"/>
          </w:tcPr>
          <w:p>
            <w:pPr>
              <w:spacing w:after="0"/>
              <w:rPr>
                <w:sz w:val="24"/>
                <w:szCs w:val="24"/>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Tilray Brands, Inc. (the “Company”) has entered into a private debt-for-equity exchange transaction (the “Exchange Transaction”) with an unrelated party. Pursuant to the Exchange Transaction, the Company issued 12,591,816 shares of the Company’s common stock, par value $0.0001 per share (“Common Stock”), in exchange for $5 million principal amount of the Company’s 5.20% Convertible Senior Notes due June 1, 2027.</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the Exchange Transaction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480" w:top="576" w:right="7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2025-06-23T15:17:12Z</dcterms:created>
  <dcterms:modified xsi:type="dcterms:W3CDTF">2025-06-23T15:17:12Z</dcterms:modified>
</cp:coreProperties>
</file>