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olor w:val="000000"/>
        </w:rPr>
      </w:pPr>
      <w:bookmarkStart w:id="0" w:name="ef20078907_s8.htm"/>
      <w:bookmarkStart w:id="1" w:name="ksef20078907_s8"/>
      <w:bookmarkEnd w:id="0"/>
      <w:bookmarkEnd w:id="1"/>
      <w:r>
        <w:rPr>
          <w:b/>
          <w:color w:val="000000"/>
        </w:rPr>
        <w:t>As filed with the Securities and Exchange Commission on July 31, 2026</w:t>
      </w:r>
      <w:r>
        <w:rPr>
          <w:color w:val="000000"/>
        </w:rPr>
        <w:t xml:space="preserve"> </w:t>
      </w:r>
    </w:p>
    <w:p>
      <w:pPr>
        <w:pStyle w:val="TextBody"/>
        <w:bidi w:val="0"/>
        <w:spacing w:before="0" w:after="0"/>
        <w:jc w:val="right"/>
        <w:rPr>
          <w:color w:val="000000"/>
        </w:rPr>
      </w:pPr>
      <w:r>
        <w:rPr>
          <w:b/>
          <w:color w:val="000000"/>
        </w:rPr>
        <w:t>Registration Statement No. 333-</w:t>
      </w:r>
      <w:r>
        <w:rPr>
          <w:color w:val="00000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color w:val="000000"/>
          <w:sz w:val="28"/>
        </w:rPr>
      </w:pPr>
      <w:r>
        <w:rPr>
          <w:b/>
          <w:color w:val="000000"/>
          <w:sz w:val="28"/>
        </w:rPr>
        <w:t>UNITED STATES</w:t>
      </w:r>
      <w:r>
        <w:rPr>
          <w:color w:val="000000"/>
          <w:sz w:val="28"/>
        </w:rPr>
        <w:t xml:space="preserve"> </w:t>
      </w:r>
    </w:p>
    <w:p>
      <w:pPr>
        <w:pStyle w:val="TextBody"/>
        <w:bidi w:val="0"/>
        <w:spacing w:before="0" w:after="0"/>
        <w:jc w:val="center"/>
        <w:rPr>
          <w:color w:val="000000"/>
          <w:sz w:val="28"/>
        </w:rPr>
      </w:pPr>
      <w:r>
        <w:rPr>
          <w:b/>
          <w:color w:val="000000"/>
          <w:sz w:val="28"/>
        </w:rPr>
        <w:t>SECURITIES AND EXCHANGE COMMISSION</w:t>
      </w:r>
      <w:r>
        <w:rPr>
          <w:color w:val="000000"/>
          <w:sz w:val="28"/>
        </w:rPr>
        <w:t xml:space="preserve"> </w:t>
      </w:r>
    </w:p>
    <w:p>
      <w:pPr>
        <w:pStyle w:val="TextBody"/>
        <w:bidi w:val="0"/>
        <w:spacing w:before="0" w:after="0"/>
        <w:jc w:val="center"/>
        <w:rPr>
          <w:color w:val="000000"/>
          <w:sz w:val="24"/>
        </w:rPr>
      </w:pPr>
      <w:r>
        <w:rPr>
          <w:b/>
          <w:color w:val="000000"/>
          <w:sz w:val="24"/>
        </w:rPr>
        <w:t>Washington, D.C. 20549</w:t>
      </w:r>
      <w:r>
        <w:rPr>
          <w:color w:val="000000"/>
          <w:sz w:val="24"/>
        </w:rPr>
        <w:t xml:space="preserve"> </w:t>
      </w:r>
    </w:p>
    <w:p>
      <w:pPr>
        <w:pStyle w:val="TextBody"/>
        <w:bidi w:val="0"/>
        <w:spacing w:before="0" w:after="0"/>
        <w:jc w:val="center"/>
        <w:rPr>
          <w:color w:val="000000"/>
        </w:rPr>
      </w:pPr>
      <w:r>
        <w:rPr>
          <w:color w:val="00000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color w:val="000000"/>
          <w:sz w:val="36"/>
        </w:rPr>
      </w:pPr>
      <w:r>
        <w:rPr>
          <w:b/>
          <w:color w:val="000000"/>
          <w:sz w:val="36"/>
        </w:rPr>
        <w:t>FORM S-8</w:t>
      </w:r>
      <w:r>
        <w:rPr>
          <w:color w:val="000000"/>
          <w:sz w:val="36"/>
        </w:rPr>
        <w:t xml:space="preserve"> </w:t>
      </w:r>
    </w:p>
    <w:p>
      <w:pPr>
        <w:pStyle w:val="TextBody"/>
        <w:bidi w:val="0"/>
        <w:spacing w:before="0" w:after="0"/>
        <w:jc w:val="center"/>
        <w:rPr>
          <w:color w:val="000000"/>
        </w:rPr>
      </w:pPr>
      <w:r>
        <w:rPr>
          <w:color w:val="000000"/>
        </w:rPr>
        <w:t xml:space="preserve">  </w:t>
      </w:r>
    </w:p>
    <w:p>
      <w:pPr>
        <w:pStyle w:val="TextBody"/>
        <w:bidi w:val="0"/>
        <w:spacing w:before="0" w:after="0"/>
        <w:jc w:val="center"/>
        <w:rPr>
          <w:color w:val="000000"/>
        </w:rPr>
      </w:pPr>
      <w:r>
        <w:rPr>
          <w:b/>
          <w:color w:val="000000"/>
        </w:rPr>
        <w:t>REGISTRATION STATEMENT</w:t>
      </w:r>
      <w:r>
        <w:rPr>
          <w:color w:val="000000"/>
        </w:rPr>
        <w:t xml:space="preserve"> </w:t>
      </w:r>
    </w:p>
    <w:p>
      <w:pPr>
        <w:pStyle w:val="TextBody"/>
        <w:bidi w:val="0"/>
        <w:spacing w:before="0" w:after="0"/>
        <w:jc w:val="center"/>
        <w:rPr>
          <w:color w:val="000000"/>
        </w:rPr>
      </w:pPr>
      <w:r>
        <w:rPr>
          <w:b/>
          <w:i/>
          <w:color w:val="000000"/>
        </w:rPr>
        <w:t>Under</w:t>
      </w:r>
      <w:r>
        <w:rPr>
          <w:color w:val="000000"/>
        </w:rPr>
        <w:t xml:space="preserve"> </w:t>
      </w:r>
    </w:p>
    <w:p>
      <w:pPr>
        <w:pStyle w:val="TextBody"/>
        <w:bidi w:val="0"/>
        <w:spacing w:before="0" w:after="0"/>
        <w:jc w:val="center"/>
        <w:rPr>
          <w:color w:val="000000"/>
        </w:rPr>
      </w:pPr>
      <w:r>
        <w:rPr>
          <w:b/>
          <w:i/>
          <w:color w:val="000000"/>
        </w:rPr>
        <w:t>THE SECURITIES ACT OF 1933</w:t>
      </w:r>
      <w:r>
        <w:rPr>
          <w:color w:val="000000"/>
        </w:rPr>
        <w:t xml:space="preserve"> </w:t>
      </w:r>
    </w:p>
    <w:p>
      <w:pPr>
        <w:pStyle w:val="TextBody"/>
        <w:bidi w:val="0"/>
        <w:spacing w:before="0" w:after="0"/>
        <w:jc w:val="center"/>
        <w:rPr>
          <w:color w:val="000000"/>
        </w:rPr>
      </w:pPr>
      <w:r>
        <w:rPr>
          <w:color w:val="00000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color w:val="000000"/>
          <w:sz w:val="48"/>
        </w:rPr>
      </w:pPr>
      <w:r>
        <w:rPr>
          <w:b/>
          <w:color w:val="000000"/>
          <w:sz w:val="48"/>
        </w:rPr>
        <w:t>Tilray Brands, Inc.</w:t>
      </w:r>
      <w:r>
        <w:rPr>
          <w:color w:val="000000"/>
          <w:sz w:val="48"/>
        </w:rPr>
        <w:t xml:space="preserve"> </w:t>
      </w:r>
    </w:p>
    <w:p>
      <w:pPr>
        <w:pStyle w:val="TextBody"/>
        <w:bidi w:val="0"/>
        <w:spacing w:before="0" w:after="0"/>
        <w:jc w:val="center"/>
        <w:rPr>
          <w:color w:val="000000"/>
        </w:rPr>
      </w:pPr>
      <w:r>
        <w:rPr>
          <w:b/>
          <w:color w:val="000000"/>
        </w:rPr>
        <w:t>(Exact name of registrant as specified in its charter)</w:t>
      </w:r>
      <w:r>
        <w:rPr>
          <w:color w:val="000000"/>
        </w:rPr>
        <w:t xml:space="preserve"> </w:t>
      </w:r>
    </w:p>
    <w:p>
      <w:pPr>
        <w:pStyle w:val="TextBody"/>
        <w:bidi w:val="0"/>
        <w:spacing w:before="0" w:after="0"/>
        <w:jc w:val="center"/>
        <w:rPr>
          <w:color w:val="000000"/>
        </w:rPr>
      </w:pPr>
      <w:r>
        <w:rPr>
          <w:color w:val="000000"/>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6235"/>
        <w:gridCol w:w="146"/>
        <w:gridCol w:w="3824"/>
      </w:tblGrid>
      <w:tr>
        <w:trPr/>
        <w:tc>
          <w:tcPr>
            <w:tcW w:w="62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4" w:type="dxa"/>
            <w:tcBorders/>
            <w:vAlign w:val="center"/>
          </w:tcPr>
          <w:p>
            <w:pPr>
              <w:pStyle w:val="TableContents"/>
              <w:bidi w:val="0"/>
              <w:spacing w:before="0" w:after="283"/>
              <w:jc w:val="left"/>
              <w:rPr/>
            </w:pPr>
            <w:r>
              <w:rPr/>
              <w:t> </w:t>
            </w:r>
          </w:p>
        </w:tc>
      </w:tr>
      <w:tr>
        <w:trPr/>
        <w:tc>
          <w:tcPr>
            <w:tcW w:w="6235" w:type="dxa"/>
            <w:tcBorders/>
            <w:tcMar>
              <w:top w:w="0" w:type="dxa"/>
              <w:left w:w="0" w:type="dxa"/>
              <w:bottom w:w="0" w:type="dxa"/>
              <w:right w:w="0" w:type="dxa"/>
            </w:tcMar>
            <w:vAlign w:val="center"/>
          </w:tcPr>
          <w:p>
            <w:pPr>
              <w:pStyle w:val="TableContents"/>
              <w:bidi w:val="0"/>
              <w:spacing w:before="0" w:after="283"/>
              <w:jc w:val="center"/>
              <w:rPr/>
            </w:pPr>
            <w:r>
              <w:rPr>
                <w:b/>
              </w:rPr>
              <w:t>Delaware</w:t>
            </w:r>
            <w:r>
              <w:rPr/>
              <w:t xml:space="preserve"> </w:t>
            </w:r>
          </w:p>
        </w:tc>
        <w:tc>
          <w:tcPr>
            <w:tcW w:w="146" w:type="dxa"/>
            <w:tcBorders/>
            <w:vAlign w:val="center"/>
          </w:tcPr>
          <w:p>
            <w:pPr>
              <w:pStyle w:val="TableContents"/>
              <w:bidi w:val="0"/>
              <w:spacing w:before="0" w:after="283"/>
              <w:jc w:val="center"/>
              <w:rPr/>
            </w:pPr>
            <w:r>
              <w:rPr/>
              <w:t> </w:t>
            </w:r>
          </w:p>
        </w:tc>
        <w:tc>
          <w:tcPr>
            <w:tcW w:w="3824" w:type="dxa"/>
            <w:tcBorders/>
            <w:tcMar>
              <w:top w:w="0" w:type="dxa"/>
              <w:left w:w="0" w:type="dxa"/>
              <w:bottom w:w="0" w:type="dxa"/>
              <w:right w:w="0" w:type="dxa"/>
            </w:tcMar>
            <w:vAlign w:val="center"/>
          </w:tcPr>
          <w:p>
            <w:pPr>
              <w:pStyle w:val="TableContents"/>
              <w:bidi w:val="0"/>
              <w:spacing w:before="0" w:after="283"/>
              <w:jc w:val="center"/>
              <w:rPr/>
            </w:pPr>
            <w:r>
              <w:rPr>
                <w:b/>
              </w:rPr>
              <w:t>82-4310622</w:t>
            </w:r>
            <w:r>
              <w:rPr/>
              <w:t xml:space="preserve"> </w:t>
            </w:r>
          </w:p>
        </w:tc>
      </w:tr>
      <w:tr>
        <w:trPr/>
        <w:tc>
          <w:tcPr>
            <w:tcW w:w="6235" w:type="dxa"/>
            <w:tcBorders/>
            <w:tcMar>
              <w:top w:w="0" w:type="dxa"/>
              <w:left w:w="0" w:type="dxa"/>
              <w:bottom w:w="0" w:type="dxa"/>
              <w:right w:w="0" w:type="dxa"/>
            </w:tcMar>
            <w:vAlign w:val="center"/>
          </w:tcPr>
          <w:p>
            <w:pPr>
              <w:pStyle w:val="TableContents"/>
              <w:bidi w:val="0"/>
              <w:spacing w:before="0" w:after="283"/>
              <w:jc w:val="center"/>
              <w:rPr/>
            </w:pPr>
            <w:r>
              <w:rPr>
                <w:b/>
              </w:rPr>
              <w:t>(State or other jurisdiction of incorporation or organization)</w:t>
            </w:r>
            <w:r>
              <w:rPr/>
              <w:t xml:space="preserve"> </w:t>
            </w:r>
          </w:p>
        </w:tc>
        <w:tc>
          <w:tcPr>
            <w:tcW w:w="146" w:type="dxa"/>
            <w:tcBorders/>
            <w:vAlign w:val="center"/>
          </w:tcPr>
          <w:p>
            <w:pPr>
              <w:pStyle w:val="TableContents"/>
              <w:bidi w:val="0"/>
              <w:spacing w:before="0" w:after="283"/>
              <w:jc w:val="center"/>
              <w:rPr/>
            </w:pPr>
            <w:r>
              <w:rPr/>
              <w:t> </w:t>
            </w:r>
          </w:p>
        </w:tc>
        <w:tc>
          <w:tcPr>
            <w:tcW w:w="3824" w:type="dxa"/>
            <w:tcBorders/>
            <w:tcMar>
              <w:top w:w="0" w:type="dxa"/>
              <w:left w:w="0" w:type="dxa"/>
              <w:bottom w:w="0" w:type="dxa"/>
              <w:right w:w="0" w:type="dxa"/>
            </w:tcMar>
            <w:vAlign w:val="center"/>
          </w:tcPr>
          <w:p>
            <w:pPr>
              <w:pStyle w:val="TableContents"/>
              <w:bidi w:val="0"/>
              <w:spacing w:before="0" w:after="283"/>
              <w:jc w:val="center"/>
              <w:rPr/>
            </w:pPr>
            <w:r>
              <w:rPr>
                <w:b/>
              </w:rPr>
              <w:t>(I.R.S. Employer Identification No.)</w:t>
            </w:r>
            <w:r>
              <w:rPr/>
              <w:t xml:space="preserve"> </w:t>
            </w:r>
          </w:p>
        </w:tc>
      </w:tr>
    </w:tbl>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b/>
          <w:color w:val="000000"/>
        </w:rPr>
        <w:t>265 Talbot Street West, Leamington, Ontario, Canada N8H 4H3</w:t>
      </w:r>
      <w:r>
        <w:rPr>
          <w:color w:val="000000"/>
        </w:rPr>
        <w:t xml:space="preserve"> </w:t>
      </w:r>
    </w:p>
    <w:p>
      <w:pPr>
        <w:pStyle w:val="TextBody"/>
        <w:bidi w:val="0"/>
        <w:spacing w:before="0" w:after="0"/>
        <w:jc w:val="center"/>
        <w:rPr>
          <w:color w:val="000000"/>
        </w:rPr>
      </w:pPr>
      <w:r>
        <w:rPr>
          <w:b/>
          <w:color w:val="000000"/>
        </w:rPr>
        <w:t>(Address of principal executive offices)</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b/>
          <w:color w:val="000000"/>
        </w:rPr>
        <w:t>Tilray, Inc. Amended and Restated 2018 Equity Incentive Plan</w:t>
      </w:r>
      <w:r>
        <w:rPr>
          <w:color w:val="000000"/>
        </w:rPr>
        <w:t xml:space="preserve"> </w:t>
      </w:r>
    </w:p>
    <w:p>
      <w:pPr>
        <w:pStyle w:val="TextBody"/>
        <w:bidi w:val="0"/>
        <w:spacing w:before="0" w:after="0"/>
        <w:jc w:val="center"/>
        <w:rPr>
          <w:color w:val="000000"/>
        </w:rPr>
      </w:pPr>
      <w:r>
        <w:rPr>
          <w:b/>
          <w:color w:val="000000"/>
        </w:rPr>
        <w:t>(Full title of the plan)</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b/>
          <w:color w:val="000000"/>
        </w:rPr>
        <w:t>Irwin D. Simon</w:t>
      </w:r>
      <w:r>
        <w:rPr>
          <w:color w:val="000000"/>
        </w:rPr>
        <w:t xml:space="preserve"> </w:t>
      </w:r>
    </w:p>
    <w:p>
      <w:pPr>
        <w:pStyle w:val="TextBody"/>
        <w:bidi w:val="0"/>
        <w:spacing w:before="0" w:after="0"/>
        <w:jc w:val="center"/>
        <w:rPr>
          <w:color w:val="000000"/>
        </w:rPr>
      </w:pPr>
      <w:r>
        <w:rPr>
          <w:b/>
          <w:color w:val="000000"/>
        </w:rPr>
        <w:t>Chief Executive Officer</w:t>
      </w:r>
      <w:r>
        <w:rPr>
          <w:color w:val="000000"/>
        </w:rPr>
        <w:t xml:space="preserve"> </w:t>
      </w:r>
    </w:p>
    <w:p>
      <w:pPr>
        <w:pStyle w:val="TextBody"/>
        <w:bidi w:val="0"/>
        <w:spacing w:before="0" w:after="0"/>
        <w:jc w:val="center"/>
        <w:rPr>
          <w:color w:val="000000"/>
        </w:rPr>
      </w:pPr>
      <w:r>
        <w:rPr>
          <w:b/>
          <w:color w:val="000000"/>
        </w:rPr>
        <w:t>265 Talbot Street West</w:t>
      </w:r>
      <w:r>
        <w:rPr>
          <w:color w:val="000000"/>
        </w:rPr>
        <w:t xml:space="preserve"> </w:t>
      </w:r>
    </w:p>
    <w:p>
      <w:pPr>
        <w:pStyle w:val="TextBody"/>
        <w:bidi w:val="0"/>
        <w:spacing w:before="0" w:after="0"/>
        <w:jc w:val="center"/>
        <w:rPr>
          <w:color w:val="000000"/>
        </w:rPr>
      </w:pPr>
      <w:r>
        <w:rPr>
          <w:b/>
          <w:color w:val="000000"/>
        </w:rPr>
        <w:t>Leamington, Ontario, Canada</w:t>
      </w:r>
      <w:r>
        <w:rPr>
          <w:color w:val="000000"/>
        </w:rPr>
        <w:t xml:space="preserve"> </w:t>
      </w:r>
    </w:p>
    <w:p>
      <w:pPr>
        <w:pStyle w:val="TextBody"/>
        <w:bidi w:val="0"/>
        <w:spacing w:before="0" w:after="0"/>
        <w:jc w:val="center"/>
        <w:rPr>
          <w:color w:val="000000"/>
        </w:rPr>
      </w:pPr>
      <w:r>
        <w:rPr>
          <w:b/>
          <w:color w:val="000000"/>
        </w:rPr>
        <w:t>(844) 845-7291</w:t>
      </w:r>
      <w:r>
        <w:rPr>
          <w:color w:val="000000"/>
        </w:rPr>
        <w:t xml:space="preserve"> </w:t>
      </w:r>
    </w:p>
    <w:p>
      <w:pPr>
        <w:pStyle w:val="TextBody"/>
        <w:bidi w:val="0"/>
        <w:spacing w:before="0" w:after="0"/>
        <w:jc w:val="center"/>
        <w:rPr>
          <w:color w:val="000000"/>
        </w:rPr>
      </w:pPr>
      <w:r>
        <w:rPr>
          <w:b/>
          <w:color w:val="000000"/>
        </w:rPr>
        <w:t>(Name and address of agent for service) (Telephone number, including area code, of agent for service)</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color w:val="000000"/>
        </w:rPr>
        <w:t xml:space="preserve">Copies to: </w:t>
      </w:r>
    </w:p>
    <w:p>
      <w:pPr>
        <w:pStyle w:val="TextBody"/>
        <w:bidi w:val="0"/>
        <w:spacing w:before="0" w:after="0"/>
        <w:jc w:val="center"/>
        <w:rPr>
          <w:color w:val="000000"/>
        </w:rPr>
      </w:pPr>
      <w:r>
        <w:rPr>
          <w:b/>
          <w:color w:val="000000"/>
        </w:rPr>
        <w:t>Christopher P. Giordano, Esq.</w:t>
      </w:r>
      <w:r>
        <w:rPr>
          <w:color w:val="000000"/>
        </w:rPr>
        <w:t xml:space="preserve"> </w:t>
      </w:r>
    </w:p>
    <w:p>
      <w:pPr>
        <w:pStyle w:val="TextBody"/>
        <w:bidi w:val="0"/>
        <w:spacing w:before="0" w:after="0"/>
        <w:jc w:val="center"/>
        <w:rPr>
          <w:color w:val="000000"/>
        </w:rPr>
      </w:pPr>
      <w:r>
        <w:rPr>
          <w:b/>
          <w:color w:val="000000"/>
        </w:rPr>
        <w:t>Penny Minna, Esq.</w:t>
      </w:r>
      <w:r>
        <w:rPr>
          <w:color w:val="000000"/>
        </w:rPr>
        <w:t xml:space="preserve"> </w:t>
      </w:r>
    </w:p>
    <w:p>
      <w:pPr>
        <w:pStyle w:val="TextBody"/>
        <w:bidi w:val="0"/>
        <w:spacing w:before="0" w:after="0"/>
        <w:jc w:val="center"/>
        <w:rPr>
          <w:color w:val="000000"/>
        </w:rPr>
      </w:pPr>
      <w:r>
        <w:rPr>
          <w:b/>
          <w:color w:val="000000"/>
        </w:rPr>
        <w:t>DLA Piper LLP (US)</w:t>
      </w:r>
      <w:r>
        <w:rPr>
          <w:color w:val="000000"/>
        </w:rPr>
        <w:t xml:space="preserve"> </w:t>
      </w:r>
    </w:p>
    <w:p>
      <w:pPr>
        <w:pStyle w:val="TextBody"/>
        <w:bidi w:val="0"/>
        <w:spacing w:before="0" w:after="0"/>
        <w:jc w:val="center"/>
        <w:rPr>
          <w:color w:val="000000"/>
        </w:rPr>
      </w:pPr>
      <w:r>
        <w:rPr>
          <w:b/>
          <w:color w:val="000000"/>
        </w:rPr>
        <w:t>1251 Avenue of the Americas</w:t>
      </w:r>
      <w:r>
        <w:rPr>
          <w:color w:val="000000"/>
        </w:rPr>
        <w:t xml:space="preserve"> </w:t>
      </w:r>
    </w:p>
    <w:p>
      <w:pPr>
        <w:pStyle w:val="TextBody"/>
        <w:bidi w:val="0"/>
        <w:spacing w:before="0" w:after="0"/>
        <w:jc w:val="center"/>
        <w:rPr>
          <w:color w:val="000000"/>
        </w:rPr>
      </w:pPr>
      <w:r>
        <w:rPr>
          <w:b/>
          <w:color w:val="000000"/>
        </w:rPr>
        <w:t>New York, NY 10020</w:t>
      </w:r>
      <w:r>
        <w:rPr>
          <w:color w:val="000000"/>
        </w:rPr>
        <w:t xml:space="preserve"> </w:t>
      </w:r>
    </w:p>
    <w:p>
      <w:pPr>
        <w:pStyle w:val="TextBody"/>
        <w:bidi w:val="0"/>
        <w:spacing w:before="0" w:after="0"/>
        <w:jc w:val="center"/>
        <w:rPr>
          <w:color w:val="000000"/>
        </w:rPr>
      </w:pPr>
      <w:r>
        <w:rPr>
          <w:b/>
          <w:color w:val="000000"/>
        </w:rPr>
        <w:t>(212) 335-4500</w:t>
      </w:r>
      <w:r>
        <w:rPr>
          <w:color w:val="000000"/>
        </w:rPr>
        <w:t xml:space="preserve"> </w:t>
      </w:r>
    </w:p>
    <w:p>
      <w:pPr>
        <w:pStyle w:val="TextBody"/>
        <w:bidi w:val="0"/>
        <w:spacing w:before="0" w:after="0"/>
        <w:jc w:val="center"/>
        <w:rPr>
          <w:color w:val="000000"/>
        </w:rPr>
      </w:pPr>
      <w:r>
        <w:rPr>
          <w:color w:val="000000"/>
        </w:rPr>
        <w:t> </w:t>
      </w:r>
    </w:p>
    <w:p>
      <w:pPr>
        <w:pStyle w:val="HorizontalLine"/>
        <w:pBdr>
          <w:bottom w:val="double" w:sz="2" w:space="0" w:color="808080"/>
        </w:pBdr>
        <w:bidi w:val="0"/>
        <w:spacing w:before="0" w:after="283"/>
        <w:jc w:val="left"/>
        <w:rPr/>
      </w:pPr>
      <w:r>
        <w:rPr/>
      </w:r>
    </w:p>
    <w:p>
      <w:pPr>
        <w:pStyle w:val="TextBody"/>
        <w:bidi w:val="0"/>
        <w:spacing w:before="0" w:after="0"/>
        <w:jc w:val="center"/>
        <w:rPr>
          <w:color w:val="000000"/>
        </w:rPr>
      </w:pPr>
      <w:r>
        <w:rPr>
          <w:color w:val="000000"/>
        </w:rPr>
        <w:t> </w:t>
      </w:r>
    </w:p>
    <w:p>
      <w:pPr>
        <w:pStyle w:val="TextBody"/>
        <w:bidi w:val="0"/>
        <w:spacing w:before="0" w:after="0"/>
        <w:ind w:left="0" w:right="0" w:firstLine="720"/>
        <w:jc w:val="left"/>
        <w:rPr>
          <w:color w:val="000000"/>
        </w:rPr>
      </w:pPr>
      <w:r>
        <w:rPr>
          <w:color w:val="00000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color w:val="000000"/>
        </w:rPr>
      </w:pPr>
      <w:r>
        <w:rPr>
          <w:color w:val="000000"/>
        </w:rPr>
        <w:t> </w:t>
      </w:r>
    </w:p>
    <w:tbl>
      <w:tblPr>
        <w:tblW w:w="6304" w:type="dxa"/>
        <w:jc w:val="left"/>
        <w:tblInd w:w="0" w:type="dxa"/>
        <w:tblLayout w:type="fixed"/>
        <w:tblCellMar>
          <w:top w:w="28" w:type="dxa"/>
          <w:left w:w="28" w:type="dxa"/>
          <w:bottom w:w="28" w:type="dxa"/>
          <w:right w:w="28" w:type="dxa"/>
        </w:tblCellMar>
      </w:tblPr>
      <w:tblGrid>
        <w:gridCol w:w="2776"/>
        <w:gridCol w:w="376"/>
        <w:gridCol w:w="2731"/>
        <w:gridCol w:w="421"/>
      </w:tblGrid>
      <w:tr>
        <w:trPr/>
        <w:tc>
          <w:tcPr>
            <w:tcW w:w="277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731"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r>
        <w:trPr/>
        <w:tc>
          <w:tcPr>
            <w:tcW w:w="2776" w:type="dxa"/>
            <w:tcBorders/>
            <w:vAlign w:val="center"/>
          </w:tcPr>
          <w:p>
            <w:pPr>
              <w:pStyle w:val="TableContents"/>
              <w:bidi w:val="0"/>
              <w:spacing w:before="0" w:after="0"/>
              <w:jc w:val="left"/>
              <w:rPr>
                <w:color w:val="000000"/>
              </w:rPr>
            </w:pPr>
            <w:r>
              <w:rPr>
                <w:color w:val="000000"/>
              </w:rPr>
              <w:t xml:space="preserve">Large accelerated filer </w:t>
            </w:r>
          </w:p>
        </w:tc>
        <w:tc>
          <w:tcPr>
            <w:tcW w:w="376" w:type="dxa"/>
            <w:tcBorders/>
            <w:vAlign w:val="center"/>
          </w:tcPr>
          <w:p>
            <w:pPr>
              <w:pStyle w:val="TableContents"/>
              <w:bidi w:val="0"/>
              <w:spacing w:before="0" w:after="0"/>
              <w:jc w:val="left"/>
              <w:rPr>
                <w:color w:val="000000"/>
              </w:rPr>
            </w:pPr>
            <w:r>
              <w:rPr>
                <w:color w:val="000000"/>
              </w:rPr>
              <w:t xml:space="preserve">☒ </w:t>
            </w:r>
          </w:p>
        </w:tc>
        <w:tc>
          <w:tcPr>
            <w:tcW w:w="2731" w:type="dxa"/>
            <w:tcBorders/>
            <w:vAlign w:val="center"/>
          </w:tcPr>
          <w:p>
            <w:pPr>
              <w:pStyle w:val="TableContents"/>
              <w:bidi w:val="0"/>
              <w:spacing w:before="0" w:after="0"/>
              <w:jc w:val="left"/>
              <w:rPr>
                <w:color w:val="000000"/>
              </w:rPr>
            </w:pPr>
            <w:r>
              <w:rPr>
                <w:color w:val="000000"/>
              </w:rPr>
              <w:t xml:space="preserve">Accelerated filer </w:t>
            </w:r>
          </w:p>
        </w:tc>
        <w:tc>
          <w:tcPr>
            <w:tcW w:w="421" w:type="dxa"/>
            <w:tcBorders/>
            <w:vAlign w:val="center"/>
          </w:tcPr>
          <w:p>
            <w:pPr>
              <w:pStyle w:val="TableContents"/>
              <w:bidi w:val="0"/>
              <w:spacing w:before="0" w:after="0"/>
              <w:jc w:val="left"/>
              <w:rPr>
                <w:color w:val="000000"/>
              </w:rPr>
            </w:pPr>
            <w:r>
              <w:rPr>
                <w:color w:val="000000"/>
              </w:rPr>
              <w:t xml:space="preserve">☐ </w:t>
            </w:r>
          </w:p>
        </w:tc>
      </w:tr>
      <w:tr>
        <w:trPr/>
        <w:tc>
          <w:tcPr>
            <w:tcW w:w="2776" w:type="dxa"/>
            <w:tcBorders/>
            <w:vAlign w:val="center"/>
          </w:tcPr>
          <w:p>
            <w:pPr>
              <w:pStyle w:val="TableContents"/>
              <w:bidi w:val="0"/>
              <w:spacing w:before="0" w:after="0"/>
              <w:jc w:val="left"/>
              <w:rPr>
                <w:color w:val="000000"/>
              </w:rPr>
            </w:pPr>
            <w:r>
              <w:rPr>
                <w:color w:val="000000"/>
              </w:rPr>
              <w:t xml:space="preserve">Non-accelerated filer </w:t>
            </w:r>
          </w:p>
        </w:tc>
        <w:tc>
          <w:tcPr>
            <w:tcW w:w="376" w:type="dxa"/>
            <w:tcBorders/>
            <w:vAlign w:val="center"/>
          </w:tcPr>
          <w:p>
            <w:pPr>
              <w:pStyle w:val="TableContents"/>
              <w:bidi w:val="0"/>
              <w:spacing w:before="0" w:after="0"/>
              <w:jc w:val="left"/>
              <w:rPr>
                <w:color w:val="000000"/>
              </w:rPr>
            </w:pPr>
            <w:r>
              <w:rPr>
                <w:color w:val="000000"/>
              </w:rPr>
              <w:t xml:space="preserve">☐ </w:t>
            </w:r>
          </w:p>
        </w:tc>
        <w:tc>
          <w:tcPr>
            <w:tcW w:w="2731" w:type="dxa"/>
            <w:tcBorders/>
            <w:vAlign w:val="center"/>
          </w:tcPr>
          <w:p>
            <w:pPr>
              <w:pStyle w:val="TableContents"/>
              <w:bidi w:val="0"/>
              <w:spacing w:before="0" w:after="0"/>
              <w:jc w:val="left"/>
              <w:rPr>
                <w:color w:val="000000"/>
              </w:rPr>
            </w:pPr>
            <w:r>
              <w:rPr>
                <w:color w:val="000000"/>
              </w:rPr>
              <w:t xml:space="preserve">Smaller reporting company </w:t>
            </w:r>
          </w:p>
        </w:tc>
        <w:tc>
          <w:tcPr>
            <w:tcW w:w="421" w:type="dxa"/>
            <w:tcBorders/>
            <w:vAlign w:val="center"/>
          </w:tcPr>
          <w:p>
            <w:pPr>
              <w:pStyle w:val="TableContents"/>
              <w:bidi w:val="0"/>
              <w:spacing w:before="0" w:after="0"/>
              <w:jc w:val="left"/>
              <w:rPr>
                <w:color w:val="000000"/>
              </w:rPr>
            </w:pPr>
            <w:r>
              <w:rPr>
                <w:color w:val="000000"/>
              </w:rPr>
              <w:t xml:space="preserve">☐ </w:t>
            </w:r>
          </w:p>
        </w:tc>
      </w:tr>
      <w:tr>
        <w:trPr/>
        <w:tc>
          <w:tcPr>
            <w:tcW w:w="2776" w:type="dxa"/>
            <w:tcBorders/>
            <w:vAlign w:val="center"/>
          </w:tcPr>
          <w:p>
            <w:pPr>
              <w:pStyle w:val="TableContents"/>
              <w:bidi w:val="0"/>
              <w:spacing w:before="0" w:after="0"/>
              <w:jc w:val="left"/>
              <w:rPr>
                <w:color w:val="000000"/>
              </w:rPr>
            </w:pPr>
            <w:r>
              <w:rPr>
                <w:color w:val="000000"/>
              </w:rPr>
              <w:t xml:space="preserve">Emerging growth company </w:t>
            </w:r>
          </w:p>
        </w:tc>
        <w:tc>
          <w:tcPr>
            <w:tcW w:w="376" w:type="dxa"/>
            <w:tcBorders/>
            <w:vAlign w:val="center"/>
          </w:tcPr>
          <w:p>
            <w:pPr>
              <w:pStyle w:val="TableContents"/>
              <w:bidi w:val="0"/>
              <w:spacing w:before="0" w:after="0"/>
              <w:jc w:val="left"/>
              <w:rPr>
                <w:color w:val="000000"/>
              </w:rPr>
            </w:pPr>
            <w:r>
              <w:rPr>
                <w:color w:val="000000"/>
              </w:rPr>
              <w:t xml:space="preserve">☐ </w:t>
            </w:r>
          </w:p>
        </w:tc>
        <w:tc>
          <w:tcPr>
            <w:tcW w:w="3152" w:type="dxa"/>
            <w:gridSpan w:val="2"/>
            <w:tcBorders/>
            <w:vAlign w:val="center"/>
          </w:tcPr>
          <w:p>
            <w:pPr>
              <w:pStyle w:val="TableContents"/>
              <w:bidi w:val="0"/>
              <w:spacing w:before="0" w:after="0"/>
              <w:jc w:val="left"/>
              <w:rPr>
                <w:color w:val="000000"/>
              </w:rPr>
            </w:pPr>
            <w:r>
              <w:rPr>
                <w:color w:val="000000"/>
              </w:rPr>
              <w:t xml:space="preserve">  </w:t>
            </w:r>
          </w:p>
        </w:tc>
      </w:tr>
    </w:tbl>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left"/>
        <w:rPr>
          <w:color w:val="000000"/>
        </w:rPr>
      </w:pPr>
      <w:r>
        <w:rPr>
          <w:color w:val="00000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color w:val="000000"/>
        </w:rPr>
      </w:pPr>
      <w:r>
        <w:rPr>
          <w:color w:val="000000"/>
        </w:rPr>
        <w:t> </w:t>
      </w:r>
    </w:p>
    <w:p>
      <w:pPr>
        <w:pStyle w:val="HorizontalLine"/>
        <w:pBdr>
          <w:bottom w:val="double" w:sz="2" w:space="0" w:color="808080"/>
        </w:pBdr>
        <w:bidi w:val="0"/>
        <w:spacing w:before="0" w:after="283"/>
        <w:jc w:val="left"/>
        <w:rPr/>
      </w:pPr>
      <w:r>
        <w:rPr/>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HorizontalLine"/>
        <w:pBdr>
          <w:bottom w:val="double" w:sz="2" w:space="0" w:color="808080"/>
        </w:pBdr>
        <w:bidi w:val="0"/>
        <w:spacing w:before="0" w:after="283"/>
        <w:jc w:val="left"/>
        <w:rPr/>
      </w:pPr>
      <w:r>
        <w:rPr/>
      </w:r>
    </w:p>
    <w:p>
      <w:pPr>
        <w:pStyle w:val="TextBody"/>
        <w:bidi w:val="0"/>
        <w:spacing w:before="0" w:after="0"/>
        <w:jc w:val="center"/>
        <w:rPr>
          <w:b/>
          <w:color w:val="000000"/>
        </w:rPr>
      </w:pPr>
      <w:r>
        <w:rPr>
          <w:b/>
          <w:color w:val="000000"/>
        </w:rPr>
        <w:t>EXPLANATORY NOTE</w:t>
      </w:r>
    </w:p>
    <w:p>
      <w:pPr>
        <w:pStyle w:val="TextBody"/>
        <w:bidi w:val="0"/>
        <w:spacing w:before="0" w:after="0"/>
        <w:jc w:val="center"/>
        <w:rPr>
          <w:color w:val="000000"/>
        </w:rPr>
      </w:pPr>
      <w:r>
        <w:rPr>
          <w:color w:val="000000"/>
        </w:rPr>
        <w:t> </w:t>
      </w:r>
    </w:p>
    <w:p>
      <w:pPr>
        <w:pStyle w:val="TextBody"/>
        <w:bidi w:val="0"/>
        <w:spacing w:before="0" w:after="0"/>
        <w:ind w:left="0" w:right="0" w:firstLine="720"/>
        <w:jc w:val="both"/>
        <w:rPr>
          <w:color w:val="000000"/>
        </w:rPr>
      </w:pPr>
      <w:r>
        <w:rPr>
          <w:color w:val="000000"/>
        </w:rPr>
        <w:t xml:space="preserve">A certificate of amendment to the fifth amended and restated certificate of incorporation of Tilray Brands, Inc. (the “Registrant”) was filed with the Secretary of State of the State of Delaware to effect a 1-for-10 reverse split (the “Reverse Stock Split”) of the Registrant’s issued and outstanding common stock, with an effective time of 4:01 p.m. Eastern Standard Time on December 1, 2025. Unless otherwise indicated, all share numbers herein give effect to the Reverse Stock Split. </w:t>
      </w:r>
    </w:p>
    <w:p>
      <w:pPr>
        <w:pStyle w:val="TextBody"/>
        <w:bidi w:val="0"/>
        <w:spacing w:before="0" w:after="0"/>
        <w:jc w:val="both"/>
        <w:rPr>
          <w:color w:val="000000"/>
        </w:rPr>
      </w:pPr>
      <w:r>
        <w:rPr>
          <w:color w:val="000000"/>
        </w:rPr>
        <w:t xml:space="preserve">  </w:t>
      </w:r>
    </w:p>
    <w:p>
      <w:pPr>
        <w:pStyle w:val="TextBody"/>
        <w:bidi w:val="0"/>
        <w:spacing w:before="0" w:after="0"/>
        <w:ind w:left="0" w:right="0" w:firstLine="720"/>
        <w:jc w:val="both"/>
        <w:rPr>
          <w:color w:val="000000"/>
        </w:rPr>
      </w:pPr>
      <w:r>
        <w:rPr>
          <w:color w:val="000000"/>
        </w:rPr>
        <w:t xml:space="preserve">This Registration Statement on Form S-8 is being filed by the Registrant for the purpose of registering an additional 11,355,231 shares of the Registrant’s common stock, par value $0.0001 per share (“Common Stock”), that may become issuable under the Registrant’s Amended and Restated 2018 Equity Incentive Plan (the “Plan”). The additional 11,355,231 shares of Common Stock, which includes (i) 2,970,901 shares of Common Stock authorized for issuance under the Plan on January 1, 2024, (ii) 3,736,909 shares of Common Stock authorized for issuance under the Plan on January 1, 2025, and (iii) 4,647,421 shares of Common Stock authorized for issuance under the Plan on January 1, 2026, have become reserved for issuance as a result of the operation of the automatic increase provision of the Plan. Pursuant to such provision, on January 1 of each year through 2027, the number of shares authorized for issuance under the Plan is automatically increased by a number equal to four percent of the outstanding shares of Common Stock as of the end of the Registrant’s immediately preceding fiscal year, or any lesser number of shares of Common Stock determined by the board of directors of the Registrant. </w:t>
      </w:r>
    </w:p>
    <w:p>
      <w:pPr>
        <w:pStyle w:val="TextBody"/>
        <w:bidi w:val="0"/>
        <w:spacing w:before="0" w:after="0"/>
        <w:jc w:val="both"/>
        <w:rPr>
          <w:color w:val="000000"/>
        </w:rPr>
      </w:pPr>
      <w:r>
        <w:rPr>
          <w:color w:val="000000"/>
        </w:rPr>
        <w:t xml:space="preserve">  </w:t>
      </w:r>
    </w:p>
    <w:p>
      <w:pPr>
        <w:pStyle w:val="TextBody"/>
        <w:bidi w:val="0"/>
        <w:spacing w:before="0" w:after="0"/>
        <w:ind w:left="0" w:right="0" w:firstLine="720"/>
        <w:jc w:val="both"/>
        <w:rPr>
          <w:color w:val="000000"/>
        </w:rPr>
      </w:pPr>
      <w:r>
        <w:rPr>
          <w:color w:val="000000"/>
        </w:rPr>
        <w:t xml:space="preserve">These additional shares of Common Stock are securities of the same class as other securities for which registration statements on Form S-8 (File Nos. 333-226267, 333-231539, 333-238179, 333-256023, 333-266695, 333-272838 and 333-274661) were filed with the Securities and Exchange Commission (the “SEC”) on July 20, 2018, May 16, 2019, May 11, 2020, May 12, 2021, August 9, 2022, June 22, 2023 and September 22, 2023, respectively (the “Prior Registration Statements”). In accordance with General Instruction E of Form S-8, the contents of the Prior Registration Statements are incorporated herein by reference and the information required by Part II is omitted, except as supplemented by the new information set forth below. </w:t>
      </w:r>
    </w:p>
    <w:p>
      <w:pPr>
        <w:pStyle w:val="TextBody"/>
        <w:bidi w:val="0"/>
        <w:spacing w:before="0" w:after="0"/>
        <w:jc w:val="both"/>
        <w:rPr>
          <w:color w:val="000000"/>
        </w:rPr>
      </w:pPr>
      <w:r>
        <w:rPr>
          <w:color w:val="000000"/>
        </w:rPr>
        <w:t xml:space="preserve">  </w:t>
      </w:r>
    </w:p>
    <w:p>
      <w:pPr>
        <w:pStyle w:val="TextBody"/>
        <w:bidi w:val="0"/>
        <w:spacing w:before="0" w:after="0"/>
        <w:jc w:val="center"/>
        <w:rPr>
          <w:color w:val="000000"/>
        </w:rPr>
      </w:pPr>
      <w:r>
        <w:rPr>
          <w:b/>
          <w:color w:val="000000"/>
        </w:rPr>
        <w:t>PART II</w:t>
      </w:r>
      <w:r>
        <w:rPr>
          <w:color w:val="000000"/>
        </w:rPr>
        <w:t xml:space="preserve"> </w:t>
      </w:r>
    </w:p>
    <w:p>
      <w:pPr>
        <w:pStyle w:val="TextBody"/>
        <w:bidi w:val="0"/>
        <w:spacing w:before="0" w:after="0"/>
        <w:jc w:val="center"/>
        <w:rPr>
          <w:color w:val="000000"/>
        </w:rPr>
      </w:pPr>
      <w:r>
        <w:rPr>
          <w:b/>
          <w:color w:val="000000"/>
        </w:rPr>
        <w:t>INFORMATION REQUIRED IN THE REGISTRATION STATEMENT</w:t>
      </w:r>
      <w:r>
        <w:rPr>
          <w:color w:val="000000"/>
        </w:rPr>
        <w:t xml:space="preserve"> </w:t>
      </w:r>
    </w:p>
    <w:p>
      <w:pPr>
        <w:pStyle w:val="TextBody"/>
        <w:bidi w:val="0"/>
        <w:spacing w:before="0" w:after="0"/>
        <w:jc w:val="center"/>
        <w:rPr>
          <w:color w:val="000000"/>
        </w:rPr>
      </w:pPr>
      <w:r>
        <w:rPr>
          <w:color w:val="000000"/>
        </w:rPr>
        <w:t xml:space="preserve">  </w:t>
      </w:r>
    </w:p>
    <w:p>
      <w:pPr>
        <w:pStyle w:val="TextBody"/>
        <w:bidi w:val="0"/>
        <w:spacing w:before="0" w:after="0"/>
        <w:ind w:left="0" w:right="0" w:hanging="720"/>
        <w:jc w:val="left"/>
        <w:rPr>
          <w:color w:val="000000"/>
        </w:rPr>
      </w:pPr>
      <w:r>
        <w:rPr>
          <w:b/>
          <w:color w:val="000000"/>
        </w:rPr>
        <w:t>Incorporation of Documents by Reference.</w:t>
      </w:r>
      <w:r>
        <w:rPr>
          <w:color w:val="000000"/>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Item 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3.</w:t>
                      </w:r>
                      <w:r>
                        <w:rPr/>
                        <w:t xml:space="preserve"> </w:t>
                      </w:r>
                    </w:p>
                  </w:txbxContent>
                </v:textbox>
                <w10:wrap type="square" side="right"/>
              </v:rect>
            </w:pict>
          </mc:Fallback>
        </mc:AlternateContent>
      </w:r>
    </w:p>
    <w:p>
      <w:pPr>
        <w:pStyle w:val="TextBody"/>
        <w:bidi w:val="0"/>
        <w:spacing w:before="0" w:after="0"/>
        <w:ind w:left="540" w:right="0" w:hanging="0"/>
        <w:jc w:val="left"/>
        <w:rPr>
          <w:color w:val="000000"/>
        </w:rPr>
      </w:pPr>
      <w:r>
        <w:rPr>
          <w:color w:val="000000"/>
        </w:rPr>
        <w:t xml:space="preserve">  </w:t>
      </w:r>
    </w:p>
    <w:p>
      <w:pPr>
        <w:pStyle w:val="TextBody"/>
        <w:bidi w:val="0"/>
        <w:spacing w:before="0" w:after="0"/>
        <w:ind w:left="0" w:right="0" w:firstLine="720"/>
        <w:jc w:val="both"/>
        <w:rPr>
          <w:color w:val="000000"/>
        </w:rPr>
      </w:pPr>
      <w:r>
        <w:rPr>
          <w:color w:val="000000"/>
        </w:rPr>
        <w:t xml:space="preserve">The following documents filed by the Registrant with the SEC are hereby incorporated herein by reference (except for the portions thereof “furnished,” but not “filed,” which are deemed not to be incorporated by reference into this Registration Statement): </w:t>
      </w:r>
    </w:p>
    <w:p>
      <w:pPr>
        <w:pStyle w:val="TextBody"/>
        <w:bidi w:val="0"/>
        <w:spacing w:before="0" w:after="0"/>
        <w:jc w:val="both"/>
        <w:rPr>
          <w:color w:val="000000"/>
        </w:rPr>
      </w:pPr>
      <w:r>
        <w:rPr>
          <w:color w:val="000000"/>
        </w:rPr>
        <w:t xml:space="preserve">  </w:t>
      </w:r>
    </w:p>
    <w:p>
      <w:pPr>
        <w:pStyle w:val="TextBody"/>
        <w:bidi w:val="0"/>
        <w:spacing w:before="0" w:after="0"/>
        <w:ind w:left="0" w:right="0" w:hanging="720"/>
        <w:jc w:val="left"/>
        <w:rPr>
          <w:color w:val="000000"/>
        </w:rPr>
      </w:pPr>
      <w:r>
        <w:rPr>
          <w:color w:val="000000"/>
        </w:rPr>
        <w:t xml:space="preserve">the Registrant’s Annual Report on Form 10-K for the fiscal year ended May 31, 2026, filed with the SEC on July 28, 2026;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color w:val="000000"/>
        </w:rPr>
      </w:pPr>
      <w:r>
        <w:rPr>
          <w:color w:val="000000"/>
        </w:rPr>
        <w:t xml:space="preserve">  </w:t>
      </w:r>
    </w:p>
    <w:p>
      <w:pPr>
        <w:pStyle w:val="TextBody"/>
        <w:bidi w:val="0"/>
        <w:spacing w:before="0" w:after="0"/>
        <w:ind w:left="0" w:right="0" w:hanging="720"/>
        <w:jc w:val="left"/>
        <w:rPr/>
      </w:pPr>
      <w:r>
        <w:rPr>
          <w:color w:val="000000"/>
        </w:rPr>
        <w:t xml:space="preserve">the information specifically incorporated by reference into the Form 10-K for the fiscal year ended May 31, 2025 from our definitive proxy statement on Schedule 14A, filed on </w:t>
      </w:r>
      <w:hyperlink r:id="rId2">
        <w:r>
          <w:rPr>
            <w:rStyle w:val="InternetLink"/>
          </w:rPr>
          <w:t>September 26, 2025</w:t>
        </w:r>
      </w:hyperlink>
      <w:r>
        <w:rPr>
          <w:color w:val="000000"/>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color w:val="000000"/>
        </w:rPr>
      </w:pPr>
      <w:r>
        <w:rPr>
          <w:color w:val="000000"/>
        </w:rPr>
        <w:t xml:space="preserve">  </w:t>
      </w:r>
    </w:p>
    <w:p>
      <w:pPr>
        <w:pStyle w:val="TextBody"/>
        <w:bidi w:val="0"/>
        <w:spacing w:before="0" w:after="0"/>
        <w:ind w:left="0" w:right="0" w:hanging="720"/>
        <w:jc w:val="left"/>
        <w:rPr/>
      </w:pPr>
      <w:r>
        <w:rPr>
          <w:color w:val="000000"/>
        </w:rPr>
        <w:t xml:space="preserve">the Registrant’s Quarterly Reports on Form 10-Q for the quarters ended August 31, 2025, November 30, 2025 and February 28, 2026, filed on </w:t>
      </w:r>
      <w:hyperlink r:id="rId3">
        <w:r>
          <w:rPr>
            <w:rStyle w:val="InternetLink"/>
          </w:rPr>
          <w:t>October 9, 2025</w:t>
        </w:r>
      </w:hyperlink>
      <w:r>
        <w:rPr>
          <w:color w:val="000000"/>
        </w:rPr>
        <w:t xml:space="preserve">, </w:t>
      </w:r>
      <w:hyperlink r:id="rId4">
        <w:r>
          <w:rPr>
            <w:rStyle w:val="InternetLink"/>
          </w:rPr>
          <w:t>January 8, 2026</w:t>
        </w:r>
      </w:hyperlink>
      <w:r>
        <w:rPr>
          <w:color w:val="000000"/>
        </w:rPr>
        <w:t xml:space="preserve"> and </w:t>
      </w:r>
      <w:hyperlink r:id="rId5">
        <w:r>
          <w:rPr>
            <w:rStyle w:val="InternetLink"/>
          </w:rPr>
          <w:t>April 1, 2026</w:t>
        </w:r>
      </w:hyperlink>
      <w:r>
        <w:rPr>
          <w:color w:val="000000"/>
        </w:rPr>
        <w:t xml:space="preserve">, respectively;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color w:val="000000"/>
        </w:rPr>
      </w:pPr>
      <w:r>
        <w:rPr>
          <w:color w:val="000000"/>
        </w:rPr>
        <w:t xml:space="preserve">  </w:t>
      </w:r>
    </w:p>
    <w:p>
      <w:pPr>
        <w:pStyle w:val="TextBody"/>
        <w:bidi w:val="0"/>
        <w:spacing w:before="0" w:after="0"/>
        <w:ind w:left="0" w:right="0" w:hanging="720"/>
        <w:jc w:val="left"/>
        <w:rPr/>
      </w:pPr>
      <w:r>
        <w:rPr>
          <w:color w:val="000000"/>
        </w:rPr>
        <w:t xml:space="preserve">the Registrant’s Current Reports on Form 8-K, filed on </w:t>
      </w:r>
      <w:hyperlink r:id="rId6">
        <w:r>
          <w:rPr>
            <w:rStyle w:val="InternetLink"/>
          </w:rPr>
          <w:t>June 10, 2025</w:t>
        </w:r>
      </w:hyperlink>
      <w:r>
        <w:rPr>
          <w:color w:val="000000"/>
        </w:rPr>
        <w:t xml:space="preserve">, </w:t>
      </w:r>
      <w:hyperlink r:id="rId7">
        <w:r>
          <w:rPr>
            <w:rStyle w:val="InternetLink"/>
          </w:rPr>
          <w:t>June 23, 2025</w:t>
        </w:r>
      </w:hyperlink>
      <w:r>
        <w:rPr>
          <w:color w:val="000000"/>
        </w:rPr>
        <w:t xml:space="preserve">, </w:t>
      </w:r>
      <w:hyperlink r:id="rId8">
        <w:r>
          <w:rPr>
            <w:rStyle w:val="InternetLink"/>
          </w:rPr>
          <w:t>September 10, 2025</w:t>
        </w:r>
      </w:hyperlink>
      <w:r>
        <w:rPr>
          <w:color w:val="000000"/>
        </w:rPr>
        <w:t xml:space="preserve">, </w:t>
      </w:r>
      <w:hyperlink r:id="rId9">
        <w:r>
          <w:rPr>
            <w:rStyle w:val="InternetLink"/>
          </w:rPr>
          <w:t>November 19, 2025</w:t>
        </w:r>
      </w:hyperlink>
      <w:r>
        <w:rPr>
          <w:color w:val="000000"/>
        </w:rPr>
        <w:t xml:space="preserve">, </w:t>
      </w:r>
      <w:hyperlink r:id="rId10">
        <w:r>
          <w:rPr>
            <w:rStyle w:val="InternetLink"/>
          </w:rPr>
          <w:t>November 26, 2025</w:t>
        </w:r>
      </w:hyperlink>
      <w:r>
        <w:rPr>
          <w:color w:val="000000"/>
        </w:rPr>
        <w:t xml:space="preserve">, </w:t>
      </w:r>
      <w:hyperlink r:id="rId11">
        <w:r>
          <w:rPr>
            <w:rStyle w:val="InternetLink"/>
          </w:rPr>
          <w:t>March 2, 2026</w:t>
        </w:r>
      </w:hyperlink>
      <w:r>
        <w:rPr>
          <w:color w:val="000000"/>
        </w:rPr>
        <w:t xml:space="preserve">, </w:t>
      </w:r>
      <w:hyperlink r:id="rId12">
        <w:r>
          <w:rPr>
            <w:rStyle w:val="InternetLink"/>
          </w:rPr>
          <w:t>April 15, 2026</w:t>
        </w:r>
      </w:hyperlink>
      <w:r>
        <w:rPr>
          <w:color w:val="000000"/>
        </w:rPr>
        <w:t xml:space="preserve">, </w:t>
      </w:r>
      <w:hyperlink r:id="rId13">
        <w:r>
          <w:rPr>
            <w:rStyle w:val="InternetLink"/>
          </w:rPr>
          <w:t>April 15, 2026</w:t>
        </w:r>
      </w:hyperlink>
      <w:r>
        <w:rPr>
          <w:color w:val="000000"/>
        </w:rPr>
        <w:t xml:space="preserve">, </w:t>
      </w:r>
      <w:hyperlink r:id="rId14">
        <w:r>
          <w:rPr>
            <w:rStyle w:val="InternetLink"/>
          </w:rPr>
          <w:t>April 21, 2026</w:t>
        </w:r>
      </w:hyperlink>
      <w:r>
        <w:rPr>
          <w:color w:val="000000"/>
        </w:rPr>
        <w:t xml:space="preserve">, </w:t>
      </w:r>
      <w:hyperlink r:id="rId15">
        <w:r>
          <w:rPr>
            <w:rStyle w:val="InternetLink"/>
          </w:rPr>
          <w:t>June 9, 2026</w:t>
        </w:r>
      </w:hyperlink>
      <w:r>
        <w:rPr>
          <w:color w:val="000000"/>
        </w:rPr>
        <w:t>, and </w:t>
      </w:r>
      <w:hyperlink r:id="rId16">
        <w:r>
          <w:rPr>
            <w:rStyle w:val="InternetLink"/>
          </w:rPr>
          <w:t>June 30, 2026</w:t>
        </w:r>
      </w:hyperlink>
      <w:r>
        <w:rPr>
          <w:color w:val="000000"/>
        </w:rPr>
        <w:t xml:space="preserve"> ; and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color w:val="000000"/>
        </w:rPr>
      </w:pPr>
      <w:r>
        <w:rPr>
          <w:color w:val="000000"/>
        </w:rPr>
        <w:t xml:space="preserve">  </w:t>
      </w:r>
    </w:p>
    <w:p>
      <w:pPr>
        <w:pStyle w:val="TextBody"/>
        <w:bidi w:val="0"/>
        <w:spacing w:before="0" w:after="0"/>
        <w:ind w:left="0" w:right="0" w:hanging="720"/>
        <w:jc w:val="left"/>
        <w:rPr/>
      </w:pPr>
      <w:r>
        <w:rPr>
          <w:color w:val="000000"/>
        </w:rPr>
        <w:t xml:space="preserve">the description of our securities as set forth in our registration statement on Form 8-A/A (File No. 001-38594), filed with the SEC on </w:t>
      </w:r>
      <w:hyperlink r:id="rId17">
        <w:r>
          <w:rPr>
            <w:rStyle w:val="InternetLink"/>
          </w:rPr>
          <w:t>October 1, 2020</w:t>
        </w:r>
      </w:hyperlink>
      <w:r>
        <w:rPr>
          <w:color w:val="000000"/>
        </w:rPr>
        <w:t xml:space="preserve">, pursuant to Section 12(b) of the Exchange Act, including the description contained in Exhibit 4.3 to our Annual Report on Form 10-K for the fiscal year ended May 31, 2026, and any subsequent amendments or reports filed for the purpose of updating such description.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color w:val="000000"/>
        </w:rPr>
      </w:pPr>
      <w:r>
        <w:rPr>
          <w:color w:val="000000"/>
        </w:rPr>
        <w:t xml:space="preserve">All documents filed by the Registrant with the SEC pursuant to Sections 13(a), 13(c), 14 or 15(d) of the Exchange Act subsequent to the date hereof and prior to the filing of a post-effective amendment hereto which indicates that all securities offered hereunder have been sold or which deregisters all securities then remaining unsold shall be deemed to be incorporated by reference herein and to be a part hereof from the date of filing of such documents, except that the portion of any document “furnished” but not “filed” shall not be incorporated by reference herein. Any statement contained in a document incorporated or deemed to be incorporated by reference in this Registration Statement will be deemed modified, superseded or replaced for purposes of this Registration Statement to the extent that a statement contained in this Registration Statement modifies, supersedes or replaces such statement. </w:t>
      </w:r>
    </w:p>
    <w:p>
      <w:pPr>
        <w:pStyle w:val="TextBody"/>
        <w:bidi w:val="0"/>
        <w:spacing w:before="0" w:after="0"/>
        <w:jc w:val="left"/>
        <w:rPr>
          <w:color w:val="000000"/>
        </w:rPr>
      </w:pPr>
      <w:r>
        <w:rPr>
          <w:color w:val="000000"/>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3</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720"/>
        <w:jc w:val="left"/>
        <w:rPr>
          <w:color w:val="000000"/>
        </w:rPr>
      </w:pPr>
      <w:r>
        <w:rPr>
          <w:b/>
          <w:color w:val="000000"/>
        </w:rPr>
        <w:t>Exhibits.</w:t>
      </w:r>
      <w:r>
        <w:rPr>
          <w:color w:val="000000"/>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Item 8.</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8.</w:t>
                      </w:r>
                      <w:r>
                        <w:rPr/>
                        <w:t xml:space="preserve">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50"/>
        <w:gridCol w:w="4219"/>
        <w:gridCol w:w="1135"/>
        <w:gridCol w:w="1042"/>
        <w:gridCol w:w="865"/>
        <w:gridCol w:w="790"/>
        <w:gridCol w:w="1204"/>
      </w:tblGrid>
      <w:tr>
        <w:trPr/>
        <w:tc>
          <w:tcPr>
            <w:tcW w:w="950" w:type="dxa"/>
            <w:tcBorders/>
            <w:vAlign w:val="center"/>
          </w:tcPr>
          <w:p>
            <w:pPr>
              <w:pStyle w:val="TableContents"/>
              <w:bidi w:val="0"/>
              <w:spacing w:before="0" w:after="283"/>
              <w:jc w:val="left"/>
              <w:rPr/>
            </w:pPr>
            <w:r>
              <w:rPr/>
              <w:t> </w:t>
            </w:r>
          </w:p>
        </w:tc>
        <w:tc>
          <w:tcPr>
            <w:tcW w:w="4219"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left"/>
              <w:rPr/>
            </w:pPr>
            <w:r>
              <w:rPr/>
              <w:t> </w:t>
            </w:r>
          </w:p>
        </w:tc>
      </w:tr>
      <w:tr>
        <w:trPr/>
        <w:tc>
          <w:tcPr>
            <w:tcW w:w="950" w:type="dxa"/>
            <w:tcBorders/>
            <w:tcMar>
              <w:top w:w="0" w:type="dxa"/>
              <w:left w:w="0" w:type="dxa"/>
              <w:bottom w:w="0" w:type="dxa"/>
              <w:right w:w="0" w:type="dxa"/>
            </w:tcMar>
            <w:vAlign w:val="center"/>
          </w:tcPr>
          <w:p>
            <w:pPr>
              <w:pStyle w:val="TableContents"/>
              <w:bidi w:val="0"/>
              <w:spacing w:before="0" w:after="283"/>
              <w:jc w:val="left"/>
              <w:rPr/>
            </w:pPr>
            <w:r>
              <w:rPr/>
              <w:t> </w:t>
            </w:r>
          </w:p>
        </w:tc>
        <w:tc>
          <w:tcPr>
            <w:tcW w:w="4219"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gridSpan w:val="4"/>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Incorporated by Reference</w:t>
            </w:r>
            <w:r>
              <w:rPr/>
              <w:t xml:space="preserve"> </w:t>
            </w:r>
          </w:p>
        </w:tc>
      </w:tr>
      <w:tr>
        <w:trPr/>
        <w:tc>
          <w:tcPr>
            <w:tcW w:w="950"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Exhibit No.</w:t>
            </w:r>
            <w:r>
              <w:rPr/>
              <w:t xml:space="preserve"> </w:t>
            </w:r>
          </w:p>
        </w:tc>
        <w:tc>
          <w:tcPr>
            <w:tcW w:w="4219"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Description of Document</w:t>
            </w:r>
            <w:r>
              <w:rPr/>
              <w:t xml:space="preserve"> </w:t>
            </w:r>
          </w:p>
        </w:tc>
        <w:tc>
          <w:tcPr>
            <w:tcW w:w="1135"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Schedule Form</w:t>
            </w:r>
            <w:r>
              <w:rPr/>
              <w:t xml:space="preserve"> </w:t>
            </w:r>
          </w:p>
        </w:tc>
        <w:tc>
          <w:tcPr>
            <w:tcW w:w="1042"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File Number</w:t>
            </w:r>
            <w:r>
              <w:rPr/>
              <w:t xml:space="preserve"> </w:t>
            </w:r>
          </w:p>
        </w:tc>
        <w:tc>
          <w:tcPr>
            <w:tcW w:w="865"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Exhibit</w:t>
            </w:r>
            <w:r>
              <w:rPr/>
              <w:t xml:space="preserve"> </w:t>
            </w:r>
          </w:p>
        </w:tc>
        <w:tc>
          <w:tcPr>
            <w:tcW w:w="790"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Filing Date</w:t>
            </w:r>
            <w:r>
              <w:rPr/>
              <w:t xml:space="preserve"> </w:t>
            </w:r>
          </w:p>
        </w:tc>
        <w:tc>
          <w:tcPr>
            <w:tcW w:w="1204"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Filed Herewith</w:t>
            </w:r>
            <w:r>
              <w:rPr/>
              <w:t xml:space="preserve"> </w:t>
            </w:r>
          </w:p>
        </w:tc>
      </w:tr>
      <w:tr>
        <w:trPr/>
        <w:tc>
          <w:tcPr>
            <w:tcW w:w="950" w:type="dxa"/>
            <w:tcBorders/>
            <w:shd w:fill="CCEEFF" w:val="clear"/>
            <w:tcMar>
              <w:top w:w="0" w:type="dxa"/>
              <w:left w:w="0" w:type="dxa"/>
              <w:bottom w:w="0" w:type="dxa"/>
              <w:right w:w="0" w:type="dxa"/>
            </w:tcMar>
            <w:vAlign w:val="center"/>
          </w:tcPr>
          <w:p>
            <w:pPr>
              <w:pStyle w:val="TableContents"/>
              <w:bidi w:val="0"/>
              <w:spacing w:before="0" w:after="283"/>
              <w:jc w:val="center"/>
              <w:rPr/>
            </w:pPr>
            <w:r>
              <w:rPr>
                <w:color w:val="000000"/>
              </w:rPr>
              <w:t>3.1</w:t>
            </w:r>
            <w:r>
              <w:rPr/>
              <w:t xml:space="preserve"> </w:t>
            </w:r>
          </w:p>
        </w:tc>
        <w:tc>
          <w:tcPr>
            <w:tcW w:w="4219" w:type="dxa"/>
            <w:tcBorders/>
            <w:shd w:fill="CCEE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Pr>
                <w:t>Fifth Amended and Restated Certificate of Incorporation of Tilray Brands, Inc., dated as of December 19, 2024, as currently in effect</w:t>
              </w:r>
            </w:hyperlink>
            <w:r>
              <w:rPr/>
              <w:t xml:space="preserve"> </w:t>
            </w:r>
          </w:p>
        </w:tc>
        <w:tc>
          <w:tcPr>
            <w:tcW w:w="113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10-Q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001-38594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3.1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center"/>
              <w:rPr/>
            </w:pPr>
            <w:r>
              <w:rPr/>
              <w:t>1/10/2025</w:t>
            </w:r>
          </w:p>
        </w:tc>
        <w:tc>
          <w:tcPr>
            <w:tcW w:w="12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0" w:type="dxa"/>
            <w:tcBorders/>
            <w:tcMar>
              <w:top w:w="0" w:type="dxa"/>
              <w:left w:w="0" w:type="dxa"/>
              <w:bottom w:w="0" w:type="dxa"/>
              <w:right w:w="0" w:type="dxa"/>
            </w:tcMar>
            <w:vAlign w:val="center"/>
          </w:tcPr>
          <w:p>
            <w:pPr>
              <w:pStyle w:val="TableContents"/>
              <w:bidi w:val="0"/>
              <w:spacing w:before="0" w:after="283"/>
              <w:jc w:val="center"/>
              <w:rPr/>
            </w:pPr>
            <w:r>
              <w:rPr>
                <w:color w:val="000000"/>
              </w:rPr>
              <w:t>3.2</w:t>
            </w:r>
            <w:r>
              <w:rPr/>
              <w:t xml:space="preserve"> </w:t>
            </w:r>
          </w:p>
        </w:tc>
        <w:tc>
          <w:tcPr>
            <w:tcW w:w="4219"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Pr>
                <w:t>Certificate of Amendment of the Fifth Amended and Restated Certificate of Incorporation of the Company, filed on November 26, 2025.</w:t>
              </w:r>
            </w:hyperlink>
            <w:r>
              <w:rPr/>
              <w:t xml:space="preserve"> </w:t>
            </w:r>
          </w:p>
        </w:tc>
        <w:tc>
          <w:tcPr>
            <w:tcW w:w="1135" w:type="dxa"/>
            <w:tcBorders/>
            <w:tcMar>
              <w:top w:w="0" w:type="dxa"/>
              <w:left w:w="0" w:type="dxa"/>
              <w:bottom w:w="0" w:type="dxa"/>
              <w:right w:w="0" w:type="dxa"/>
            </w:tcMar>
            <w:vAlign w:val="center"/>
          </w:tcPr>
          <w:p>
            <w:pPr>
              <w:pStyle w:val="TableContents"/>
              <w:bidi w:val="0"/>
              <w:spacing w:before="0" w:after="283"/>
              <w:jc w:val="center"/>
              <w:rPr/>
            </w:pPr>
            <w:r>
              <w:rPr/>
              <w:t xml:space="preserve">8-K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001-38594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xml:space="preserve">3.1 </w:t>
            </w:r>
          </w:p>
        </w:tc>
        <w:tc>
          <w:tcPr>
            <w:tcW w:w="790" w:type="dxa"/>
            <w:tcBorders/>
            <w:tcMar>
              <w:top w:w="0" w:type="dxa"/>
              <w:left w:w="0" w:type="dxa"/>
              <w:bottom w:w="0" w:type="dxa"/>
              <w:right w:w="0" w:type="dxa"/>
            </w:tcMar>
            <w:vAlign w:val="center"/>
          </w:tcPr>
          <w:p>
            <w:pPr>
              <w:pStyle w:val="TableContents"/>
              <w:bidi w:val="0"/>
              <w:spacing w:before="0" w:after="283"/>
              <w:jc w:val="center"/>
              <w:rPr/>
            </w:pPr>
            <w:r>
              <w:rPr/>
              <w:t xml:space="preserve">11/26/2025 </w:t>
            </w:r>
          </w:p>
        </w:tc>
        <w:tc>
          <w:tcPr>
            <w:tcW w:w="12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0" w:type="dxa"/>
            <w:tcBorders/>
            <w:shd w:fill="CCEEFF" w:val="clear"/>
            <w:tcMar>
              <w:top w:w="0" w:type="dxa"/>
              <w:left w:w="0" w:type="dxa"/>
              <w:bottom w:w="0" w:type="dxa"/>
              <w:right w:w="0" w:type="dxa"/>
            </w:tcMar>
            <w:vAlign w:val="center"/>
          </w:tcPr>
          <w:p>
            <w:pPr>
              <w:pStyle w:val="TableContents"/>
              <w:bidi w:val="0"/>
              <w:spacing w:before="0" w:after="283"/>
              <w:jc w:val="center"/>
              <w:rPr/>
            </w:pPr>
            <w:r>
              <w:rPr>
                <w:color w:val="000000"/>
              </w:rPr>
              <w:t>3.3</w:t>
            </w:r>
            <w:r>
              <w:rPr/>
              <w:t xml:space="preserve"> </w:t>
            </w:r>
          </w:p>
        </w:tc>
        <w:tc>
          <w:tcPr>
            <w:tcW w:w="4219" w:type="dxa"/>
            <w:tcBorders/>
            <w:shd w:fill="CCEE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Pr>
                <w:t>Amended and Restated Bylaws, as of January 10, 2022.</w:t>
              </w:r>
            </w:hyperlink>
            <w:r>
              <w:rPr/>
              <w:t xml:space="preserve"> </w:t>
            </w:r>
          </w:p>
        </w:tc>
        <w:tc>
          <w:tcPr>
            <w:tcW w:w="113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8-K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001-38594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3.2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1/10/2022 </w:t>
            </w:r>
          </w:p>
        </w:tc>
        <w:tc>
          <w:tcPr>
            <w:tcW w:w="12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0" w:type="dxa"/>
            <w:tcBorders/>
            <w:tcMar>
              <w:top w:w="0" w:type="dxa"/>
              <w:left w:w="0" w:type="dxa"/>
              <w:bottom w:w="0" w:type="dxa"/>
              <w:right w:w="0" w:type="dxa"/>
            </w:tcMar>
            <w:vAlign w:val="center"/>
          </w:tcPr>
          <w:p>
            <w:pPr>
              <w:pStyle w:val="TableContents"/>
              <w:bidi w:val="0"/>
              <w:spacing w:before="0" w:after="283"/>
              <w:jc w:val="center"/>
              <w:rPr/>
            </w:pPr>
            <w:r>
              <w:rPr>
                <w:color w:val="000000"/>
              </w:rPr>
              <w:t>4.1</w:t>
            </w:r>
            <w:r>
              <w:rPr/>
              <w:t xml:space="preserve"> </w:t>
            </w:r>
          </w:p>
        </w:tc>
        <w:tc>
          <w:tcPr>
            <w:tcW w:w="4219"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Pr>
                <w:t>Indenture, dated May 31, 2023, between Tilray Brands, Inc. and Computershare Trust Company, N.A.</w:t>
              </w:r>
            </w:hyperlink>
            <w:r>
              <w:rPr/>
              <w:t xml:space="preserve"> </w:t>
            </w:r>
          </w:p>
        </w:tc>
        <w:tc>
          <w:tcPr>
            <w:tcW w:w="1135" w:type="dxa"/>
            <w:tcBorders/>
            <w:tcMar>
              <w:top w:w="0" w:type="dxa"/>
              <w:left w:w="0" w:type="dxa"/>
              <w:bottom w:w="0" w:type="dxa"/>
              <w:right w:w="0" w:type="dxa"/>
            </w:tcMar>
            <w:vAlign w:val="center"/>
          </w:tcPr>
          <w:p>
            <w:pPr>
              <w:pStyle w:val="TableContents"/>
              <w:bidi w:val="0"/>
              <w:spacing w:before="0" w:after="283"/>
              <w:jc w:val="center"/>
              <w:rPr/>
            </w:pPr>
            <w:r>
              <w:rPr/>
              <w:t xml:space="preserve">8-K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001-38594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xml:space="preserve">4.1 </w:t>
            </w:r>
          </w:p>
        </w:tc>
        <w:tc>
          <w:tcPr>
            <w:tcW w:w="790" w:type="dxa"/>
            <w:tcBorders/>
            <w:tcMar>
              <w:top w:w="0" w:type="dxa"/>
              <w:left w:w="0" w:type="dxa"/>
              <w:bottom w:w="0" w:type="dxa"/>
              <w:right w:w="0" w:type="dxa"/>
            </w:tcMar>
            <w:vAlign w:val="center"/>
          </w:tcPr>
          <w:p>
            <w:pPr>
              <w:pStyle w:val="TableContents"/>
              <w:bidi w:val="0"/>
              <w:spacing w:before="0" w:after="283"/>
              <w:jc w:val="center"/>
              <w:rPr/>
            </w:pPr>
            <w:r>
              <w:rPr/>
              <w:t>5/31/2023</w:t>
            </w:r>
          </w:p>
        </w:tc>
        <w:tc>
          <w:tcPr>
            <w:tcW w:w="12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0" w:type="dxa"/>
            <w:tcBorders/>
            <w:shd w:fill="CCEEFF" w:val="clear"/>
            <w:tcMar>
              <w:top w:w="0" w:type="dxa"/>
              <w:left w:w="0" w:type="dxa"/>
              <w:bottom w:w="0" w:type="dxa"/>
              <w:right w:w="0" w:type="dxa"/>
            </w:tcMar>
            <w:vAlign w:val="center"/>
          </w:tcPr>
          <w:p>
            <w:pPr>
              <w:pStyle w:val="TableContents"/>
              <w:bidi w:val="0"/>
              <w:spacing w:before="0" w:after="283"/>
              <w:jc w:val="center"/>
              <w:rPr/>
            </w:pPr>
            <w:r>
              <w:rPr>
                <w:color w:val="000000"/>
              </w:rPr>
              <w:t>4.2</w:t>
            </w:r>
            <w:r>
              <w:rPr/>
              <w:t xml:space="preserve"> </w:t>
            </w:r>
          </w:p>
        </w:tc>
        <w:tc>
          <w:tcPr>
            <w:tcW w:w="4219" w:type="dxa"/>
            <w:tcBorders/>
            <w:shd w:fill="CCEE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Pr>
                <w:t>First Supplemental Indenture, dated May 31, 2023, between Tilray Brands, Inc. and Computershare Trust Company, N.A.</w:t>
              </w:r>
            </w:hyperlink>
            <w:r>
              <w:rPr/>
              <w:t xml:space="preserve"> </w:t>
            </w:r>
          </w:p>
        </w:tc>
        <w:tc>
          <w:tcPr>
            <w:tcW w:w="113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8-K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001-38594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4.2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center"/>
              <w:rPr/>
            </w:pPr>
            <w:r>
              <w:rPr/>
              <w:t>5/31/2023</w:t>
            </w:r>
          </w:p>
        </w:tc>
        <w:tc>
          <w:tcPr>
            <w:tcW w:w="12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0" w:type="dxa"/>
            <w:tcBorders/>
            <w:tcMar>
              <w:top w:w="0" w:type="dxa"/>
              <w:left w:w="0" w:type="dxa"/>
              <w:bottom w:w="0" w:type="dxa"/>
              <w:right w:w="0" w:type="dxa"/>
            </w:tcMar>
            <w:vAlign w:val="center"/>
          </w:tcPr>
          <w:p>
            <w:pPr>
              <w:pStyle w:val="TableContents"/>
              <w:bidi w:val="0"/>
              <w:spacing w:before="0" w:after="283"/>
              <w:jc w:val="center"/>
              <w:rPr/>
            </w:pPr>
            <w:r>
              <w:rPr>
                <w:color w:val="000000"/>
              </w:rPr>
              <w:t>4.3</w:t>
            </w:r>
            <w:r>
              <w:rPr/>
              <w:t xml:space="preserve"> </w:t>
            </w:r>
          </w:p>
        </w:tc>
        <w:tc>
          <w:tcPr>
            <w:tcW w:w="4219"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Pr>
                <w:t>Description of Securities of the Registrant</w:t>
              </w:r>
            </w:hyperlink>
            <w:r>
              <w:rPr/>
              <w:t xml:space="preserve"> </w:t>
            </w:r>
          </w:p>
        </w:tc>
        <w:tc>
          <w:tcPr>
            <w:tcW w:w="1135" w:type="dxa"/>
            <w:tcBorders/>
            <w:tcMar>
              <w:top w:w="0" w:type="dxa"/>
              <w:left w:w="0" w:type="dxa"/>
              <w:bottom w:w="0" w:type="dxa"/>
              <w:right w:w="0" w:type="dxa"/>
            </w:tcMar>
            <w:vAlign w:val="center"/>
          </w:tcPr>
          <w:p>
            <w:pPr>
              <w:pStyle w:val="TableContents"/>
              <w:bidi w:val="0"/>
              <w:spacing w:before="0" w:after="283"/>
              <w:jc w:val="center"/>
              <w:rPr/>
            </w:pPr>
            <w:r>
              <w:rPr/>
              <w:t xml:space="preserve">10-K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001-38594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4.3</w:t>
            </w:r>
          </w:p>
        </w:tc>
        <w:tc>
          <w:tcPr>
            <w:tcW w:w="790" w:type="dxa"/>
            <w:tcBorders/>
            <w:tcMar>
              <w:top w:w="0" w:type="dxa"/>
              <w:left w:w="0" w:type="dxa"/>
              <w:bottom w:w="0" w:type="dxa"/>
              <w:right w:w="0" w:type="dxa"/>
            </w:tcMar>
            <w:vAlign w:val="center"/>
          </w:tcPr>
          <w:p>
            <w:pPr>
              <w:pStyle w:val="TableContents"/>
              <w:bidi w:val="0"/>
              <w:spacing w:before="0" w:after="283"/>
              <w:jc w:val="center"/>
              <w:rPr/>
            </w:pPr>
            <w:r>
              <w:rPr/>
              <w:t>7/28/2026</w:t>
            </w:r>
          </w:p>
        </w:tc>
        <w:tc>
          <w:tcPr>
            <w:tcW w:w="12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0" w:type="dxa"/>
            <w:tcBorders/>
            <w:shd w:fill="CCEEFF" w:val="clear"/>
            <w:tcMar>
              <w:top w:w="0" w:type="dxa"/>
              <w:left w:w="0" w:type="dxa"/>
              <w:bottom w:w="0" w:type="dxa"/>
              <w:right w:w="0" w:type="dxa"/>
            </w:tcMar>
            <w:vAlign w:val="center"/>
          </w:tcPr>
          <w:p>
            <w:pPr>
              <w:pStyle w:val="TableContents"/>
              <w:bidi w:val="0"/>
              <w:spacing w:before="0" w:after="283"/>
              <w:jc w:val="center"/>
              <w:rPr/>
            </w:pPr>
            <w:r>
              <w:rPr>
                <w:color w:val="000000"/>
              </w:rPr>
              <w:t>4.4</w:t>
            </w:r>
            <w:r>
              <w:rPr/>
              <w:t xml:space="preserve"> </w:t>
            </w:r>
          </w:p>
        </w:tc>
        <w:tc>
          <w:tcPr>
            <w:tcW w:w="4219" w:type="dxa"/>
            <w:tcBorders/>
            <w:shd w:fill="CCEE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Pr>
                <w:t>Form of Pre-Funded Warrant</w:t>
              </w:r>
            </w:hyperlink>
            <w:r>
              <w:rPr/>
              <w:t xml:space="preserve"> </w:t>
            </w:r>
          </w:p>
        </w:tc>
        <w:tc>
          <w:tcPr>
            <w:tcW w:w="113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8-K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001-38594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4.1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3/17/2020 </w:t>
            </w:r>
          </w:p>
        </w:tc>
        <w:tc>
          <w:tcPr>
            <w:tcW w:w="12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0" w:type="dxa"/>
            <w:tcBorders/>
            <w:tcMar>
              <w:top w:w="0" w:type="dxa"/>
              <w:left w:w="0" w:type="dxa"/>
              <w:bottom w:w="0" w:type="dxa"/>
              <w:right w:w="0" w:type="dxa"/>
            </w:tcMar>
            <w:vAlign w:val="center"/>
          </w:tcPr>
          <w:p>
            <w:pPr>
              <w:pStyle w:val="TableContents"/>
              <w:bidi w:val="0"/>
              <w:spacing w:before="0" w:after="283"/>
              <w:jc w:val="center"/>
              <w:rPr/>
            </w:pPr>
            <w:r>
              <w:rPr>
                <w:color w:val="000000"/>
              </w:rPr>
              <w:t>4.5</w:t>
            </w:r>
            <w:r>
              <w:rPr/>
              <w:t xml:space="preserve"> </w:t>
            </w:r>
          </w:p>
        </w:tc>
        <w:tc>
          <w:tcPr>
            <w:tcW w:w="4219"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Pr>
                <w:t>Form of Warrant</w:t>
              </w:r>
            </w:hyperlink>
            <w:r>
              <w:rPr/>
              <w:t xml:space="preserve"> </w:t>
            </w:r>
          </w:p>
        </w:tc>
        <w:tc>
          <w:tcPr>
            <w:tcW w:w="1135" w:type="dxa"/>
            <w:tcBorders/>
            <w:tcMar>
              <w:top w:w="0" w:type="dxa"/>
              <w:left w:w="0" w:type="dxa"/>
              <w:bottom w:w="0" w:type="dxa"/>
              <w:right w:w="0" w:type="dxa"/>
            </w:tcMar>
            <w:vAlign w:val="center"/>
          </w:tcPr>
          <w:p>
            <w:pPr>
              <w:pStyle w:val="TableContents"/>
              <w:bidi w:val="0"/>
              <w:spacing w:before="0" w:after="283"/>
              <w:jc w:val="center"/>
              <w:rPr/>
            </w:pPr>
            <w:r>
              <w:rPr/>
              <w:t xml:space="preserve">8-K </w:t>
            </w:r>
          </w:p>
        </w:tc>
        <w:tc>
          <w:tcPr>
            <w:tcW w:w="1042" w:type="dxa"/>
            <w:tcBorders/>
            <w:tcMar>
              <w:top w:w="0" w:type="dxa"/>
              <w:left w:w="0" w:type="dxa"/>
              <w:bottom w:w="0" w:type="dxa"/>
              <w:right w:w="0" w:type="dxa"/>
            </w:tcMar>
            <w:vAlign w:val="center"/>
          </w:tcPr>
          <w:p>
            <w:pPr>
              <w:pStyle w:val="TableContents"/>
              <w:bidi w:val="0"/>
              <w:spacing w:before="0" w:after="283"/>
              <w:jc w:val="center"/>
              <w:rPr/>
            </w:pPr>
            <w:r>
              <w:rPr/>
              <w:t xml:space="preserve">001-38594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xml:space="preserve">4.2 </w:t>
            </w:r>
          </w:p>
        </w:tc>
        <w:tc>
          <w:tcPr>
            <w:tcW w:w="790" w:type="dxa"/>
            <w:tcBorders/>
            <w:tcMar>
              <w:top w:w="0" w:type="dxa"/>
              <w:left w:w="0" w:type="dxa"/>
              <w:bottom w:w="0" w:type="dxa"/>
              <w:right w:w="0" w:type="dxa"/>
            </w:tcMar>
            <w:vAlign w:val="center"/>
          </w:tcPr>
          <w:p>
            <w:pPr>
              <w:pStyle w:val="TableContents"/>
              <w:bidi w:val="0"/>
              <w:spacing w:before="0" w:after="283"/>
              <w:jc w:val="center"/>
              <w:rPr/>
            </w:pPr>
            <w:r>
              <w:rPr/>
              <w:t xml:space="preserve">3/17/2020 </w:t>
            </w:r>
          </w:p>
        </w:tc>
        <w:tc>
          <w:tcPr>
            <w:tcW w:w="12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0"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ef20078907_ex5-1.htm">
              <w:r>
                <w:rPr>
                  <w:rStyle w:val="InternetLink"/>
                  <w:color w:val="000000"/>
                </w:rPr>
                <w:t>5.1</w:t>
              </w:r>
            </w:hyperlink>
            <w:r>
              <w:rPr/>
              <w:t xml:space="preserve"> </w:t>
            </w:r>
          </w:p>
        </w:tc>
        <w:tc>
          <w:tcPr>
            <w:tcW w:w="4219" w:type="dxa"/>
            <w:tcBorders/>
            <w:shd w:fill="CCEEFF" w:val="clear"/>
            <w:tcMar>
              <w:top w:w="0" w:type="dxa"/>
              <w:left w:w="0" w:type="dxa"/>
              <w:bottom w:w="0" w:type="dxa"/>
              <w:right w:w="0" w:type="dxa"/>
            </w:tcMar>
            <w:vAlign w:val="center"/>
          </w:tcPr>
          <w:p>
            <w:pPr>
              <w:pStyle w:val="TableContents"/>
              <w:bidi w:val="0"/>
              <w:spacing w:before="0" w:after="283"/>
              <w:jc w:val="left"/>
              <w:rPr/>
            </w:pPr>
            <w:r>
              <w:rPr/>
              <w:t xml:space="preserve">Opinion of DLA Piper LLP (US). </w:t>
            </w:r>
          </w:p>
        </w:tc>
        <w:tc>
          <w:tcPr>
            <w:tcW w:w="11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X </w:t>
            </w:r>
          </w:p>
        </w:tc>
      </w:tr>
      <w:tr>
        <w:trPr/>
        <w:tc>
          <w:tcPr>
            <w:tcW w:w="950" w:type="dxa"/>
            <w:tcBorders/>
            <w:tcMar>
              <w:top w:w="0" w:type="dxa"/>
              <w:left w:w="0" w:type="dxa"/>
              <w:bottom w:w="0" w:type="dxa"/>
              <w:right w:w="0" w:type="dxa"/>
            </w:tcMar>
            <w:vAlign w:val="center"/>
          </w:tcPr>
          <w:p>
            <w:pPr>
              <w:pStyle w:val="TableContents"/>
              <w:bidi w:val="0"/>
              <w:spacing w:before="0" w:after="283"/>
              <w:jc w:val="center"/>
              <w:rPr/>
            </w:pPr>
            <w:hyperlink w:anchor="ef20078907_ex23-1.htm">
              <w:r>
                <w:rPr>
                  <w:rStyle w:val="InternetLink"/>
                  <w:color w:val="000000"/>
                </w:rPr>
                <w:t>23.1</w:t>
              </w:r>
            </w:hyperlink>
            <w:r>
              <w:rPr/>
              <w:t xml:space="preserve"> </w:t>
            </w:r>
          </w:p>
        </w:tc>
        <w:tc>
          <w:tcPr>
            <w:tcW w:w="4219" w:type="dxa"/>
            <w:tcBorders/>
            <w:tcMar>
              <w:top w:w="0" w:type="dxa"/>
              <w:left w:w="0" w:type="dxa"/>
              <w:bottom w:w="0" w:type="dxa"/>
              <w:right w:w="0" w:type="dxa"/>
            </w:tcMar>
            <w:vAlign w:val="center"/>
          </w:tcPr>
          <w:p>
            <w:pPr>
              <w:pStyle w:val="TableContents"/>
              <w:bidi w:val="0"/>
              <w:spacing w:before="0" w:after="283"/>
              <w:jc w:val="left"/>
              <w:rPr/>
            </w:pPr>
            <w:r>
              <w:rPr/>
              <w:t xml:space="preserve">Consent of PricewaterhouseCoopers LLP, Independent Registered Public Accounting Firm of Tilray Brands, Inc.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tcMar>
              <w:top w:w="0" w:type="dxa"/>
              <w:left w:w="0" w:type="dxa"/>
              <w:bottom w:w="0" w:type="dxa"/>
              <w:right w:w="0" w:type="dxa"/>
            </w:tcMar>
            <w:vAlign w:val="center"/>
          </w:tcPr>
          <w:p>
            <w:pPr>
              <w:pStyle w:val="TableContents"/>
              <w:bidi w:val="0"/>
              <w:spacing w:before="0" w:after="283"/>
              <w:jc w:val="center"/>
              <w:rPr/>
            </w:pPr>
            <w:r>
              <w:rPr/>
              <w:t xml:space="preserve">X </w:t>
            </w:r>
          </w:p>
        </w:tc>
      </w:tr>
      <w:tr>
        <w:trPr/>
        <w:tc>
          <w:tcPr>
            <w:tcW w:w="950"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ef20078907_ex5-1.htm">
              <w:r>
                <w:rPr>
                  <w:rStyle w:val="InternetLink"/>
                  <w:color w:val="000000"/>
                </w:rPr>
                <w:t>23.2</w:t>
              </w:r>
            </w:hyperlink>
            <w:r>
              <w:rPr/>
              <w:t xml:space="preserve"> </w:t>
            </w:r>
          </w:p>
        </w:tc>
        <w:tc>
          <w:tcPr>
            <w:tcW w:w="4219" w:type="dxa"/>
            <w:tcBorders/>
            <w:shd w:fill="CCEEFF" w:val="clear"/>
            <w:tcMar>
              <w:top w:w="0" w:type="dxa"/>
              <w:left w:w="0" w:type="dxa"/>
              <w:bottom w:w="0" w:type="dxa"/>
              <w:right w:w="0" w:type="dxa"/>
            </w:tcMar>
            <w:vAlign w:val="center"/>
          </w:tcPr>
          <w:p>
            <w:pPr>
              <w:pStyle w:val="TableContents"/>
              <w:bidi w:val="0"/>
              <w:spacing w:before="0" w:after="283"/>
              <w:jc w:val="left"/>
              <w:rPr/>
            </w:pPr>
            <w:r>
              <w:rPr/>
              <w:t xml:space="preserve">Consent of DLA Piper LLP (US) (included in Exhibit 5.1). </w:t>
            </w:r>
          </w:p>
        </w:tc>
        <w:tc>
          <w:tcPr>
            <w:tcW w:w="11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X </w:t>
            </w:r>
          </w:p>
        </w:tc>
      </w:tr>
      <w:tr>
        <w:trPr/>
        <w:tc>
          <w:tcPr>
            <w:tcW w:w="950" w:type="dxa"/>
            <w:tcBorders/>
            <w:tcMar>
              <w:top w:w="0" w:type="dxa"/>
              <w:left w:w="0" w:type="dxa"/>
              <w:bottom w:w="0" w:type="dxa"/>
              <w:right w:w="0" w:type="dxa"/>
            </w:tcMar>
            <w:vAlign w:val="center"/>
          </w:tcPr>
          <w:p>
            <w:pPr>
              <w:pStyle w:val="TableContents"/>
              <w:bidi w:val="0"/>
              <w:spacing w:before="0" w:after="283"/>
              <w:jc w:val="center"/>
              <w:rPr/>
            </w:pPr>
            <w:hyperlink w:anchor="POA">
              <w:r>
                <w:rPr>
                  <w:rStyle w:val="InternetLink"/>
                  <w:color w:val="000000"/>
                </w:rPr>
                <w:t>24.1</w:t>
              </w:r>
            </w:hyperlink>
            <w:r>
              <w:rPr/>
              <w:t xml:space="preserve"> </w:t>
            </w:r>
          </w:p>
        </w:tc>
        <w:tc>
          <w:tcPr>
            <w:tcW w:w="4219" w:type="dxa"/>
            <w:tcBorders/>
            <w:tcMar>
              <w:top w:w="0" w:type="dxa"/>
              <w:left w:w="0" w:type="dxa"/>
              <w:bottom w:w="0" w:type="dxa"/>
              <w:right w:w="0" w:type="dxa"/>
            </w:tcMar>
            <w:vAlign w:val="center"/>
          </w:tcPr>
          <w:p>
            <w:pPr>
              <w:pStyle w:val="TableContents"/>
              <w:bidi w:val="0"/>
              <w:spacing w:before="0" w:after="283"/>
              <w:jc w:val="left"/>
              <w:rPr/>
            </w:pPr>
            <w:r>
              <w:rPr/>
              <w:t xml:space="preserve">Power of Attorney (contained on signature page hereto).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tcMar>
              <w:top w:w="0" w:type="dxa"/>
              <w:left w:w="0" w:type="dxa"/>
              <w:bottom w:w="0" w:type="dxa"/>
              <w:right w:w="0" w:type="dxa"/>
            </w:tcMar>
            <w:vAlign w:val="center"/>
          </w:tcPr>
          <w:p>
            <w:pPr>
              <w:pStyle w:val="TableContents"/>
              <w:bidi w:val="0"/>
              <w:spacing w:before="0" w:after="283"/>
              <w:jc w:val="center"/>
              <w:rPr/>
            </w:pPr>
            <w:r>
              <w:rPr/>
              <w:t xml:space="preserve">X </w:t>
            </w:r>
          </w:p>
        </w:tc>
      </w:tr>
      <w:tr>
        <w:trPr/>
        <w:tc>
          <w:tcPr>
            <w:tcW w:w="950" w:type="dxa"/>
            <w:tcBorders/>
            <w:shd w:fill="CCEEFF" w:val="clear"/>
            <w:tcMar>
              <w:top w:w="0" w:type="dxa"/>
              <w:left w:w="0" w:type="dxa"/>
              <w:bottom w:w="0" w:type="dxa"/>
              <w:right w:w="0" w:type="dxa"/>
            </w:tcMar>
            <w:vAlign w:val="center"/>
          </w:tcPr>
          <w:p>
            <w:pPr>
              <w:pStyle w:val="TableContents"/>
              <w:bidi w:val="0"/>
              <w:spacing w:before="0" w:after="283"/>
              <w:jc w:val="center"/>
              <w:rPr/>
            </w:pPr>
            <w:r>
              <w:rPr>
                <w:color w:val="000000"/>
              </w:rPr>
              <w:t>99.1</w:t>
            </w:r>
            <w:r>
              <w:rPr/>
              <w:t xml:space="preserve"> </w:t>
            </w:r>
          </w:p>
        </w:tc>
        <w:tc>
          <w:tcPr>
            <w:tcW w:w="4219" w:type="dxa"/>
            <w:tcBorders/>
            <w:shd w:fill="CCEE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Pr>
                <w:t>Amended and Restated 2018 Equity Incentive Plan.</w:t>
              </w:r>
            </w:hyperlink>
            <w:r>
              <w:rPr/>
              <w:t xml:space="preserve"> </w:t>
            </w:r>
          </w:p>
        </w:tc>
        <w:tc>
          <w:tcPr>
            <w:tcW w:w="113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S-1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333-225741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10.2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7/9/2018 </w:t>
            </w:r>
          </w:p>
        </w:tc>
        <w:tc>
          <w:tcPr>
            <w:tcW w:w="12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0" w:type="dxa"/>
            <w:tcBorders/>
            <w:tcMar>
              <w:top w:w="0" w:type="dxa"/>
              <w:left w:w="0" w:type="dxa"/>
              <w:bottom w:w="0" w:type="dxa"/>
              <w:right w:w="0" w:type="dxa"/>
            </w:tcMar>
            <w:vAlign w:val="center"/>
          </w:tcPr>
          <w:p>
            <w:pPr>
              <w:pStyle w:val="TableContents"/>
              <w:bidi w:val="0"/>
              <w:spacing w:before="0" w:after="283"/>
              <w:jc w:val="center"/>
              <w:rPr/>
            </w:pPr>
            <w:hyperlink w:anchor="ef20078907_ex107.htm">
              <w:r>
                <w:rPr>
                  <w:rStyle w:val="InternetLink"/>
                  <w:color w:val="000000"/>
                </w:rPr>
                <w:t>107</w:t>
              </w:r>
            </w:hyperlink>
            <w:r>
              <w:rPr/>
              <w:t xml:space="preserve"> </w:t>
            </w:r>
          </w:p>
        </w:tc>
        <w:tc>
          <w:tcPr>
            <w:tcW w:w="4219" w:type="dxa"/>
            <w:tcBorders/>
            <w:tcMar>
              <w:top w:w="0" w:type="dxa"/>
              <w:left w:w="0" w:type="dxa"/>
              <w:bottom w:w="0" w:type="dxa"/>
              <w:right w:w="0" w:type="dxa"/>
            </w:tcMar>
            <w:vAlign w:val="center"/>
          </w:tcPr>
          <w:p>
            <w:pPr>
              <w:pStyle w:val="TableContents"/>
              <w:bidi w:val="0"/>
              <w:spacing w:before="0" w:after="283"/>
              <w:jc w:val="left"/>
              <w:rPr/>
            </w:pPr>
            <w:r>
              <w:rPr/>
              <w:t xml:space="preserve">Filing fee table </w:t>
            </w:r>
          </w:p>
        </w:tc>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tcMar>
              <w:top w:w="0" w:type="dxa"/>
              <w:left w:w="0" w:type="dxa"/>
              <w:bottom w:w="0" w:type="dxa"/>
              <w:right w:w="0" w:type="dxa"/>
            </w:tcMar>
            <w:vAlign w:val="center"/>
          </w:tcPr>
          <w:p>
            <w:pPr>
              <w:pStyle w:val="TableContents"/>
              <w:bidi w:val="0"/>
              <w:spacing w:before="0" w:after="283"/>
              <w:jc w:val="center"/>
              <w:rPr/>
            </w:pPr>
            <w:r>
              <w:rPr/>
              <w:t xml:space="preserve">X </w:t>
            </w:r>
          </w:p>
        </w:tc>
      </w:tr>
    </w:tbl>
    <w:p>
      <w:pPr>
        <w:pStyle w:val="TextBody"/>
        <w:bidi w:val="0"/>
        <w:spacing w:before="0" w:after="0"/>
        <w:jc w:val="left"/>
        <w:rPr>
          <w:color w:val="000000"/>
        </w:rPr>
      </w:pPr>
      <w:r>
        <w:rPr>
          <w:color w:val="000000"/>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4</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olor w:val="000000"/>
        </w:rPr>
      </w:pPr>
      <w:r>
        <w:rPr>
          <w:b/>
          <w:color w:val="000000"/>
        </w:rPr>
        <w:t>SIGNATURES</w:t>
      </w:r>
      <w:r>
        <w:rPr>
          <w:color w:val="000000"/>
        </w:rPr>
        <w:t xml:space="preserve"> </w:t>
      </w:r>
    </w:p>
    <w:p>
      <w:pPr>
        <w:pStyle w:val="TextBody"/>
        <w:bidi w:val="0"/>
        <w:spacing w:before="0" w:after="0"/>
        <w:jc w:val="center"/>
        <w:rPr>
          <w:color w:val="000000"/>
        </w:rPr>
      </w:pPr>
      <w:r>
        <w:rPr>
          <w:color w:val="000000"/>
        </w:rPr>
        <w:t xml:space="preserve">  </w:t>
      </w:r>
    </w:p>
    <w:p>
      <w:pPr>
        <w:pStyle w:val="TextBody"/>
        <w:bidi w:val="0"/>
        <w:spacing w:before="0" w:after="0"/>
        <w:ind w:left="0" w:right="0" w:firstLine="720"/>
        <w:jc w:val="left"/>
        <w:rPr>
          <w:color w:val="000000"/>
        </w:rPr>
      </w:pPr>
      <w:r>
        <w:rPr>
          <w:color w:val="00000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July 31, 2026. </w:t>
      </w:r>
    </w:p>
    <w:p>
      <w:pPr>
        <w:pStyle w:val="TextBody"/>
        <w:bidi w:val="0"/>
        <w:spacing w:before="0" w:after="0"/>
        <w:jc w:val="left"/>
        <w:rPr>
          <w:color w:val="000000"/>
        </w:rPr>
      </w:pPr>
      <w:r>
        <w:rPr>
          <w:color w:val="000000"/>
        </w:rPr>
        <w:t xml:space="preserve">  </w:t>
      </w:r>
    </w:p>
    <w:tbl>
      <w:tblPr>
        <w:tblW w:w="3148" w:type="dxa"/>
        <w:jc w:val="left"/>
        <w:tblInd w:w="0" w:type="dxa"/>
        <w:tblLayout w:type="fixed"/>
        <w:tblCellMar>
          <w:top w:w="28" w:type="dxa"/>
          <w:left w:w="28" w:type="dxa"/>
          <w:bottom w:w="28" w:type="dxa"/>
          <w:right w:w="28" w:type="dxa"/>
        </w:tblCellMar>
      </w:tblPr>
      <w:tblGrid>
        <w:gridCol w:w="221"/>
        <w:gridCol w:w="511"/>
        <w:gridCol w:w="2416"/>
      </w:tblGrid>
      <w:tr>
        <w:trPr/>
        <w:tc>
          <w:tcPr>
            <w:tcW w:w="22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927" w:type="dxa"/>
            <w:gridSpan w:val="2"/>
            <w:tcBorders/>
            <w:vAlign w:val="center"/>
          </w:tcPr>
          <w:p>
            <w:pPr>
              <w:pStyle w:val="TableContents"/>
              <w:bidi w:val="0"/>
              <w:spacing w:before="0" w:after="0"/>
              <w:jc w:val="left"/>
              <w:rPr>
                <w:color w:val="000000"/>
              </w:rPr>
            </w:pPr>
            <w:r>
              <w:rPr>
                <w:b/>
                <w:color w:val="000000"/>
              </w:rPr>
              <w:t>TILRAY BRANDS, INC.</w:t>
            </w:r>
            <w:r>
              <w:rPr>
                <w:color w:val="000000"/>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241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By: </w:t>
            </w:r>
          </w:p>
        </w:tc>
        <w:tc>
          <w:tcPr>
            <w:tcW w:w="2416"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Irwin D. Simon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241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Irwin D. Simon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416" w:type="dxa"/>
            <w:tcBorders/>
            <w:tcMar>
              <w:top w:w="0" w:type="dxa"/>
              <w:left w:w="0" w:type="dxa"/>
              <w:bottom w:w="0" w:type="dxa"/>
              <w:right w:w="0" w:type="dxa"/>
            </w:tcMar>
            <w:vAlign w:val="center"/>
          </w:tcPr>
          <w:p>
            <w:pPr>
              <w:pStyle w:val="TableContents"/>
              <w:bidi w:val="0"/>
              <w:spacing w:before="0" w:after="0"/>
              <w:jc w:val="left"/>
              <w:rPr>
                <w:color w:val="000000"/>
              </w:rPr>
            </w:pPr>
            <w:r>
              <w:rPr>
                <w:i/>
                <w:color w:val="000000"/>
              </w:rPr>
              <w:t>Chief Executive Officer</w:t>
            </w:r>
            <w:r>
              <w:rPr>
                <w:color w:val="000000"/>
              </w:rPr>
              <w:t xml:space="preserve"> </w:t>
            </w:r>
          </w:p>
        </w:tc>
      </w:tr>
    </w:tbl>
    <w:p>
      <w:pPr>
        <w:pStyle w:val="TextBody"/>
        <w:bidi w:val="0"/>
        <w:spacing w:before="0" w:after="0"/>
        <w:jc w:val="left"/>
        <w:rPr>
          <w:color w:val="000000"/>
        </w:rPr>
      </w:pPr>
      <w:r>
        <w:rPr>
          <w:color w:val="000000"/>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5</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olor w:val="000000"/>
        </w:rPr>
      </w:pPr>
      <w:bookmarkStart w:id="2" w:name="POA"/>
      <w:bookmarkEnd w:id="2"/>
      <w:r>
        <w:rPr>
          <w:b/>
          <w:color w:val="000000"/>
        </w:rPr>
        <w:t>POWER OF ATTORNEY</w:t>
      </w:r>
      <w:r>
        <w:rPr>
          <w:color w:val="000000"/>
        </w:rPr>
        <w:t xml:space="preserve"> </w:t>
      </w:r>
    </w:p>
    <w:p>
      <w:pPr>
        <w:pStyle w:val="TextBody"/>
        <w:bidi w:val="0"/>
        <w:spacing w:before="0" w:after="0"/>
        <w:jc w:val="center"/>
        <w:rPr>
          <w:color w:val="000000"/>
        </w:rPr>
      </w:pPr>
      <w:r>
        <w:rPr>
          <w:color w:val="000000"/>
        </w:rPr>
        <w:t xml:space="preserve">  </w:t>
      </w:r>
    </w:p>
    <w:p>
      <w:pPr>
        <w:pStyle w:val="TextBody"/>
        <w:bidi w:val="0"/>
        <w:spacing w:before="0" w:after="0"/>
        <w:ind w:left="0" w:right="0" w:firstLine="720"/>
        <w:jc w:val="both"/>
        <w:rPr>
          <w:color w:val="000000"/>
        </w:rPr>
      </w:pPr>
      <w:r>
        <w:rPr>
          <w:b/>
          <w:color w:val="000000"/>
        </w:rPr>
        <w:t>KNOW ALL PERSONS BY THESE PRESENTS</w:t>
      </w:r>
      <w:r>
        <w:rPr>
          <w:color w:val="000000"/>
        </w:rPr>
        <w:t xml:space="preserve">, that each person whose signature appears below constitute and appoint Irwin D. Simon and Mitchell Gendel,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or her substitute or substitutes, may lawfully do or cause to be done by virtue hereof. </w:t>
      </w:r>
    </w:p>
    <w:p>
      <w:pPr>
        <w:pStyle w:val="TextBody"/>
        <w:bidi w:val="0"/>
        <w:spacing w:before="0" w:after="0"/>
        <w:jc w:val="both"/>
        <w:rPr>
          <w:color w:val="000000"/>
        </w:rPr>
      </w:pPr>
      <w:r>
        <w:rPr>
          <w:color w:val="000000"/>
        </w:rPr>
        <w:t xml:space="preserve">  </w:t>
      </w:r>
    </w:p>
    <w:p>
      <w:pPr>
        <w:pStyle w:val="TextBody"/>
        <w:bidi w:val="0"/>
        <w:spacing w:before="0" w:after="0"/>
        <w:ind w:left="0" w:right="0" w:firstLine="720"/>
        <w:jc w:val="both"/>
        <w:rPr>
          <w:color w:val="000000"/>
        </w:rPr>
      </w:pPr>
      <w:r>
        <w:rPr>
          <w:color w:val="00000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both"/>
        <w:rPr>
          <w:color w:val="000000"/>
        </w:rPr>
      </w:pP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139"/>
        <w:gridCol w:w="285"/>
        <w:gridCol w:w="5999"/>
        <w:gridCol w:w="285"/>
        <w:gridCol w:w="1497"/>
      </w:tblGrid>
      <w:tr>
        <w:trPr/>
        <w:tc>
          <w:tcPr>
            <w:tcW w:w="2139"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5999"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283"/>
              <w:jc w:val="center"/>
              <w:rPr/>
            </w:pPr>
            <w:r>
              <w:rPr/>
              <w:t> </w:t>
            </w:r>
          </w:p>
        </w:tc>
      </w:tr>
      <w:tr>
        <w:trPr/>
        <w:tc>
          <w:tcPr>
            <w:tcW w:w="2139" w:type="dxa"/>
            <w:tcBorders>
              <w:bottom w:val="single" w:sz="12" w:space="0" w:color="000000"/>
            </w:tcBorders>
            <w:tcMar>
              <w:top w:w="0" w:type="dxa"/>
              <w:left w:w="0" w:type="dxa"/>
              <w:right w:w="0" w:type="dxa"/>
            </w:tcMar>
            <w:vAlign w:val="center"/>
          </w:tcPr>
          <w:p>
            <w:pPr>
              <w:pStyle w:val="TableContents"/>
              <w:bidi w:val="0"/>
              <w:spacing w:before="0" w:after="0"/>
              <w:jc w:val="center"/>
              <w:rPr>
                <w:color w:val="000000"/>
              </w:rPr>
            </w:pPr>
            <w:r>
              <w:rPr>
                <w:b/>
                <w:color w:val="000000"/>
              </w:rPr>
              <w:t>Name</w:t>
            </w:r>
            <w:r>
              <w:rPr>
                <w:color w:val="000000"/>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bottom w:val="single" w:sz="12" w:space="0" w:color="000000"/>
            </w:tcBorders>
            <w:tcMar>
              <w:top w:w="0" w:type="dxa"/>
              <w:left w:w="0" w:type="dxa"/>
              <w:right w:w="0" w:type="dxa"/>
            </w:tcMar>
            <w:vAlign w:val="center"/>
          </w:tcPr>
          <w:p>
            <w:pPr>
              <w:pStyle w:val="TableContents"/>
              <w:bidi w:val="0"/>
              <w:spacing w:before="0" w:after="0"/>
              <w:jc w:val="center"/>
              <w:rPr>
                <w:color w:val="000000"/>
              </w:rPr>
            </w:pPr>
            <w:r>
              <w:rPr>
                <w:b/>
                <w:color w:val="000000"/>
              </w:rPr>
              <w:t>Position</w:t>
            </w:r>
            <w:r>
              <w:rPr>
                <w:color w:val="000000"/>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1497" w:type="dxa"/>
            <w:tcBorders>
              <w:bottom w:val="single" w:sz="12" w:space="0" w:color="000000"/>
            </w:tcBorders>
            <w:tcMar>
              <w:top w:w="0" w:type="dxa"/>
              <w:left w:w="0" w:type="dxa"/>
              <w:right w:w="0" w:type="dxa"/>
            </w:tcMar>
            <w:vAlign w:val="center"/>
          </w:tcPr>
          <w:p>
            <w:pPr>
              <w:pStyle w:val="TableContents"/>
              <w:bidi w:val="0"/>
              <w:spacing w:before="0" w:after="0"/>
              <w:jc w:val="center"/>
              <w:rPr>
                <w:color w:val="000000"/>
              </w:rPr>
            </w:pPr>
            <w:r>
              <w:rPr>
                <w:b/>
                <w:color w:val="000000"/>
              </w:rPr>
              <w:t>Date</w:t>
            </w:r>
            <w:r>
              <w:rPr>
                <w:color w:val="000000"/>
              </w:rPr>
              <w:t xml:space="preserve"> </w:t>
            </w:r>
          </w:p>
        </w:tc>
      </w:tr>
      <w:tr>
        <w:trPr/>
        <w:tc>
          <w:tcPr>
            <w:tcW w:w="213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1497"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  </w:t>
            </w:r>
          </w:p>
        </w:tc>
      </w:tr>
      <w:tr>
        <w:trPr/>
        <w:tc>
          <w:tcPr>
            <w:tcW w:w="2139"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Irwin D. Simon </w:t>
            </w:r>
          </w:p>
        </w:tc>
        <w:tc>
          <w:tcPr>
            <w:tcW w:w="285"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Chief Executive Officer and Chairman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497"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July 31, 2026 </w:t>
            </w:r>
          </w:p>
        </w:tc>
      </w:tr>
      <w:tr>
        <w:trPr/>
        <w:tc>
          <w:tcPr>
            <w:tcW w:w="213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Irwin D. Simon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(Principal Executive Officer)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497" w:type="dxa"/>
            <w:tcBorders/>
            <w:tcMar>
              <w:top w:w="0" w:type="dxa"/>
              <w:left w:w="0" w:type="dxa"/>
              <w:bottom w:w="0" w:type="dxa"/>
              <w:right w:w="0" w:type="dxa"/>
            </w:tcMar>
            <w:vAlign w:val="center"/>
          </w:tcPr>
          <w:p>
            <w:pPr>
              <w:pStyle w:val="TableContents"/>
              <w:bidi w:val="0"/>
              <w:spacing w:before="0" w:after="283"/>
              <w:jc w:val="center"/>
              <w:rPr/>
            </w:pPr>
            <w:r>
              <w:rPr/>
              <w:t xml:space="preserve">  </w:t>
            </w:r>
          </w:p>
        </w:tc>
      </w:tr>
      <w:tr>
        <w:trPr/>
        <w:tc>
          <w:tcPr>
            <w:tcW w:w="213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1497"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  </w:t>
            </w:r>
          </w:p>
        </w:tc>
      </w:tr>
      <w:tr>
        <w:trPr/>
        <w:tc>
          <w:tcPr>
            <w:tcW w:w="2139"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Carl A. Merton </w:t>
            </w:r>
          </w:p>
        </w:tc>
        <w:tc>
          <w:tcPr>
            <w:tcW w:w="285"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Chief Financial Officer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497" w:type="dxa"/>
            <w:tcBorders/>
            <w:tcMar>
              <w:top w:w="0" w:type="dxa"/>
              <w:left w:w="0" w:type="dxa"/>
              <w:bottom w:w="0" w:type="dxa"/>
              <w:right w:w="0" w:type="dxa"/>
            </w:tcMar>
            <w:vAlign w:val="center"/>
          </w:tcPr>
          <w:p>
            <w:pPr>
              <w:pStyle w:val="TableContents"/>
              <w:bidi w:val="0"/>
              <w:spacing w:before="0" w:after="283"/>
              <w:jc w:val="center"/>
              <w:rPr/>
            </w:pPr>
            <w:r>
              <w:rPr/>
              <w:t xml:space="preserve">  </w:t>
            </w:r>
          </w:p>
        </w:tc>
      </w:tr>
      <w:tr>
        <w:trPr/>
        <w:tc>
          <w:tcPr>
            <w:tcW w:w="213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Carl A. Merton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(Principal Financial Officer and Principal Accounting Officer)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497"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July 31, 2026 </w:t>
            </w:r>
          </w:p>
        </w:tc>
      </w:tr>
      <w:tr>
        <w:trPr/>
        <w:tc>
          <w:tcPr>
            <w:tcW w:w="213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1497"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  </w:t>
            </w:r>
          </w:p>
        </w:tc>
      </w:tr>
      <w:tr>
        <w:trPr/>
        <w:tc>
          <w:tcPr>
            <w:tcW w:w="2139"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Renah Persofksy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Director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1497"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July 31, 2026 </w:t>
            </w:r>
          </w:p>
        </w:tc>
      </w:tr>
      <w:tr>
        <w:trPr/>
        <w:tc>
          <w:tcPr>
            <w:tcW w:w="213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Renah Persofksy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99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497" w:type="dxa"/>
            <w:tcBorders/>
            <w:tcMar>
              <w:top w:w="0" w:type="dxa"/>
              <w:left w:w="0" w:type="dxa"/>
              <w:bottom w:w="0" w:type="dxa"/>
              <w:right w:w="0" w:type="dxa"/>
            </w:tcMar>
            <w:vAlign w:val="center"/>
          </w:tcPr>
          <w:p>
            <w:pPr>
              <w:pStyle w:val="TableContents"/>
              <w:bidi w:val="0"/>
              <w:spacing w:before="0" w:after="283"/>
              <w:jc w:val="center"/>
              <w:rPr/>
            </w:pPr>
            <w:r>
              <w:rPr/>
              <w:t xml:space="preserve">  </w:t>
            </w:r>
          </w:p>
        </w:tc>
      </w:tr>
      <w:tr>
        <w:trPr/>
        <w:tc>
          <w:tcPr>
            <w:tcW w:w="213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1497"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  </w:t>
            </w:r>
          </w:p>
        </w:tc>
      </w:tr>
      <w:tr>
        <w:trPr/>
        <w:tc>
          <w:tcPr>
            <w:tcW w:w="2139"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Steven Cohen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Director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1497"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July 31, 2026 </w:t>
            </w:r>
          </w:p>
        </w:tc>
      </w:tr>
      <w:tr>
        <w:trPr/>
        <w:tc>
          <w:tcPr>
            <w:tcW w:w="213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Steven Cohen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99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497" w:type="dxa"/>
            <w:tcBorders/>
            <w:tcMar>
              <w:top w:w="0" w:type="dxa"/>
              <w:left w:w="0" w:type="dxa"/>
              <w:bottom w:w="0" w:type="dxa"/>
              <w:right w:w="0" w:type="dxa"/>
            </w:tcMar>
            <w:vAlign w:val="center"/>
          </w:tcPr>
          <w:p>
            <w:pPr>
              <w:pStyle w:val="TableContents"/>
              <w:bidi w:val="0"/>
              <w:spacing w:before="0" w:after="283"/>
              <w:jc w:val="center"/>
              <w:rPr/>
            </w:pPr>
            <w:r>
              <w:rPr/>
              <w:t xml:space="preserve">  </w:t>
            </w:r>
          </w:p>
        </w:tc>
      </w:tr>
      <w:tr>
        <w:trPr/>
        <w:tc>
          <w:tcPr>
            <w:tcW w:w="213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1497"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  </w:t>
            </w:r>
          </w:p>
        </w:tc>
      </w:tr>
      <w:tr>
        <w:trPr/>
        <w:tc>
          <w:tcPr>
            <w:tcW w:w="2139"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David Clanachan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Director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1497"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July 31, 2026 </w:t>
            </w:r>
          </w:p>
        </w:tc>
      </w:tr>
      <w:tr>
        <w:trPr/>
        <w:tc>
          <w:tcPr>
            <w:tcW w:w="213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David Clanachan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99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497" w:type="dxa"/>
            <w:tcBorders/>
            <w:tcMar>
              <w:top w:w="0" w:type="dxa"/>
              <w:left w:w="0" w:type="dxa"/>
              <w:bottom w:w="0" w:type="dxa"/>
              <w:right w:w="0" w:type="dxa"/>
            </w:tcMar>
            <w:vAlign w:val="center"/>
          </w:tcPr>
          <w:p>
            <w:pPr>
              <w:pStyle w:val="TableContents"/>
              <w:bidi w:val="0"/>
              <w:spacing w:before="0" w:after="283"/>
              <w:jc w:val="center"/>
              <w:rPr/>
            </w:pPr>
            <w:r>
              <w:rPr/>
              <w:t xml:space="preserve">  </w:t>
            </w:r>
          </w:p>
        </w:tc>
      </w:tr>
      <w:tr>
        <w:trPr/>
        <w:tc>
          <w:tcPr>
            <w:tcW w:w="213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1497"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  </w:t>
            </w:r>
          </w:p>
        </w:tc>
      </w:tr>
      <w:tr>
        <w:trPr/>
        <w:tc>
          <w:tcPr>
            <w:tcW w:w="2139"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John M. Herhalt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Director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1497"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July 31, 2026 </w:t>
            </w:r>
          </w:p>
        </w:tc>
      </w:tr>
      <w:tr>
        <w:trPr/>
        <w:tc>
          <w:tcPr>
            <w:tcW w:w="213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John M. Herhalt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99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497" w:type="dxa"/>
            <w:tcBorders/>
            <w:tcMar>
              <w:top w:w="0" w:type="dxa"/>
              <w:left w:w="0" w:type="dxa"/>
              <w:bottom w:w="0" w:type="dxa"/>
              <w:right w:w="0" w:type="dxa"/>
            </w:tcMar>
            <w:vAlign w:val="center"/>
          </w:tcPr>
          <w:p>
            <w:pPr>
              <w:pStyle w:val="TableContents"/>
              <w:bidi w:val="0"/>
              <w:spacing w:before="0" w:after="283"/>
              <w:jc w:val="center"/>
              <w:rPr/>
            </w:pPr>
            <w:r>
              <w:rPr/>
              <w:t xml:space="preserve">  </w:t>
            </w:r>
          </w:p>
        </w:tc>
      </w:tr>
      <w:tr>
        <w:trPr/>
        <w:tc>
          <w:tcPr>
            <w:tcW w:w="213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1497"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  </w:t>
            </w:r>
          </w:p>
        </w:tc>
      </w:tr>
      <w:tr>
        <w:trPr/>
        <w:tc>
          <w:tcPr>
            <w:tcW w:w="2139"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David Hopkinson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Director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1497"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July 31, 2026 </w:t>
            </w:r>
          </w:p>
        </w:tc>
      </w:tr>
      <w:tr>
        <w:trPr/>
        <w:tc>
          <w:tcPr>
            <w:tcW w:w="213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David Hopkinson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99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497" w:type="dxa"/>
            <w:tcBorders/>
            <w:tcMar>
              <w:top w:w="0" w:type="dxa"/>
              <w:left w:w="0" w:type="dxa"/>
              <w:bottom w:w="0" w:type="dxa"/>
              <w:right w:w="0" w:type="dxa"/>
            </w:tcMar>
            <w:vAlign w:val="center"/>
          </w:tcPr>
          <w:p>
            <w:pPr>
              <w:pStyle w:val="TableContents"/>
              <w:bidi w:val="0"/>
              <w:spacing w:before="0" w:after="283"/>
              <w:jc w:val="center"/>
              <w:rPr/>
            </w:pPr>
            <w:r>
              <w:rPr/>
              <w:t xml:space="preserve">  </w:t>
            </w:r>
          </w:p>
        </w:tc>
      </w:tr>
      <w:tr>
        <w:trPr/>
        <w:tc>
          <w:tcPr>
            <w:tcW w:w="213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1497"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  </w:t>
            </w:r>
          </w:p>
        </w:tc>
      </w:tr>
      <w:tr>
        <w:trPr/>
        <w:tc>
          <w:tcPr>
            <w:tcW w:w="2139"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Thomas Looney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Director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1497"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July 31, 2026 </w:t>
            </w:r>
          </w:p>
        </w:tc>
      </w:tr>
      <w:tr>
        <w:trPr/>
        <w:tc>
          <w:tcPr>
            <w:tcW w:w="213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Thomas Looney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99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497" w:type="dxa"/>
            <w:tcBorders/>
            <w:tcMar>
              <w:top w:w="0" w:type="dxa"/>
              <w:left w:w="0" w:type="dxa"/>
              <w:bottom w:w="0" w:type="dxa"/>
              <w:right w:w="0" w:type="dxa"/>
            </w:tcMar>
            <w:vAlign w:val="center"/>
          </w:tcPr>
          <w:p>
            <w:pPr>
              <w:pStyle w:val="TableContents"/>
              <w:bidi w:val="0"/>
              <w:spacing w:before="0" w:after="283"/>
              <w:jc w:val="center"/>
              <w:rPr/>
            </w:pPr>
            <w:r>
              <w:rPr/>
              <w:t xml:space="preserve">  </w:t>
            </w:r>
          </w:p>
        </w:tc>
      </w:tr>
      <w:tr>
        <w:trPr/>
        <w:tc>
          <w:tcPr>
            <w:tcW w:w="213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599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1497"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  </w:t>
            </w:r>
          </w:p>
        </w:tc>
      </w:tr>
    </w:tbl>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3" w:name="ef20078907_ex5-1.htm"/>
      <w:bookmarkStart w:id="4" w:name="ksef20078907_ex51"/>
      <w:bookmarkStart w:id="5" w:name="ef20078907_ex5-1.htm"/>
      <w:bookmarkStart w:id="6" w:name="ksef20078907_ex51"/>
      <w:bookmarkEnd w:id="5"/>
      <w:bookmarkEnd w:id="6"/>
      <w:r>
        <w:br w:type="page"/>
      </w:r>
    </w:p>
    <w:p>
      <w:pPr>
        <w:pStyle w:val="TextBody"/>
        <w:bidi w:val="0"/>
        <w:spacing w:before="0" w:after="0"/>
        <w:jc w:val="right"/>
        <w:rPr>
          <w:color w:val="000000"/>
        </w:rPr>
      </w:pPr>
      <w:r>
        <w:rPr>
          <w:b/>
          <w:color w:val="000000"/>
        </w:rPr>
        <w:t>Exhibit 5.1</w:t>
      </w:r>
      <w:r>
        <w:rPr>
          <w:color w:val="000000"/>
        </w:rPr>
        <w:t xml:space="preserve"> </w:t>
      </w:r>
    </w:p>
    <w:p>
      <w:pPr>
        <w:pStyle w:val="TextBody"/>
        <w:bidi w:val="0"/>
        <w:spacing w:before="0" w:after="0"/>
        <w:jc w:val="left"/>
        <w:rPr/>
      </w:pPr>
      <w:r>
        <w:rPr/>
        <w:t xml:space="preserve">  </w:t>
      </w:r>
    </w:p>
    <w:tbl>
      <w:tblPr>
        <w:tblW w:w="6012" w:type="dxa"/>
        <w:jc w:val="left"/>
        <w:tblInd w:w="0" w:type="dxa"/>
        <w:tblLayout w:type="fixed"/>
        <w:tblCellMar>
          <w:top w:w="28" w:type="dxa"/>
          <w:left w:w="28" w:type="dxa"/>
          <w:bottom w:w="28" w:type="dxa"/>
          <w:right w:w="28" w:type="dxa"/>
        </w:tblCellMar>
      </w:tblPr>
      <w:tblGrid>
        <w:gridCol w:w="2426"/>
        <w:gridCol w:w="3586"/>
      </w:tblGrid>
      <w:tr>
        <w:trPr/>
        <w:tc>
          <w:tcPr>
            <w:tcW w:w="2426"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242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drawing>
                <wp:inline distT="0" distB="0" distL="0" distR="0">
                  <wp:extent cx="1438275" cy="92392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7"/>
                          <a:stretch>
                            <a:fillRect/>
                          </a:stretch>
                        </pic:blipFill>
                        <pic:spPr bwMode="auto">
                          <a:xfrm>
                            <a:off x="0" y="0"/>
                            <a:ext cx="1438275" cy="923925"/>
                          </a:xfrm>
                          <a:prstGeom prst="rect">
                            <a:avLst/>
                          </a:prstGeom>
                        </pic:spPr>
                      </pic:pic>
                    </a:graphicData>
                  </a:graphic>
                </wp:inline>
              </w:drawing>
            </w:r>
            <w:r>
              <w:rPr>
                <w:color w:val="000000"/>
              </w:rPr>
              <w:t xml:space="preserve"> </w:t>
            </w:r>
          </w:p>
        </w:tc>
        <w:tc>
          <w:tcPr>
            <w:tcW w:w="3586" w:type="dxa"/>
            <w:tcBorders/>
            <w:tcMar>
              <w:top w:w="0" w:type="dxa"/>
              <w:left w:w="0" w:type="dxa"/>
              <w:bottom w:w="0" w:type="dxa"/>
              <w:right w:w="0" w:type="dxa"/>
            </w:tcMar>
            <w:vAlign w:val="center"/>
          </w:tcPr>
          <w:p>
            <w:pPr>
              <w:pStyle w:val="TableContents"/>
              <w:bidi w:val="0"/>
              <w:spacing w:before="0" w:after="0"/>
              <w:jc w:val="left"/>
              <w:rPr>
                <w:color w:val="000000"/>
              </w:rPr>
            </w:pPr>
            <w:r>
              <w:rPr>
                <w:b/>
                <w:color w:val="000000"/>
              </w:rPr>
              <w:t>DLA Piper LLP (US)</w:t>
            </w:r>
            <w:r>
              <w:rPr>
                <w:color w:val="000000"/>
              </w:rPr>
              <w:t xml:space="preserve"> </w:t>
            </w:r>
          </w:p>
          <w:p>
            <w:pPr>
              <w:pStyle w:val="TableContents"/>
              <w:bidi w:val="0"/>
              <w:spacing w:before="0" w:after="0"/>
              <w:jc w:val="left"/>
              <w:rPr>
                <w:color w:val="000000"/>
              </w:rPr>
            </w:pPr>
            <w:r>
              <w:rPr>
                <w:color w:val="000000"/>
              </w:rPr>
              <w:t xml:space="preserve">1251 Avenue of the Americas </w:t>
            </w:r>
          </w:p>
          <w:p>
            <w:pPr>
              <w:pStyle w:val="TableContents"/>
              <w:bidi w:val="0"/>
              <w:spacing w:before="0" w:after="0"/>
              <w:jc w:val="left"/>
              <w:rPr>
                <w:color w:val="000000"/>
              </w:rPr>
            </w:pPr>
            <w:r>
              <w:rPr>
                <w:color w:val="000000"/>
              </w:rPr>
              <w:t xml:space="preserve">27th Floor </w:t>
            </w:r>
          </w:p>
          <w:p>
            <w:pPr>
              <w:pStyle w:val="TableContents"/>
              <w:bidi w:val="0"/>
              <w:spacing w:before="0" w:after="0"/>
              <w:jc w:val="left"/>
              <w:rPr>
                <w:color w:val="000000"/>
              </w:rPr>
            </w:pPr>
            <w:r>
              <w:rPr>
                <w:color w:val="000000"/>
              </w:rPr>
              <w:t xml:space="preserve">New York, New York 10020-1104 </w:t>
            </w:r>
          </w:p>
          <w:p>
            <w:pPr>
              <w:pStyle w:val="TableContents"/>
              <w:bidi w:val="0"/>
              <w:spacing w:before="0" w:after="0"/>
              <w:jc w:val="left"/>
              <w:rPr>
                <w:color w:val="000000"/>
              </w:rPr>
            </w:pPr>
            <w:r>
              <w:rPr>
                <w:color w:val="000000"/>
              </w:rPr>
              <w:t xml:space="preserve">www.dlapiper.com </w:t>
            </w:r>
          </w:p>
        </w:tc>
      </w:tr>
    </w:tbl>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July 31, 2026</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xml:space="preserve">Tilray Brands, Inc. </w:t>
      </w:r>
    </w:p>
    <w:p>
      <w:pPr>
        <w:pStyle w:val="TextBody"/>
        <w:bidi w:val="0"/>
        <w:spacing w:before="0" w:after="0"/>
        <w:jc w:val="left"/>
        <w:rPr>
          <w:color w:val="000000"/>
        </w:rPr>
      </w:pPr>
      <w:r>
        <w:rPr>
          <w:color w:val="000000"/>
        </w:rPr>
        <w:t xml:space="preserve">265 Talbot Street West </w:t>
      </w:r>
    </w:p>
    <w:p>
      <w:pPr>
        <w:pStyle w:val="TextBody"/>
        <w:bidi w:val="0"/>
        <w:spacing w:before="0" w:after="0"/>
        <w:jc w:val="left"/>
        <w:rPr>
          <w:color w:val="000000"/>
        </w:rPr>
      </w:pPr>
      <w:r>
        <w:rPr>
          <w:color w:val="000000"/>
        </w:rPr>
        <w:t xml:space="preserve">Leamington, Ontario, Canada N8H 4H3 </w: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rPr>
      </w:pPr>
      <w:r>
        <w:rPr>
          <w:b/>
          <w:color w:val="000000"/>
        </w:rPr>
        <w:t>Securities Being Registered under Registration Statement on Form S-8</w:t>
      </w:r>
      <w:r>
        <w:rPr>
          <w:color w:val="000000"/>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rPr>
                              <w:t>Re: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Re:</w:t>
                      </w:r>
                      <w:r>
                        <w:rPr/>
                        <w:t xml:space="preserve"> </w:t>
                      </w:r>
                    </w:p>
                  </w:txbxContent>
                </v:textbox>
                <w10:wrap type="square" side="right"/>
              </v:rect>
            </w:pict>
          </mc:Fallback>
        </mc:AlternateContent>
      </w:r>
    </w:p>
    <w:p>
      <w:pPr>
        <w:pStyle w:val="TextBody"/>
        <w:bidi w:val="0"/>
        <w:spacing w:before="0" w:after="0"/>
        <w:ind w:left="720" w:right="0" w:hanging="0"/>
        <w:jc w:val="left"/>
        <w:rPr>
          <w:color w:val="000000"/>
        </w:rPr>
      </w:pPr>
      <w:r>
        <w:rPr>
          <w:color w:val="000000"/>
        </w:rPr>
        <w:t xml:space="preserve">  </w:t>
      </w:r>
    </w:p>
    <w:p>
      <w:pPr>
        <w:pStyle w:val="TextBody"/>
        <w:bidi w:val="0"/>
        <w:spacing w:before="0" w:after="0"/>
        <w:jc w:val="left"/>
        <w:rPr>
          <w:color w:val="000000"/>
        </w:rPr>
      </w:pPr>
      <w:r>
        <w:rPr>
          <w:color w:val="000000"/>
        </w:rPr>
        <w:t xml:space="preserve">Dear Ladies and Gentlemen: </w:t>
      </w:r>
    </w:p>
    <w:p>
      <w:pPr>
        <w:pStyle w:val="TextBody"/>
        <w:bidi w:val="0"/>
        <w:spacing w:before="0" w:after="0"/>
        <w:jc w:val="left"/>
        <w:rPr>
          <w:color w:val="000000"/>
        </w:rPr>
      </w:pPr>
      <w:r>
        <w:rPr>
          <w:color w:val="000000"/>
        </w:rPr>
        <w:t xml:space="preserve">  </w:t>
      </w:r>
    </w:p>
    <w:p>
      <w:pPr>
        <w:pStyle w:val="TextBody"/>
        <w:bidi w:val="0"/>
        <w:spacing w:before="0" w:after="0"/>
        <w:ind w:left="0" w:right="0" w:firstLine="720"/>
        <w:jc w:val="both"/>
        <w:rPr>
          <w:color w:val="000000"/>
        </w:rPr>
      </w:pPr>
      <w:r>
        <w:rPr>
          <w:color w:val="000000"/>
        </w:rPr>
        <w:t xml:space="preserve">We have acted as counsel for Tilray Brands, Inc., a Delaware corporation (the “Company”), in connection with the Registration Statement on Form S-8 (the “Registration Statement”) to be filed by the Company under the Securities Act of 1933, as amended (the “Securities Act”), and which registers, in the aggregate, an additional 11,355,231 shares (the “Shares”) of the Company’s common stock, $0.0001 par value per share (the “Common Stock”), that may be offered or issued pursuant to the Company’s Amended and Restated 2018 Equity Incentive Plan (the “Plan”). This opinion is being furnished in accordance with the requirements of Item 8 of Form S-8 and Item 601(b)(5)(i) of Regulation S-K. </w:t>
      </w:r>
    </w:p>
    <w:p>
      <w:pPr>
        <w:pStyle w:val="TextBody"/>
        <w:bidi w:val="0"/>
        <w:spacing w:before="0" w:after="0"/>
        <w:jc w:val="both"/>
        <w:rPr>
          <w:color w:val="000000"/>
        </w:rPr>
      </w:pPr>
      <w:r>
        <w:rPr>
          <w:color w:val="000000"/>
        </w:rPr>
        <w:t xml:space="preserve">  </w:t>
      </w:r>
    </w:p>
    <w:p>
      <w:pPr>
        <w:pStyle w:val="TextBody"/>
        <w:bidi w:val="0"/>
        <w:spacing w:before="0" w:after="0"/>
        <w:ind w:left="0" w:right="0" w:firstLine="720"/>
        <w:jc w:val="both"/>
        <w:rPr>
          <w:color w:val="000000"/>
        </w:rPr>
      </w:pPr>
      <w:r>
        <w:rPr>
          <w:color w:val="000000"/>
        </w:rPr>
        <w:t xml:space="preserve">We have examined: (i) the Registration Statement; (ii) the certificate of incorporation of the Company, as amended and restated and currently in effect; (iii) the bylaws of the Company, as amended and restated and currently in effect; (iv) resolutions adopted by the board of directors of the Company approving the offering and issuance of the Shares under the Plan and the preparation and filing of the Registration Statement; and (v) such other documents, records and other instruments as we have deemed appropriate for purposes of the opinion set forth herein. </w:t>
      </w:r>
    </w:p>
    <w:p>
      <w:pPr>
        <w:pStyle w:val="TextBody"/>
        <w:bidi w:val="0"/>
        <w:spacing w:before="0" w:after="0"/>
        <w:jc w:val="both"/>
        <w:rPr>
          <w:color w:val="000000"/>
        </w:rPr>
      </w:pPr>
      <w:r>
        <w:rPr>
          <w:color w:val="000000"/>
        </w:rPr>
        <w:t xml:space="preserve">  </w:t>
      </w:r>
    </w:p>
    <w:p>
      <w:pPr>
        <w:pStyle w:val="TextBody"/>
        <w:bidi w:val="0"/>
        <w:spacing w:before="0" w:after="0"/>
        <w:ind w:left="0" w:right="0" w:firstLine="720"/>
        <w:jc w:val="both"/>
        <w:rPr>
          <w:color w:val="000000"/>
        </w:rPr>
      </w:pPr>
      <w:r>
        <w:rPr>
          <w:color w:val="000000"/>
        </w:rPr>
        <w:t xml:space="preserve">With respect to such examination, we have assumed, without independent investigation, (i) the genuineness and validity of all signatures (including, without limitation, signatures via DocuSign, eSignature or similar technology) on all documents; (ii) the authenticity and completeness of all documents submitted to us as originals; (iii) the completeness and conformity with the originals of all documents submitted to us as certified or photostatic copies or telecopies or portable document file (.pdf) copies (and the authenticity and completeness of the originals of such copies) or which we obtained from the Commission’s Electronic Data Gathering Analysis and Retrieval (“EDGAR”) system; that each individual executing any document, whether on behalf of such individual or an entity, is legally competent to do so; (iv) the due authority of the parties signing any document on behalf of a party; (v) that all public records reviewed or relied upon by us are authentic, accurate and complete; (vi) that all factual statements and information contained in any documents are true and complete; and (vii) that there has been no oral or written modification or amendments to any documents by action or omission of the parties or otherwise. We have also assumed that the Company will at all times reserve and keep available out of the aggregate of its authorized but unissued and otherwise unreserved Common Stock, solely for the purpose of enabling it to issue the Shares in accordance with the Plan, the number of Shares which are then issuable and deliverable upon the exercise of options or the settlement of awards under the Plan. As to questions of fact and the consequences thereof relevant to the opinions expressed herein, we have, to the extent deemed appropriate, relied without independent investigation or verification upon, and assumed the accuracy and completeness of, representations of certain officers and employees of the Company. </w:t>
      </w:r>
    </w:p>
    <w:p>
      <w:pPr>
        <w:pStyle w:val="TextBody"/>
        <w:bidi w:val="0"/>
        <w:spacing w:before="0" w:after="0"/>
        <w:jc w:val="both"/>
        <w:rPr>
          <w:color w:val="000000"/>
        </w:rPr>
      </w:pPr>
      <w:r>
        <w:rPr>
          <w:color w:val="000000"/>
        </w:rPr>
        <w:t xml:space="preserve">  </w:t>
      </w:r>
    </w:p>
    <w:p>
      <w:pPr>
        <w:pStyle w:val="TextBody"/>
        <w:bidi w:val="0"/>
        <w:spacing w:before="0" w:after="0"/>
        <w:ind w:left="0" w:right="0" w:firstLine="720"/>
        <w:jc w:val="both"/>
        <w:rPr>
          <w:color w:val="000000"/>
        </w:rPr>
      </w:pPr>
      <w:r>
        <w:rPr>
          <w:color w:val="000000"/>
        </w:rPr>
        <w:t>Based upon the foregoing, and subject to the assumptions, qualifications and limitations set forth herein, we are of the opinion that, with respect to the Shares to be issued after the filing of the Registration Statement, the Shares have been duly authorized and, when and to the extent issued in accordance with the terms of the Plan and any award agreement entered into under the Plan, and assuming the Company completes all actions and proceedings required on its part to be taken prior to the issuance and delivery of the Shares pursuant to the terms of the Plan, including, without limitation, collection of any required payment for the Shares, the Shares will be validly issued, fully paid and nonassessable.</w:t>
      </w:r>
    </w:p>
    <w:p>
      <w:pPr>
        <w:pStyle w:val="TextBody"/>
        <w:bidi w:val="0"/>
        <w:spacing w:before="0" w:after="0"/>
        <w:ind w:left="0" w:right="0" w:firstLine="720"/>
        <w:jc w:val="both"/>
        <w:rPr>
          <w:color w:val="000000"/>
        </w:rPr>
      </w:pPr>
      <w:r>
        <w:rPr>
          <w:color w:val="000000"/>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40" w:after="283"/>
        <w:jc w:val="both"/>
        <w:rPr>
          <w:color w:val="000000"/>
        </w:rPr>
      </w:pPr>
      <w:r>
        <w:rPr>
          <w:color w:val="000000"/>
        </w:rPr>
        <w:t xml:space="preserve">Tilray Brands, Inc. </w:t>
      </w:r>
    </w:p>
    <w:p>
      <w:pPr>
        <w:pStyle w:val="TextBody"/>
        <w:bidi w:val="0"/>
        <w:spacing w:before="0" w:after="0"/>
        <w:jc w:val="left"/>
        <w:rPr>
          <w:color w:val="000000"/>
        </w:rPr>
      </w:pPr>
      <w:r>
        <w:rPr>
          <w:color w:val="000000"/>
        </w:rPr>
        <w:t>July 31, 2026</w:t>
        <w:br/>
        <w:t xml:space="preserve">Page 2 </w:t>
      </w:r>
    </w:p>
    <w:p>
      <w:pPr>
        <w:pStyle w:val="TextBody"/>
        <w:bidi w:val="0"/>
        <w:spacing w:before="0" w:after="0"/>
        <w:jc w:val="left"/>
        <w:rPr>
          <w:color w:val="000000"/>
        </w:rPr>
      </w:pPr>
      <w:r>
        <w:rPr>
          <w:color w:val="000000"/>
        </w:rPr>
        <w:t xml:space="preserve">  </w:t>
      </w:r>
    </w:p>
    <w:p>
      <w:pPr>
        <w:pStyle w:val="TextBody"/>
        <w:bidi w:val="0"/>
        <w:spacing w:before="0" w:after="0"/>
        <w:ind w:left="0" w:right="0" w:firstLine="720"/>
        <w:jc w:val="both"/>
        <w:rPr>
          <w:color w:val="000000"/>
        </w:rPr>
      </w:pPr>
      <w:r>
        <w:rPr>
          <w:color w:val="000000"/>
        </w:rPr>
        <w:t xml:space="preserve">The opinion expressed herein is limited to the General Corporation Law of the State of Delaware (the “DGCL”), and we express no opinion as to the laws of any other state or jurisdiction. With respect to our opinions based on the DGCL, our examination has been limited to a review of the DGCL as reported in an official version of the State of Delaware statutory code available at </w:t>
      </w:r>
      <w:r>
        <w:rPr>
          <w:color w:val="000000"/>
          <w:u w:val="single"/>
        </w:rPr>
        <w:t>https://delcode.delaware.gov</w:t>
      </w:r>
      <w:r>
        <w:rPr>
          <w:color w:val="000000"/>
        </w:rPr>
        <w:t xml:space="preserve">. Our review of the Delaware laws referred to in this paragraph has been limited to review of statutory code provisions and has not included commentary, regulations, or case law. The individual lawyers within our firm who have devoted significant attention to this matter on behalf of the Company are not members of the bar in Delaware and do not purport to be experts on the laws of the State of Delaware generally. With your permission such opinions are based solely upon such limited review. </w:t>
      </w:r>
    </w:p>
    <w:p>
      <w:pPr>
        <w:pStyle w:val="TextBody"/>
        <w:bidi w:val="0"/>
        <w:spacing w:before="0" w:after="0"/>
        <w:jc w:val="both"/>
        <w:rPr>
          <w:color w:val="000000"/>
        </w:rPr>
      </w:pPr>
      <w:r>
        <w:rPr>
          <w:color w:val="000000"/>
        </w:rPr>
        <w:t xml:space="preserve">  </w:t>
      </w:r>
    </w:p>
    <w:p>
      <w:pPr>
        <w:pStyle w:val="TextBody"/>
        <w:bidi w:val="0"/>
        <w:spacing w:before="0" w:after="0"/>
        <w:ind w:left="0" w:right="0" w:firstLine="720"/>
        <w:jc w:val="both"/>
        <w:rPr>
          <w:color w:val="000000"/>
        </w:rPr>
      </w:pPr>
      <w:r>
        <w:rPr>
          <w:color w:val="000000"/>
        </w:rPr>
        <w:t xml:space="preserve">In addition to the qualifications set forth above, the foregoing opinion is further qualified as follows: </w:t>
      </w:r>
    </w:p>
    <w:p>
      <w:pPr>
        <w:pStyle w:val="TextBody"/>
        <w:bidi w:val="0"/>
        <w:spacing w:before="0" w:after="0"/>
        <w:jc w:val="both"/>
        <w:rPr>
          <w:color w:val="000000"/>
        </w:rPr>
      </w:pPr>
      <w:r>
        <w:rPr>
          <w:color w:val="000000"/>
        </w:rPr>
        <w:t> </w:t>
      </w:r>
    </w:p>
    <w:p>
      <w:pPr>
        <w:pStyle w:val="TextBody"/>
        <w:bidi w:val="0"/>
        <w:spacing w:before="0" w:after="0"/>
        <w:ind w:left="0" w:right="0" w:hanging="540"/>
        <w:jc w:val="left"/>
        <w:rPr>
          <w:color w:val="000000"/>
        </w:rPr>
      </w:pPr>
      <w:r>
        <w:rPr>
          <w:color w:val="000000"/>
        </w:rPr>
        <w:t xml:space="preserve">The foregoing opinion is rendered as of the date hereof. We assume no obligation to revise, update or supplement this opinion (a) should the present aforementioned laws of the State of Delaware be changed by legislative action, judicial decision or otherwise after the date hereof or (b) to reflect any facts or circumstances that may hereafter come to our attention.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342900" cy="175260"/>
                <wp:effectExtent l="0" t="0" r="0" b="0"/>
                <wp:wrapSquare wrapText="right"/>
                <wp:docPr id="10" name="Frame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ind w:left="1260" w:right="0" w:hanging="0"/>
        <w:jc w:val="left"/>
        <w:rPr/>
      </w:pPr>
      <w:r>
        <w:rPr/>
        <w:t xml:space="preserve">  </w:t>
      </w:r>
    </w:p>
    <w:p>
      <w:pPr>
        <w:pStyle w:val="TextBody"/>
        <w:bidi w:val="0"/>
        <w:spacing w:before="0" w:after="0"/>
        <w:ind w:left="0" w:right="0" w:hanging="540"/>
        <w:jc w:val="left"/>
        <w:rPr>
          <w:color w:val="000000"/>
        </w:rPr>
      </w:pPr>
      <w:r>
        <w:rPr>
          <w:color w:val="000000"/>
        </w:rPr>
        <w:t xml:space="preserve">We express no opinion as to compliance with the securities or “blue sky” laws or principles of conflicts of laws of the State of Delaware or any other jurisdiction.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342900" cy="175260"/>
                <wp:effectExtent l="0" t="0" r="0" b="0"/>
                <wp:wrapSquare wrapText="right"/>
                <wp:docPr id="11" name="Frame1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ind w:left="1260" w:right="0" w:hanging="0"/>
        <w:jc w:val="left"/>
        <w:rPr/>
      </w:pPr>
      <w:r>
        <w:rPr/>
        <w:t xml:space="preserve">  </w:t>
      </w:r>
    </w:p>
    <w:p>
      <w:pPr>
        <w:pStyle w:val="TextBody"/>
        <w:bidi w:val="0"/>
        <w:spacing w:before="0" w:after="0"/>
        <w:ind w:left="0" w:right="0" w:hanging="540"/>
        <w:jc w:val="left"/>
        <w:rPr>
          <w:color w:val="000000"/>
        </w:rPr>
      </w:pPr>
      <w:r>
        <w:rPr>
          <w:color w:val="000000"/>
        </w:rPr>
        <w:t xml:space="preserve">We assume that the issuance of the Shares, together with any other outstanding shares of Common Stock, will not cause the Company to issue shares of Common Stock in excess of the number of such shares authorized by the Company’s certificate of incorporation, as amended and restated and currently in effect.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342900" cy="175260"/>
                <wp:effectExtent l="0" t="0" r="0" b="0"/>
                <wp:wrapSquare wrapText="right"/>
                <wp:docPr id="12" name="Frame1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ind w:left="1260" w:right="0" w:hanging="0"/>
        <w:jc w:val="left"/>
        <w:rPr/>
      </w:pPr>
      <w:r>
        <w:rPr/>
        <w:t xml:space="preserve">  </w:t>
      </w:r>
    </w:p>
    <w:p>
      <w:pPr>
        <w:pStyle w:val="TextBody"/>
        <w:bidi w:val="0"/>
        <w:spacing w:before="0" w:after="0"/>
        <w:ind w:left="0" w:right="0" w:hanging="540"/>
        <w:jc w:val="left"/>
        <w:rPr>
          <w:color w:val="000000"/>
        </w:rPr>
      </w:pPr>
      <w:r>
        <w:rPr>
          <w:color w:val="000000"/>
        </w:rPr>
        <w:t xml:space="preserve">This opinion is limited to the matters set forth herein, and no other opinion should be inferred beyond the matters expressly stated.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342900" cy="175260"/>
                <wp:effectExtent l="0" t="0" r="0" b="0"/>
                <wp:wrapSquare wrapText="right"/>
                <wp:docPr id="13" name="Frame1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(4)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firstLine="720"/>
        <w:jc w:val="both"/>
        <w:rPr>
          <w:color w:val="000000"/>
        </w:rPr>
      </w:pPr>
      <w:r>
        <w:rPr>
          <w:color w:val="000000"/>
        </w:rPr>
        <w:t xml:space="preserve">We hereby consent to the filing of this opinion as Exhibit 5.1 to the Registration Statement and to the reference to our firm and to our opinion in the Registration Statement and in the prospectus forming a part thereof. In giving this consent, we do not admit that we are within the category of persons whose consent is required under Section 7 of the Securities Act or the rules and regulations of the U.S. Securities and Exchange Commission promulgated thereunder. </w:t>
      </w:r>
    </w:p>
    <w:p>
      <w:pPr>
        <w:pStyle w:val="TextBody"/>
        <w:bidi w:val="0"/>
        <w:spacing w:before="0" w:after="0"/>
        <w:jc w:val="both"/>
        <w:rPr>
          <w:color w:val="000000"/>
        </w:rPr>
      </w:pPr>
      <w:r>
        <w:rPr>
          <w:color w:val="000000"/>
        </w:rPr>
        <w:t xml:space="preserve">  </w:t>
      </w:r>
    </w:p>
    <w:p>
      <w:pPr>
        <w:pStyle w:val="TextBody"/>
        <w:bidi w:val="0"/>
        <w:spacing w:before="0" w:after="0"/>
        <w:ind w:left="0" w:right="0" w:firstLine="720"/>
        <w:jc w:val="left"/>
        <w:rPr>
          <w:color w:val="000000"/>
        </w:rPr>
      </w:pPr>
      <w:r>
        <w:rPr>
          <w:color w:val="000000"/>
        </w:rPr>
        <w:t xml:space="preserve">Very truly yours, </w:t>
      </w:r>
    </w:p>
    <w:p>
      <w:pPr>
        <w:pStyle w:val="TextBody"/>
        <w:bidi w:val="0"/>
        <w:spacing w:before="0" w:after="0"/>
        <w:jc w:val="left"/>
        <w:rPr>
          <w:color w:val="000000"/>
        </w:rPr>
      </w:pPr>
      <w:r>
        <w:rPr>
          <w:color w:val="000000"/>
        </w:rPr>
        <w:t xml:space="preserve">  </w:t>
      </w:r>
    </w:p>
    <w:p>
      <w:pPr>
        <w:pStyle w:val="TextBody"/>
        <w:bidi w:val="0"/>
        <w:spacing w:before="0" w:after="0"/>
        <w:ind w:left="0" w:right="0" w:firstLine="720"/>
        <w:jc w:val="left"/>
        <w:rPr>
          <w:color w:val="000000"/>
        </w:rPr>
      </w:pPr>
      <w:r>
        <w:rPr>
          <w:color w:val="000000"/>
        </w:rPr>
        <w:t xml:space="preserve">/s/ DLA Piper LLP (US)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7" w:name="ef20078907_ex23-1.htm"/>
      <w:bookmarkStart w:id="8" w:name="ksef20078907_ex231"/>
      <w:bookmarkStart w:id="9" w:name="ef20078907_ex23-1.htm"/>
      <w:bookmarkStart w:id="10" w:name="ksef20078907_ex231"/>
      <w:bookmarkEnd w:id="9"/>
      <w:bookmarkEnd w:id="1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 xml:space="preserve">Consent of Independent Registered Public Accounting Firm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hereby consent to the incorporation by reference in this Registration Statement on Form S-8 of Tilray Brands, Inc. of our report dated July 28, 2026 relating to the financial statements and the effectiveness of internal control over financial reporting, which appears in Tilray Brands, Inc.’s Annual Report on Form 10-K for the year ended May 31,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/s/PricewaterhouseCoopers LLP</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Chartered Professional Accountants, Licensed Public Accountants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Toronto, Canada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July 31,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jc w:val="left"/>
        <w:rPr/>
      </w:pPr>
      <w:r>
        <w:rPr/>
      </w:r>
      <w:bookmarkStart w:id="11" w:name="ef20078907_ex107.htm"/>
      <w:bookmarkStart w:id="12" w:name="ksef20078907_ex107"/>
      <w:bookmarkStart w:id="13" w:name="ef20078907_ex107.htm"/>
      <w:bookmarkStart w:id="14" w:name="ksef20078907_ex107"/>
      <w:bookmarkEnd w:id="13"/>
      <w:bookmarkEnd w:id="14"/>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sz w:val="20"/>
        </w:rPr>
        <w:t>S-8</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Tilray Brands,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and Carry Forward Securities</w:t>
      </w:r>
      <w:r>
        <w:rPr>
          <w:rFonts w:ascii="Times New Roman" w:hAnsi="Times New Roman"/>
          <w:sz w:val="24"/>
        </w:rPr>
        <w:t xml:space="preserve"> </w:t>
      </w:r>
    </w:p>
    <w:tbl>
      <w:tblPr>
        <w:tblW w:w="15328" w:type="dxa"/>
        <w:jc w:val="left"/>
        <w:tblInd w:w="0" w:type="dxa"/>
        <w:tblLayout w:type="fixed"/>
        <w:tblCellMar>
          <w:top w:w="28" w:type="dxa"/>
          <w:left w:w="28" w:type="dxa"/>
          <w:bottom w:w="28" w:type="dxa"/>
          <w:right w:w="28" w:type="dxa"/>
        </w:tblCellMar>
      </w:tblPr>
      <w:tblGrid>
        <w:gridCol w:w="1126"/>
        <w:gridCol w:w="946"/>
        <w:gridCol w:w="991"/>
        <w:gridCol w:w="1276"/>
        <w:gridCol w:w="1246"/>
        <w:gridCol w:w="1156"/>
        <w:gridCol w:w="1606"/>
        <w:gridCol w:w="1246"/>
        <w:gridCol w:w="1351"/>
        <w:gridCol w:w="1021"/>
        <w:gridCol w:w="1021"/>
        <w:gridCol w:w="1021"/>
        <w:gridCol w:w="1321"/>
      </w:tblGrid>
      <w:tr>
        <w:trPr/>
        <w:tc>
          <w:tcPr>
            <w:tcW w:w="11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w:t>
            </w:r>
            <w:r>
              <w:rPr/>
              <w:t xml:space="preserve"> </w:t>
            </w:r>
          </w:p>
        </w:tc>
        <w:tc>
          <w:tcPr>
            <w:tcW w:w="99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 Class Title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Calculation or Carry Forward Rule</w:t>
            </w:r>
            <w:r>
              <w:rPr/>
              <w:t xml:space="preserve">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b/>
              </w:rPr>
            </w:pPr>
            <w:r>
              <w:rPr>
                <w:b/>
              </w:rPr>
              <w:t>Amount Registered</w:t>
            </w:r>
            <w:r>
              <w:rPr>
                <w:b/>
                <w:position w:val="8"/>
                <w:sz w:val="19"/>
              </w:rPr>
              <w:t>(1)</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Proposed Maximum Offering Price Per Unit</w:t>
            </w:r>
            <w:r>
              <w:rPr/>
              <w:t xml:space="preserve"> </w:t>
            </w:r>
          </w:p>
        </w:tc>
        <w:tc>
          <w:tcPr>
            <w:tcW w:w="16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Maximum Aggregate Offering Price</w:t>
            </w:r>
            <w:r>
              <w:rPr/>
              <w:t xml:space="preserve">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35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Amount of Registration Fee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Carry Forward Form Type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 xml:space="preserve">Carry Forward </w:t>
              <w:br/>
              <w:t>File Number</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Carry Forward Initial Effective Date</w:t>
            </w:r>
            <w:r>
              <w:rPr/>
              <w:t xml:space="preserve">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b/>
              </w:rPr>
              <w:t>Filing Fee Previously Paid in Connection with Unsold Securities to be Carried Forward</w:t>
            </w:r>
            <w:r>
              <w:rPr/>
              <w:t xml:space="preserve"> </w:t>
            </w:r>
          </w:p>
        </w:tc>
      </w:tr>
      <w:tr>
        <w:trPr/>
        <w:tc>
          <w:tcPr>
            <w:tcW w:w="15328" w:type="dxa"/>
            <w:gridSpan w:val="13"/>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Newly Registered Securities</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9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Equity </w:t>
            </w:r>
          </w:p>
        </w:tc>
        <w:tc>
          <w:tcPr>
            <w:tcW w:w="9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Common Stock, par value $0.0001 per share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Rule 457(c) and Rule 457(h) </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11,355,231</w:t>
            </w:r>
            <w:r>
              <w:rPr>
                <w:position w:val="8"/>
                <w:sz w:val="19"/>
              </w:rPr>
              <w:t>(2)</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$3.855</w:t>
            </w:r>
            <w:r>
              <w:rPr>
                <w:position w:val="8"/>
                <w:sz w:val="19"/>
              </w:rPr>
              <w:t>(3)</w:t>
            </w:r>
            <w:r>
              <w:rPr/>
              <w:t xml:space="preserve"> </w:t>
            </w:r>
          </w:p>
        </w:tc>
        <w:tc>
          <w:tcPr>
            <w:tcW w:w="16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$43,774,415.51</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0.00013810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$6,045.25</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center"/>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Previously Paid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9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6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left"/>
              <w:rPr/>
            </w:pPr>
            <w:r>
              <w:rPr/>
              <w:t> </w:t>
            </w:r>
          </w:p>
        </w:tc>
      </w:tr>
      <w:tr>
        <w:trPr/>
        <w:tc>
          <w:tcPr>
            <w:tcW w:w="15328" w:type="dxa"/>
            <w:gridSpan w:val="13"/>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b/>
              </w:rPr>
              <w:t>Carry Forward Securities</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Carry Forward Securities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9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6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t>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45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Offering Amounts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6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$43,774,415.51</w:t>
            </w:r>
          </w:p>
        </w:tc>
        <w:tc>
          <w:tcPr>
            <w:tcW w:w="124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$6,045.25</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45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Fees Previously Paid</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6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t>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45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Fee Offsets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60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45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Net Fee Due</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6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$6,045.25</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40" w:type="dxa"/>
              <w:right w:w="3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b/>
          <w:sz w:val="20"/>
        </w:rPr>
      </w:pPr>
      <w:r>
        <w:rPr>
          <w:rFonts w:ascii="Times New Roman" w:hAnsi="Times New Roman"/>
          <w:b/>
          <w:sz w:val="20"/>
        </w:rPr>
        <w:t>Offering Note</w:t>
      </w:r>
    </w:p>
    <w:tbl>
      <w:tblPr>
        <w:tblW w:w="10205" w:type="dxa"/>
        <w:jc w:val="left"/>
        <w:tblInd w:w="0" w:type="dxa"/>
        <w:tblLayout w:type="fixed"/>
        <w:tblCellMar>
          <w:top w:w="28" w:type="dxa"/>
          <w:left w:w="28" w:type="dxa"/>
          <w:bottom w:w="28" w:type="dxa"/>
          <w:right w:w="28" w:type="dxa"/>
        </w:tblCellMar>
      </w:tblPr>
      <w:tblGrid>
        <w:gridCol w:w="309"/>
        <w:gridCol w:w="9896"/>
      </w:tblGrid>
      <w:tr>
        <w:trPr/>
        <w:tc>
          <w:tcPr>
            <w:tcW w:w="309"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left"/>
              <w:rPr/>
            </w:pPr>
            <w:r>
              <w:rPr/>
              <w:t> </w:t>
            </w:r>
          </w:p>
        </w:tc>
      </w:tr>
      <w:tr>
        <w:trPr/>
        <w:tc>
          <w:tcPr>
            <w:tcW w:w="309" w:type="dxa"/>
            <w:tcBorders/>
            <w:tcMar>
              <w:top w:w="0" w:type="dxa"/>
              <w:left w:w="0" w:type="dxa"/>
              <w:bottom w:w="0" w:type="dxa"/>
              <w:right w:w="0" w:type="dxa"/>
            </w:tcMar>
            <w:vAlign w:val="center"/>
          </w:tcPr>
          <w:p>
            <w:pPr>
              <w:pStyle w:val="TableContents"/>
              <w:bidi w:val="0"/>
              <w:spacing w:before="0" w:after="80"/>
              <w:jc w:val="left"/>
              <w:rPr/>
            </w:pPr>
            <w:r>
              <w:rPr>
                <w:sz w:val="20"/>
              </w:rPr>
              <w:t>(1)</w:t>
            </w:r>
            <w:r>
              <w:rPr/>
              <w:t xml:space="preserve"> </w:t>
            </w:r>
          </w:p>
        </w:tc>
        <w:tc>
          <w:tcPr>
            <w:tcW w:w="9896" w:type="dxa"/>
            <w:tcBorders/>
            <w:tcMar>
              <w:top w:w="0" w:type="dxa"/>
              <w:left w:w="0" w:type="dxa"/>
              <w:bottom w:w="0" w:type="dxa"/>
              <w:right w:w="0" w:type="dxa"/>
            </w:tcMar>
            <w:vAlign w:val="center"/>
          </w:tcPr>
          <w:p>
            <w:pPr>
              <w:pStyle w:val="TableContents"/>
              <w:bidi w:val="0"/>
              <w:spacing w:before="0" w:after="80"/>
              <w:jc w:val="left"/>
              <w:rPr/>
            </w:pPr>
            <w:r>
              <w:rPr>
                <w:sz w:val="20"/>
              </w:rPr>
              <w:t>Pursuant to Rule 416(a) promulgated under the Securities Act of 1933, as amended (the “Securities Act”), this Registration Statement shall also cover any additional shares of common stock, par value $0.0001 per share (“Common Stock”), of Tilray Brands, Inc. (the “Registrant”) that become issuable under the Tilray, Inc. Amended and Restated 2018 Equity Incentive Plan (the “Plan”) by reason of any stock dividend, stock split, recapitalization, or other similar transaction effected that results in an increase to the number of outstanding shares of Common Stock.</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303"/>
        <w:gridCol w:w="9902"/>
      </w:tblGrid>
      <w:tr>
        <w:trPr/>
        <w:tc>
          <w:tcPr>
            <w:tcW w:w="303" w:type="dxa"/>
            <w:tcBorders/>
            <w:vAlign w:val="center"/>
          </w:tcPr>
          <w:p>
            <w:pPr>
              <w:pStyle w:val="TableContents"/>
              <w:bidi w:val="0"/>
              <w:spacing w:before="0" w:after="283"/>
              <w:jc w:val="left"/>
              <w:rPr/>
            </w:pPr>
            <w:r>
              <w:rPr/>
              <w:t> </w:t>
            </w:r>
          </w:p>
        </w:tc>
        <w:tc>
          <w:tcPr>
            <w:tcW w:w="9902" w:type="dxa"/>
            <w:tcBorders/>
            <w:vAlign w:val="center"/>
          </w:tcPr>
          <w:p>
            <w:pPr>
              <w:pStyle w:val="TableContents"/>
              <w:bidi w:val="0"/>
              <w:spacing w:before="0" w:after="283"/>
              <w:jc w:val="left"/>
              <w:rPr/>
            </w:pPr>
            <w:r>
              <w:rPr/>
              <w:t> </w:t>
            </w:r>
          </w:p>
        </w:tc>
      </w:tr>
      <w:tr>
        <w:trPr/>
        <w:tc>
          <w:tcPr>
            <w:tcW w:w="303" w:type="dxa"/>
            <w:tcBorders/>
            <w:tcMar>
              <w:top w:w="0" w:type="dxa"/>
              <w:left w:w="0" w:type="dxa"/>
              <w:bottom w:w="0" w:type="dxa"/>
              <w:right w:w="0" w:type="dxa"/>
            </w:tcMar>
            <w:vAlign w:val="center"/>
          </w:tcPr>
          <w:p>
            <w:pPr>
              <w:pStyle w:val="TableContents"/>
              <w:bidi w:val="0"/>
              <w:spacing w:before="0" w:after="80"/>
              <w:jc w:val="left"/>
              <w:rPr/>
            </w:pPr>
            <w:r>
              <w:rPr>
                <w:sz w:val="20"/>
              </w:rPr>
              <w:t>(2)</w:t>
            </w:r>
            <w:r>
              <w:rPr/>
              <w:t xml:space="preserve"> </w:t>
            </w:r>
          </w:p>
        </w:tc>
        <w:tc>
          <w:tcPr>
            <w:tcW w:w="9902" w:type="dxa"/>
            <w:tcBorders/>
            <w:tcMar>
              <w:top w:w="0" w:type="dxa"/>
              <w:left w:w="0" w:type="dxa"/>
              <w:bottom w:w="0" w:type="dxa"/>
              <w:right w:w="0" w:type="dxa"/>
            </w:tcMar>
            <w:vAlign w:val="center"/>
          </w:tcPr>
          <w:p>
            <w:pPr>
              <w:pStyle w:val="TableContents"/>
              <w:bidi w:val="0"/>
              <w:spacing w:before="0" w:after="80"/>
              <w:jc w:val="left"/>
              <w:rPr/>
            </w:pPr>
            <w:r>
              <w:rPr>
                <w:sz w:val="20"/>
              </w:rPr>
              <w:t>Represents 2,970,901 shares of Common Stock automatically added to the shares authorized for issuance under the Plan on January 1, 2024, 3,736,909 shares of Common Stock automatically added on January 1, 2025, and 4,647,421 shares of Common Stock automatically added on January 1, 2026, in each case pursuant to the Plan’s “evergreen” provision. Pursuant to such provision, on January 1 of each year through 2027, the number of shares authorized for issuance under the Plan is automatically increased by a number equal to four percent of the outstanding shares of Common Stock as of the end of the Registrant’s immediately preceding fiscal year, or any lesser number of shares of Common Stock determined by the board of directors of the Registrant.</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334"/>
        <w:gridCol w:w="9871"/>
      </w:tblGrid>
      <w:tr>
        <w:trPr/>
        <w:tc>
          <w:tcPr>
            <w:tcW w:w="334"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left"/>
              <w:rPr/>
            </w:pPr>
            <w:r>
              <w:rPr/>
              <w:t> </w:t>
            </w:r>
          </w:p>
        </w:tc>
      </w:tr>
      <w:tr>
        <w:trPr/>
        <w:tc>
          <w:tcPr>
            <w:tcW w:w="334" w:type="dxa"/>
            <w:tcBorders/>
            <w:tcMar>
              <w:top w:w="0" w:type="dxa"/>
              <w:left w:w="0" w:type="dxa"/>
              <w:bottom w:w="0" w:type="dxa"/>
              <w:right w:w="0" w:type="dxa"/>
            </w:tcMar>
            <w:vAlign w:val="center"/>
          </w:tcPr>
          <w:p>
            <w:pPr>
              <w:pStyle w:val="TableContents"/>
              <w:bidi w:val="0"/>
              <w:spacing w:before="0" w:after="80"/>
              <w:jc w:val="left"/>
              <w:rPr/>
            </w:pPr>
            <w:r>
              <w:rPr>
                <w:sz w:val="20"/>
              </w:rPr>
              <w:t>(3)</w:t>
            </w:r>
            <w:r>
              <w:rPr/>
              <w:t xml:space="preserve"> </w:t>
            </w:r>
          </w:p>
        </w:tc>
        <w:tc>
          <w:tcPr>
            <w:tcW w:w="9871" w:type="dxa"/>
            <w:tcBorders/>
            <w:tcMar>
              <w:top w:w="0" w:type="dxa"/>
              <w:left w:w="0" w:type="dxa"/>
              <w:bottom w:w="0" w:type="dxa"/>
              <w:right w:w="0" w:type="dxa"/>
            </w:tcMar>
            <w:vAlign w:val="center"/>
          </w:tcPr>
          <w:p>
            <w:pPr>
              <w:pStyle w:val="TableContents"/>
              <w:bidi w:val="0"/>
              <w:spacing w:before="0" w:after="80"/>
              <w:jc w:val="left"/>
              <w:rPr/>
            </w:pPr>
            <w:r>
              <w:rPr>
                <w:sz w:val="20"/>
              </w:rPr>
              <w:t>Estimated in accordance with Rule 457(c) and (h) under the Securities Act solely for the purpose of calculating the registration fee on the basis of $3.855, the average of the high and low prices of the Common Stock as reported on The Nasdaq Global Select Market on July 29, 2026.</w:t>
            </w:r>
            <w:r>
              <w:rPr/>
              <w:t xml:space="preserve">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1348/000114036125036324/ny20053807x2_def14a.htm" TargetMode="External"/><Relationship Id="rId3" Type="http://schemas.openxmlformats.org/officeDocument/2006/relationships/hyperlink" Target="https://www.sec.gov/Archives/edgar/data/1731348/000143774925030797/tlry20250730_10q.htm" TargetMode="External"/><Relationship Id="rId4" Type="http://schemas.openxmlformats.org/officeDocument/2006/relationships/hyperlink" Target="https://www.sec.gov/Archives/edgar/data/1731348/000143774926000902/tlry20251130_10q.htm" TargetMode="External"/><Relationship Id="rId5" Type="http://schemas.openxmlformats.org/officeDocument/2006/relationships/hyperlink" Target="https://www.sec.gov/Archives/edgar/data/1731348/000143774926010907/tlry20260228_10q.htm" TargetMode="External"/><Relationship Id="rId6" Type="http://schemas.openxmlformats.org/officeDocument/2006/relationships/hyperlink" Target="https://www.sec.gov/Archives/edgar/data/1731348/000114036125022089/ef20050460_8k.htm" TargetMode="External"/><Relationship Id="rId7" Type="http://schemas.openxmlformats.org/officeDocument/2006/relationships/hyperlink" Target="https://www.sec.gov/Archives/edgar/data/1731348/000143774925021037/tlry20250621_8k.htm" TargetMode="External"/><Relationship Id="rId8" Type="http://schemas.openxmlformats.org/officeDocument/2006/relationships/hyperlink" Target="https://www.sec.gov/Archives/edgar/data/1731348/000114036125034569/ny20055334x2_8k.htm" TargetMode="External"/><Relationship Id="rId9" Type="http://schemas.openxmlformats.org/officeDocument/2006/relationships/hyperlink" Target="https://www.sec.gov/Archives/edgar/data/1731348/000143774925035739/tlry20251113_8k.htm" TargetMode="External"/><Relationship Id="rId10" Type="http://schemas.openxmlformats.org/officeDocument/2006/relationships/hyperlink" Target="https://www.sec.gov/Archives/edgar/data/1731348/000143774925036448/tlry20251122_8k.htm" TargetMode="External"/><Relationship Id="rId11" Type="http://schemas.openxmlformats.org/officeDocument/2006/relationships/hyperlink" Target="https://www.sec.gov/Archives/edgar/data/1731348/000143774926006389/tlry20260114_8k.htm" TargetMode="External"/><Relationship Id="rId12" Type="http://schemas.openxmlformats.org/officeDocument/2006/relationships/hyperlink" Target="https://www.sec.gov/Archives/edgar/data/1731348/000114036126014638/ny20066669x3_8k.htm" TargetMode="External"/><Relationship Id="rId13" Type="http://schemas.openxmlformats.org/officeDocument/2006/relationships/hyperlink" Target="https://www.sec.gov/Archives/edgar/data/1731348/000114036126014692/ny20066669x2_8k.htm" TargetMode="External"/><Relationship Id="rId14" Type="http://schemas.openxmlformats.org/officeDocument/2006/relationships/hyperlink" Target="https://www.sec.gov/Archives/edgar/data/1731348/000114036126015921/ny20066669x5_8k.htm" TargetMode="External"/><Relationship Id="rId15" Type="http://schemas.openxmlformats.org/officeDocument/2006/relationships/hyperlink" Target="https://www.sec.gov/Archives/edgar/data/1731348/000114036126024650/ef20075844_form8k.htm" TargetMode="External"/><Relationship Id="rId16" Type="http://schemas.openxmlformats.org/officeDocument/2006/relationships/hyperlink" Target="https://www.sec.gov/Archives/edgar/data/1731348/000114036126026966/ef20077071_8k.htm" TargetMode="External"/><Relationship Id="rId17" Type="http://schemas.openxmlformats.org/officeDocument/2006/relationships/hyperlink" Target="https://www.sec.gov/Archives/edgar/data/1731348/000119312520261461/d89853d8a12ba.htm" TargetMode="External"/><Relationship Id="rId18" Type="http://schemas.openxmlformats.org/officeDocument/2006/relationships/hyperlink" Target="https://www.sec.gov/Archives/edgar/data/1731348/000143774925000868/ex_761773.htm" TargetMode="External"/><Relationship Id="rId19" Type="http://schemas.openxmlformats.org/officeDocument/2006/relationships/hyperlink" Target="https://www.sec.gov/Archives/edgar/data/1731348/000143774925036448/ex_892363.htm" TargetMode="External"/><Relationship Id="rId20" Type="http://schemas.openxmlformats.org/officeDocument/2006/relationships/hyperlink" Target="https://www.sec.gov/Archives/edgar/data/1731348/000156459022000856/tlry-ex32_7.htm" TargetMode="External"/><Relationship Id="rId21" Type="http://schemas.openxmlformats.org/officeDocument/2006/relationships/hyperlink" Target="https://www.sec.gov/Archives/edgar/data/1731348/000114036123027543/ny20009174x9_ex4-1.htm" TargetMode="External"/><Relationship Id="rId22" Type="http://schemas.openxmlformats.org/officeDocument/2006/relationships/hyperlink" Target="https://www.sec.gov/Archives/edgar/data/1731348/000114036123027543/ny20009174x9_ex4-2.htm" TargetMode="External"/><Relationship Id="rId23" Type="http://schemas.openxmlformats.org/officeDocument/2006/relationships/hyperlink" Target="https://www.sec.gov/Archives/edgar/data/1731348/000143774926024698/ex_946875.htm" TargetMode="External"/><Relationship Id="rId24" Type="http://schemas.openxmlformats.org/officeDocument/2006/relationships/hyperlink" Target="https://www.sec.gov/Archives/edgar/data/1731348/000119312520075221/d836331dex41.htm" TargetMode="External"/><Relationship Id="rId25" Type="http://schemas.openxmlformats.org/officeDocument/2006/relationships/hyperlink" Target="https://www.sec.gov/Archives/edgar/data/1731348/000119312520075221/d836331dex42.htm" TargetMode="External"/><Relationship Id="rId26" Type="http://schemas.openxmlformats.org/officeDocument/2006/relationships/hyperlink" Target="https://www.sec.gov/Archives/edgar/data/1731348/000119312518214179/d545137dex102.htm" TargetMode="External"/><Relationship Id="rId27" Type="http://schemas.openxmlformats.org/officeDocument/2006/relationships/image" Target="media/image1.gif"/><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3222</Words>
  <Characters>17029</Characters>
  <CharactersWithSpaces>20683</CharactersWithSpaces>
  <Paragraphs>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