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3"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0" w:lineRule="exact"/>
        <w:rPr>
          <w:sz w:val="24"/>
          <w:szCs w:val="24"/>
          <w:color w:val="auto"/>
        </w:rPr>
      </w:pPr>
    </w:p>
    <w:p>
      <w:pPr>
        <w:spacing w:after="0" w:line="208"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0" w:lineRule="exact"/>
        <w:rPr>
          <w:sz w:val="24"/>
          <w:szCs w:val="24"/>
          <w:color w:val="auto"/>
        </w:rPr>
      </w:pPr>
    </w:p>
    <w:p>
      <w:pPr>
        <w:spacing w:after="0" w:line="2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December 2, 2024</w:t>
      </w:r>
    </w:p>
    <w:p>
      <w:pPr>
        <w:spacing w:after="0" w:line="39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Tilray Brands, Inc.</w:t>
      </w:r>
    </w:p>
    <w:p>
      <w:pPr>
        <w:spacing w:after="0" w:line="4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0" w:lineRule="exact"/>
        <w:rPr>
          <w:sz w:val="24"/>
          <w:szCs w:val="24"/>
          <w:color w:val="auto"/>
        </w:rPr>
      </w:pPr>
    </w:p>
    <w:p>
      <w:pPr>
        <w:spacing w:after="0" w:line="217" w:lineRule="exact"/>
        <w:rPr>
          <w:sz w:val="24"/>
          <w:szCs w:val="24"/>
          <w:color w:val="auto"/>
        </w:rPr>
      </w:pPr>
    </w:p>
    <w:tbl>
      <w:tblPr>
        <w:tblLayout w:type="fixed"/>
        <w:tblInd w:w="340" w:type="dxa"/>
        <w:tblCellMar>
          <w:top w:w="0" w:type="dxa"/>
          <w:left w:w="0" w:type="dxa"/>
          <w:bottom w:w="0" w:type="dxa"/>
          <w:right w:w="0" w:type="dxa"/>
        </w:tblCellMar>
      </w:tblPr>
      <w:tr>
        <w:trPr>
          <w:trHeight w:val="216"/>
        </w:trPr>
        <w:tc>
          <w:tcPr>
            <w:tcW w:w="3840" w:type="dxa"/>
            <w:vAlign w:val="bottom"/>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32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001-38594</w:t>
            </w:r>
          </w:p>
        </w:tc>
        <w:tc>
          <w:tcPr>
            <w:tcW w:w="26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82-4310622</w:t>
            </w:r>
          </w:p>
        </w:tc>
      </w:tr>
      <w:tr>
        <w:trPr>
          <w:trHeight w:val="216"/>
        </w:trPr>
        <w:tc>
          <w:tcPr>
            <w:tcW w:w="384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332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(Commission File</w:t>
            </w:r>
          </w:p>
        </w:tc>
        <w:tc>
          <w:tcPr>
            <w:tcW w:w="2600" w:type="dxa"/>
            <w:vAlign w:val="bottom"/>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rPr>
              <w:t>(IRS Employer</w:t>
            </w:r>
          </w:p>
        </w:tc>
      </w:tr>
      <w:tr>
        <w:trPr>
          <w:trHeight w:val="238"/>
        </w:trPr>
        <w:tc>
          <w:tcPr>
            <w:tcW w:w="384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332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600" w:type="dxa"/>
            <w:vAlign w:val="bottom"/>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10"/>
        </w:trPr>
        <w:tc>
          <w:tcPr>
            <w:tcW w:w="3840" w:type="dxa"/>
            <w:vAlign w:val="bottom"/>
          </w:tcPr>
          <w:p>
            <w:pPr>
              <w:ind w:left="740"/>
              <w:spacing w:after="0"/>
              <w:rPr>
                <w:sz w:val="20"/>
                <w:szCs w:val="20"/>
                <w:color w:val="auto"/>
              </w:rPr>
            </w:pPr>
            <w:r>
              <w:rPr>
                <w:rFonts w:ascii="Times New Roman" w:cs="Times New Roman" w:eastAsia="Times New Roman" w:hAnsi="Times New Roman"/>
                <w:sz w:val="18"/>
                <w:szCs w:val="18"/>
                <w:b w:val="1"/>
                <w:bCs w:val="1"/>
                <w:color w:val="auto"/>
              </w:rPr>
              <w:t>265 Talbot Street West,</w:t>
            </w:r>
          </w:p>
        </w:tc>
        <w:tc>
          <w:tcPr>
            <w:tcW w:w="332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216"/>
        </w:trPr>
        <w:tc>
          <w:tcPr>
            <w:tcW w:w="3840" w:type="dxa"/>
            <w:vAlign w:val="bottom"/>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w w:val="99"/>
              </w:rPr>
              <w:t>Leamington, ON</w:t>
            </w:r>
          </w:p>
        </w:tc>
        <w:tc>
          <w:tcPr>
            <w:tcW w:w="3320" w:type="dxa"/>
            <w:vAlign w:val="bottom"/>
          </w:tcPr>
          <w:p>
            <w:pPr>
              <w:spacing w:after="0"/>
              <w:rPr>
                <w:sz w:val="18"/>
                <w:szCs w:val="18"/>
                <w:color w:val="auto"/>
              </w:rPr>
            </w:pPr>
          </w:p>
        </w:tc>
        <w:tc>
          <w:tcPr>
            <w:tcW w:w="2600" w:type="dxa"/>
            <w:vAlign w:val="bottom"/>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9"/>
              </w:rPr>
              <w:t>N8H 5L4</w:t>
            </w:r>
          </w:p>
        </w:tc>
      </w:tr>
      <w:tr>
        <w:trPr>
          <w:trHeight w:val="238"/>
        </w:trPr>
        <w:tc>
          <w:tcPr>
            <w:tcW w:w="384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320" w:type="dxa"/>
            <w:vAlign w:val="bottom"/>
          </w:tcPr>
          <w:p>
            <w:pPr>
              <w:spacing w:after="0"/>
              <w:rPr>
                <w:sz w:val="20"/>
                <w:szCs w:val="20"/>
                <w:color w:val="auto"/>
              </w:rPr>
            </w:pPr>
          </w:p>
        </w:tc>
        <w:tc>
          <w:tcPr>
            <w:tcW w:w="2600" w:type="dxa"/>
            <w:vAlign w:val="bottom"/>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8"/>
              </w:rPr>
              <w:t>(Zip Code)</w:t>
            </w:r>
          </w:p>
        </w:tc>
      </w:tr>
    </w:tbl>
    <w:p>
      <w:pPr>
        <w:spacing w:after="0" w:line="19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(844) 845-7291</w:t>
      </w:r>
    </w:p>
    <w:p>
      <w:pPr>
        <w:spacing w:after="0" w:line="22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0" w:lineRule="exact"/>
        <w:rPr>
          <w:sz w:val="24"/>
          <w:szCs w:val="24"/>
          <w:color w:val="auto"/>
        </w:rPr>
      </w:pPr>
    </w:p>
    <w:p>
      <w:pPr>
        <w:spacing w:after="0" w:line="223" w:lineRule="exact"/>
        <w:rPr>
          <w:sz w:val="24"/>
          <w:szCs w:val="24"/>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940" w:hanging="325"/>
        <w:spacing w:after="0"/>
        <w:tabs>
          <w:tab w:leader="none" w:pos="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940" w:hanging="325"/>
        <w:spacing w:after="0"/>
        <w:tabs>
          <w:tab w:leader="none" w:pos="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940" w:hanging="325"/>
        <w:spacing w:after="0"/>
        <w:tabs>
          <w:tab w:leader="none" w:pos="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160" w:firstLine="615"/>
        <w:spacing w:after="0" w:line="498" w:lineRule="auto"/>
        <w:tabs>
          <w:tab w:leader="none" w:pos="931"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ectPr>
          <w:pgSz w:w="11900" w:h="16838" w:orient="portrait"/>
          <w:cols w:equalWidth="0" w:num="1">
            <w:col w:w="11140"/>
          </w:cols>
          <w:pgMar w:left="320" w:top="216" w:right="439" w:bottom="1440" w:gutter="0" w:footer="0" w:header="0"/>
        </w:sectPr>
      </w:pPr>
    </w:p>
    <w:p>
      <w:pPr>
        <w:spacing w:after="0" w:line="217" w:lineRule="exact"/>
        <w:rPr>
          <w:sz w:val="24"/>
          <w:szCs w:val="24"/>
          <w:color w:val="auto"/>
        </w:rPr>
      </w:pPr>
    </w:p>
    <w:p>
      <w:pPr>
        <w:jc w:val="center"/>
        <w:ind w:left="4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225" w:lineRule="exact"/>
        <w:rPr>
          <w:sz w:val="24"/>
          <w:szCs w:val="24"/>
          <w:color w:val="auto"/>
        </w:rPr>
      </w:pPr>
    </w:p>
    <w:p>
      <w:pPr>
        <w:jc w:val="center"/>
        <w:ind w:left="40"/>
        <w:spacing w:after="0"/>
        <w:rPr>
          <w:sz w:val="20"/>
          <w:szCs w:val="20"/>
          <w:color w:val="auto"/>
        </w:rPr>
      </w:pPr>
      <w:r>
        <w:rPr>
          <w:rFonts w:ascii="Times New Roman" w:cs="Times New Roman" w:eastAsia="Times New Roman" w:hAnsi="Times New Roman"/>
          <w:sz w:val="18"/>
          <w:szCs w:val="18"/>
          <w:b w:val="1"/>
          <w:bCs w:val="1"/>
          <w:color w:val="auto"/>
        </w:rPr>
        <w:t>Common Stock, $0.0001 par</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Trading</w:t>
      </w:r>
    </w:p>
    <w:p>
      <w:pPr>
        <w:spacing w:after="0" w:line="31"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Symbol(s)</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TLRY</w:t>
      </w:r>
    </w:p>
    <w:p>
      <w:pPr>
        <w:spacing w:after="0" w:line="20" w:lineRule="exact"/>
        <w:rPr>
          <w:sz w:val="24"/>
          <w:szCs w:val="24"/>
          <w:color w:val="auto"/>
        </w:rPr>
      </w:pPr>
      <w:r>
        <w:rPr>
          <w:sz w:val="24"/>
          <w:szCs w:val="24"/>
          <w:color w:val="auto"/>
        </w:rPr>
        <w:br w:type="column"/>
      </w: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Name of each exchange on which registered</w:t>
      </w:r>
    </w:p>
    <w:p>
      <w:pPr>
        <w:spacing w:after="0" w:line="393" w:lineRule="exact"/>
        <w:rPr>
          <w:sz w:val="24"/>
          <w:szCs w:val="24"/>
          <w:color w:val="auto"/>
        </w:rPr>
      </w:pPr>
    </w:p>
    <w:p>
      <w:pPr>
        <w:sectPr>
          <w:pgSz w:w="11900" w:h="16838" w:orient="portrait"/>
          <w:cols w:equalWidth="0" w:num="3">
            <w:col w:w="5260" w:space="720"/>
            <w:col w:w="1820" w:space="720"/>
            <w:col w:w="2620"/>
          </w:cols>
          <w:pgMar w:left="320" w:top="216" w:right="439" w:bottom="1440" w:gutter="0" w:footer="0" w:header="0"/>
          <w:type w:val="continuous"/>
        </w:sectPr>
      </w:pPr>
    </w:p>
    <w:p>
      <w:pPr>
        <w:ind w:left="2060"/>
        <w:spacing w:after="0"/>
        <w:rPr>
          <w:sz w:val="20"/>
          <w:szCs w:val="20"/>
          <w:color w:val="auto"/>
        </w:rPr>
      </w:pPr>
      <w:r>
        <w:rPr>
          <w:rFonts w:ascii="Times New Roman" w:cs="Times New Roman" w:eastAsia="Times New Roman" w:hAnsi="Times New Roman"/>
          <w:sz w:val="17"/>
          <w:szCs w:val="17"/>
          <w:b w:val="1"/>
          <w:bCs w:val="1"/>
          <w:color w:val="auto"/>
        </w:rPr>
        <w:t>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The Nasdaq Global Select Market</w:t>
      </w:r>
    </w:p>
    <w:p>
      <w:pPr>
        <w:spacing w:after="0" w:line="200" w:lineRule="exact"/>
        <w:rPr>
          <w:sz w:val="24"/>
          <w:szCs w:val="24"/>
          <w:color w:val="auto"/>
        </w:rPr>
      </w:pPr>
    </w:p>
    <w:p>
      <w:pPr>
        <w:sectPr>
          <w:pgSz w:w="11900" w:h="16838" w:orient="portrait"/>
          <w:cols w:equalWidth="0" w:num="2">
            <w:col w:w="7800" w:space="720"/>
            <w:col w:w="2620"/>
          </w:cols>
          <w:pgMar w:left="320" w:top="216" w:right="439" w:bottom="1440" w:gutter="0" w:footer="0" w:header="0"/>
          <w:type w:val="continuous"/>
        </w:sectPr>
      </w:pPr>
    </w:p>
    <w:p>
      <w:pPr>
        <w:spacing w:after="0" w:line="223" w:lineRule="exact"/>
        <w:rPr>
          <w:sz w:val="24"/>
          <w:szCs w:val="24"/>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216" w:right="439" w:bottom="1440" w:gutter="0" w:footer="0" w:header="0"/>
          <w:type w:val="continuous"/>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 xml:space="preserve">On November 6, 2024, Tilray Brands, Inc. (“Tilray”) disclosed in a Current Report on Form 8-K that a lawsuit was commenced against it and its directors, captioned </w:t>
      </w:r>
      <w:r>
        <w:rPr>
          <w:rFonts w:ascii="Times New Roman" w:cs="Times New Roman" w:eastAsia="Times New Roman" w:hAnsi="Times New Roman"/>
          <w:sz w:val="18"/>
          <w:szCs w:val="18"/>
          <w:i w:val="1"/>
          <w:iCs w:val="1"/>
          <w:color w:val="auto"/>
        </w:rPr>
        <w:t>Nabil Salama v. Tilray Brands, Inc., et. al</w:t>
      </w:r>
      <w:r>
        <w:rPr>
          <w:rFonts w:ascii="Times New Roman" w:cs="Times New Roman" w:eastAsia="Times New Roman" w:hAnsi="Times New Roman"/>
          <w:sz w:val="18"/>
          <w:szCs w:val="18"/>
          <w:color w:val="auto"/>
        </w:rPr>
        <w:t xml:space="preserve"> (C.A. No. 2024-1124-JTL).</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This lawsuit was filed on October 31, 2024 on behalf of a putative class of stockholders and alleged that (a) Tilray’s definitive proxy statement for its 2024 Annual Meeting of Stockholders (the “2024 Proxy Statement”) incorrectly applied a majority-of-votes-cast voting standard for approval of the proposal to increase the number of shares of common stock authorized for issuance (the “2024 Authorized Shares Proposal”), (b) the proposal increasing the number of shares of common stock authorized for issuance (the “2023 Authorized Shares Proposal” and together with the 2024 Authorized Shares Proposal, the “Authorized Shares Proposals”) was not validly approved by the stockholders under a majority-of-votes-cast voting standard, and any related issuances of Common Stock were and are not validly authorized, and (c) the named directors of Tilray have breached their fiduciary duties by failing to make accurate disclosures regarding the Authorized Shares Proposals in the 2024 Proxy Statement and 2023 Proxy Statement.</w:t>
      </w:r>
    </w:p>
    <w:p>
      <w:pPr>
        <w:spacing w:after="0" w:line="189"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On November 27, 2024, the Court of Chancery of the State of Delaware ruled in favor of Tilray and granted summary judgment for Tilray and its directors. Specifically, the Court held that Tilray correctly applied a majority-of-votes-cast voting standard to its Authorized Shares Proposals.</w:t>
      </w:r>
    </w:p>
    <w:p>
      <w:pPr>
        <w:spacing w:after="0" w:line="16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As previously disclosed, Tilray adjourned its 2024 annual meeting of stockholders solely as to the Authorized Shares Proposal. This adjourned portion of the Annual Meeting will continue to be held at 11:00 am EST on December 19, 2024, and will be held virtually online at www.virtualshareholdermeeting.com/TLRY2024.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Disclosures to Proxy Statement</w:t>
      </w:r>
    </w:p>
    <w:p>
      <w:pPr>
        <w:spacing w:after="0" w:line="229" w:lineRule="exact"/>
        <w:rPr>
          <w:sz w:val="20"/>
          <w:szCs w:val="20"/>
          <w:color w:val="auto"/>
        </w:rPr>
      </w:pPr>
    </w:p>
    <w:p>
      <w:pPr>
        <w:ind w:right="180"/>
        <w:spacing w:after="0" w:line="277" w:lineRule="auto"/>
        <w:rPr>
          <w:sz w:val="20"/>
          <w:szCs w:val="20"/>
          <w:color w:val="auto"/>
        </w:rPr>
      </w:pPr>
      <w:r>
        <w:rPr>
          <w:rFonts w:ascii="Times New Roman" w:cs="Times New Roman" w:eastAsia="Times New Roman" w:hAnsi="Times New Roman"/>
          <w:sz w:val="17"/>
          <w:szCs w:val="17"/>
          <w:color w:val="auto"/>
        </w:rPr>
        <w:t>The disclosures contained in the Current Report on Form 8-K are also being filed as definitive additional materials on Schedule 14A, and should also be read as supplemental information as part of, the 2024 Proxy Statement, which should be read in its entirety and is on the SEC’s website at http://www.sec.gov, along with periodic reports and other information Tilray files with the SEC. To the extent that the information set forth herein differs from or updates information contained in the 2024 Proxy Statement, the information set forth herein shall supersede or supplement the information in the 2024 Proxy Statement. To the extent defined terms are used but not defined herein, they have the meanings set forth in the 2024 Proxy Statement.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The directors and executive officers of Tilray and other persons may be considered participants in the solicitation of proxies from stockholders in connection with the proposed transaction. Information regarding Tilray’s directors and executive officers is available in the 2024 Proxy Statement for the 2024 Annual Meeting of Stockholders to be held on November 21, 2024 (and any adjournment or postponement thereof), which was filed with the Commission on September 27, 2024, and Tilray’s other filings with the SEC. Other information regarding the participants in the proxy solicitation and a description of their direct and indirect interests is contained in the 2024 Proxy Statement.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Concerning Forward-Looking Statements</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Certain statements in this Current Report on Form 8-K constitute forward-looking information or forward-looking statements (together, “forward-looking statements”) under Canadian securities laws and within the meaning of Section 27A of the Securities Act of 1933, as amended, and Section 21E of the Securities Exchange Act of 1934, as amended, that are intended to be subject to the “safe harbor” created by those sections and other applicable laws. Forward-looking statements can be identified by words such as “forecast,” “future,” “should,” “could,” “enable,” “potential,” “contemplate,” “believe,” “anticipate,” “estimate,” “plan,” “expect,” “intend,” “may,” “project,” “will,” “would” and the negative of these terms or similar expressions, although not all forward-looking statements contain these identifying words. Certain material factors, estimates, goals, projections or assumptions were used in drawing the conclusions contained in the forward-looking statements throughout this communication.</w:t>
      </w:r>
    </w:p>
    <w:p>
      <w:pPr>
        <w:spacing w:after="0" w:line="18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Forward-looking statements include statements regarding our intentions, beliefs, projections, outlook, analyses or current expectations concerning, among other things, Tilray’s intentions regarding the Action and its beliefs regarding the vote standard applicable to its Authorized Shares Proposals. Many factors could cause actual results, performance or achievement to be materially different from any forward-looking statements, and other risks and uncertainties not presently known to the Company or that the Company deems immaterial could also cause actual results or events to differ materially from those expressed in the forward-looking statements contained herein. For a more detailed discussion of these risks and other factors, see the most recently filed annual information form of the Company and the Annual Report on Form 10-K (and other periodic reports filed with the SEC) of the Company made with the SEC and available on EDGAR. The forward-looking statements included in this communication are made as of the date of this communication and the Company does not undertake any obligation to publicly update such forward-looking statements to reflect new information, subsequent events or otherwise unless required by applicable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b w:val="1"/>
          <w:bCs w:val="1"/>
          <w:color w:val="auto"/>
        </w:rPr>
        <w:t>Tilray Brands,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2, 2024</w:t>
      </w:r>
    </w:p>
    <w:p>
      <w:pPr>
        <w:spacing w:after="0" w:line="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By: /s/ Mitchell Gendel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3542030</wp:posOffset>
            </wp:positionH>
            <wp:positionV relativeFrom="paragraph">
              <wp:posOffset>-19050</wp:posOffset>
            </wp:positionV>
            <wp:extent cx="9105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10590" cy="8255"/>
                    </a:xfrm>
                    <a:prstGeom prst="rect">
                      <a:avLst/>
                    </a:prstGeom>
                    <a:noFill/>
                  </pic:spPr>
                </pic:pic>
              </a:graphicData>
            </a:graphic>
          </wp:anchor>
        </w:drawing>
      </w:r>
    </w:p>
    <w:p>
      <w:pPr>
        <w:ind w:left="5320"/>
        <w:spacing w:after="0"/>
        <w:rPr>
          <w:sz w:val="20"/>
          <w:szCs w:val="20"/>
          <w:color w:val="auto"/>
        </w:rPr>
      </w:pPr>
      <w:r>
        <w:rPr>
          <w:rFonts w:ascii="Times New Roman" w:cs="Times New Roman" w:eastAsia="Times New Roman" w:hAnsi="Times New Roman"/>
          <w:sz w:val="18"/>
          <w:szCs w:val="18"/>
          <w:color w:val="auto"/>
        </w:rPr>
        <w:t>Name: Mitchell Gendel</w:t>
      </w:r>
    </w:p>
    <w:p>
      <w:pPr>
        <w:spacing w:after="0" w:line="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Title: Global General Counsel</w:t>
      </w:r>
    </w:p>
    <w:sectPr>
      <w:pgSz w:w="11900" w:h="16838" w:orient="portrait"/>
      <w:cols w:equalWidth="0" w:num="1">
        <w:col w:w="11200"/>
      </w:cols>
      <w:pgMar w:left="320" w:top="576"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2024-12-02T08:07:55Z</dcterms:created>
  <dcterms:modified xsi:type="dcterms:W3CDTF">2024-12-02T08:07:55Z</dcterms:modified>
</cp:coreProperties>
</file>