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09" w:lineRule="exact"/>
        <w:rPr>
          <w:sz w:val="24"/>
          <w:szCs w:val="24"/>
          <w:color w:val="auto"/>
        </w:rPr>
      </w:pPr>
    </w:p>
    <w:p>
      <w:pPr>
        <w:ind w:left="320" w:right="140"/>
        <w:spacing w:after="0" w:line="24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-214630</wp:posOffset>
            </wp:positionV>
            <wp:extent cx="116205" cy="116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4" w:lineRule="exact"/>
        <w:rPr>
          <w:sz w:val="24"/>
          <w:szCs w:val="24"/>
          <w:color w:val="auto"/>
        </w:rPr>
      </w:pPr>
    </w:p>
    <w:p>
      <w:pPr>
        <w:ind w:left="320"/>
        <w:spacing w:after="0" w:line="23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-547370</wp:posOffset>
            </wp:positionV>
            <wp:extent cx="116205" cy="116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jc w:val="center"/>
              <w:ind w:right="32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40" w:type="dxa"/>
            <w:vAlign w:val="bottom"/>
            <w:vMerge w:val="restart"/>
          </w:tcPr>
          <w:p>
            <w:pPr>
              <w:jc w:val="center"/>
              <w:ind w:right="320"/>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20"/>
              <w:spacing w:after="0" w:line="176"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5171440</wp:posOffset>
            </wp:positionH>
            <wp:positionV relativeFrom="paragraph">
              <wp:posOffset>-594360</wp:posOffset>
            </wp:positionV>
            <wp:extent cx="5651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769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-594360</wp:posOffset>
            </wp:positionV>
            <wp:extent cx="56515" cy="607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769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629920</wp:posOffset>
            </wp:positionV>
            <wp:extent cx="7000240" cy="4763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240" cy="4763135"/>
                    </a:xfrm>
                    <a:prstGeom prst="rect">
                      <a:avLst/>
                    </a:prstGeom>
                    <a:noFill/>
                  </pic:spPr>
                </pic:pic>
              </a:graphicData>
            </a:graphic>
          </wp:anchor>
        </w:drawing>
      </w:r>
    </w:p>
    <w:p>
      <w:pPr>
        <w:spacing w:after="0" w:line="1002" w:lineRule="exact"/>
        <w:rPr>
          <w:sz w:val="24"/>
          <w:szCs w:val="24"/>
          <w:color w:val="auto"/>
        </w:rPr>
      </w:pPr>
    </w:p>
    <w:p>
      <w:pPr>
        <w:sectPr>
          <w:pgSz w:w="11900" w:h="16838" w:orient="portrait"/>
          <w:cols w:equalWidth="0" w:num="2">
            <w:col w:w="2260" w:space="460"/>
            <w:col w:w="8360"/>
          </w:cols>
          <w:pgMar w:left="460" w:top="212"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2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gridSpan w:val="3"/>
            <w:vMerge w:val="restart"/>
          </w:tcPr>
          <w:p>
            <w:pPr>
              <w:spacing w:after="0" w:line="225" w:lineRule="exact"/>
              <w:rPr>
                <w:rFonts w:ascii="Times New Roman" w:cs="Times New Roman" w:eastAsia="Times New Roman" w:hAnsi="Times New Roman"/>
                <w:sz w:val="20"/>
                <w:szCs w:val="20"/>
                <w:color w:val="0000EE"/>
                <w:w w:val="96"/>
              </w:rPr>
            </w:pPr>
            <w:hyperlink r:id="rId13">
              <w:r>
                <w:rPr>
                  <w:rFonts w:ascii="Times New Roman" w:cs="Times New Roman" w:eastAsia="Times New Roman" w:hAnsi="Times New Roman"/>
                  <w:sz w:val="20"/>
                  <w:szCs w:val="20"/>
                  <w:color w:val="0000EE"/>
                  <w:w w:val="96"/>
                </w:rPr>
                <w:t>Gendel Mitchell</w:t>
              </w:r>
            </w:hyperlink>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20" w:type="dxa"/>
            <w:vAlign w:val="bottom"/>
            <w:gridSpan w:val="5"/>
          </w:tcPr>
          <w:p>
            <w:pPr>
              <w:spacing w:after="0" w:line="98"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Tilray Brands,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TLRY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80" w:type="dxa"/>
            <w:vAlign w:val="bottom"/>
            <w:gridSpan w:val="3"/>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bottom w:val="single" w:sz="8" w:color="0000EE"/>
            </w:tcBorders>
            <w:gridSpan w:val="3"/>
            <w:vMerge w:val="continue"/>
          </w:tcPr>
          <w:p>
            <w:pPr>
              <w:spacing w:after="0"/>
              <w:rPr>
                <w:sz w:val="4"/>
                <w:szCs w:val="4"/>
                <w:color w:val="auto"/>
              </w:rPr>
            </w:pPr>
          </w:p>
        </w:tc>
        <w:tc>
          <w:tcPr>
            <w:tcW w:w="1060" w:type="dxa"/>
            <w:vAlign w:val="bottom"/>
            <w:vMerge w:val="restart"/>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gridSpan w:val="3"/>
          </w:tcPr>
          <w:p>
            <w:pPr>
              <w:spacing w:after="0"/>
              <w:rPr>
                <w:sz w:val="3"/>
                <w:szCs w:val="3"/>
                <w:color w:val="auto"/>
              </w:rPr>
            </w:pPr>
          </w:p>
        </w:tc>
        <w:tc>
          <w:tcPr>
            <w:tcW w:w="10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29" w:lineRule="exact"/>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11"/>
                <w:szCs w:val="11"/>
                <w:color w:val="auto"/>
              </w:rPr>
            </w:pPr>
          </w:p>
        </w:tc>
        <w:tc>
          <w:tcPr>
            <w:tcW w:w="1440" w:type="dxa"/>
            <w:vAlign w:val="bottom"/>
            <w:gridSpan w:val="4"/>
          </w:tcPr>
          <w:p>
            <w:pPr>
              <w:ind w:left="200"/>
              <w:spacing w:after="0" w:line="129"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Borders>
              <w:top w:val="single" w:sz="8" w:color="EEEEEE"/>
            </w:tcBorders>
          </w:tcPr>
          <w:p>
            <w:pPr>
              <w:spacing w:after="0"/>
              <w:rPr>
                <w:sz w:val="11"/>
                <w:szCs w:val="11"/>
                <w:color w:val="auto"/>
              </w:rPr>
            </w:pPr>
          </w:p>
        </w:tc>
        <w:tc>
          <w:tcPr>
            <w:tcW w:w="112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2"/>
                <w:szCs w:val="12"/>
                <w:color w:val="auto"/>
              </w:rPr>
              <w:t>(First)</w:t>
            </w:r>
          </w:p>
        </w:tc>
        <w:tc>
          <w:tcPr>
            <w:tcW w:w="960" w:type="dxa"/>
            <w:vAlign w:val="bottom"/>
            <w:tcBorders>
              <w:top w:val="single" w:sz="8" w:color="EEEEEE"/>
              <w:bottom w:val="single" w:sz="8" w:color="EEEEEE"/>
            </w:tcBorders>
            <w:vMerge w:val="restart"/>
          </w:tcPr>
          <w:p>
            <w:pPr>
              <w:ind w:left="120"/>
              <w:spacing w:after="0"/>
              <w:rPr>
                <w:sz w:val="20"/>
                <w:szCs w:val="20"/>
                <w:color w:val="auto"/>
              </w:rPr>
            </w:pPr>
            <w:r>
              <w:rPr>
                <w:rFonts w:ascii="Arial" w:cs="Arial" w:eastAsia="Arial" w:hAnsi="Arial"/>
                <w:sz w:val="12"/>
                <w:szCs w:val="12"/>
                <w:color w:val="auto"/>
              </w:rPr>
              <w:t>(Middle)</w:t>
            </w:r>
          </w:p>
        </w:tc>
        <w:tc>
          <w:tcPr>
            <w:tcW w:w="60" w:type="dxa"/>
            <w:vAlign w:val="bottom"/>
            <w:tcBorders>
              <w:top w:val="single" w:sz="8" w:color="EEEEEE"/>
            </w:tcBorders>
          </w:tcPr>
          <w:p>
            <w:pPr>
              <w:spacing w:after="0"/>
              <w:rPr>
                <w:sz w:val="11"/>
                <w:szCs w:val="11"/>
                <w:color w:val="auto"/>
              </w:rPr>
            </w:pPr>
          </w:p>
        </w:tc>
        <w:tc>
          <w:tcPr>
            <w:tcW w:w="300" w:type="dxa"/>
            <w:vAlign w:val="bottom"/>
            <w:tcBorders>
              <w:top w:val="single" w:sz="8" w:color="EEEEEE"/>
            </w:tcBorders>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ind w:left="120"/>
              <w:spacing w:after="0" w:line="111" w:lineRule="exact"/>
              <w:rPr>
                <w:sz w:val="20"/>
                <w:szCs w:val="20"/>
                <w:color w:val="auto"/>
              </w:rPr>
            </w:pPr>
            <w:r>
              <w:rPr>
                <w:rFonts w:ascii="Arial" w:cs="Arial" w:eastAsia="Arial" w:hAnsi="Arial"/>
                <w:sz w:val="12"/>
                <w:szCs w:val="12"/>
                <w:color w:val="auto"/>
              </w:rPr>
              <w:t>below)</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ind w:left="200"/>
              <w:spacing w:after="0" w:line="111" w:lineRule="exact"/>
              <w:rPr>
                <w:sz w:val="20"/>
                <w:szCs w:val="20"/>
                <w:color w:val="auto"/>
              </w:rPr>
            </w:pPr>
            <w:r>
              <w:rPr>
                <w:rFonts w:ascii="Arial" w:cs="Arial" w:eastAsia="Arial" w:hAnsi="Arial"/>
                <w:sz w:val="12"/>
                <w:szCs w:val="12"/>
                <w:color w:val="auto"/>
              </w:rPr>
              <w:t>below)</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140" w:type="dxa"/>
            <w:vAlign w:val="bottom"/>
            <w:gridSpan w:val="4"/>
            <w:vMerge w:val="restart"/>
          </w:tcPr>
          <w:p>
            <w:pPr>
              <w:ind w:left="420"/>
              <w:spacing w:after="0" w:line="177" w:lineRule="exact"/>
              <w:rPr>
                <w:sz w:val="20"/>
                <w:szCs w:val="20"/>
                <w:color w:val="auto"/>
              </w:rPr>
            </w:pPr>
            <w:r>
              <w:rPr>
                <w:rFonts w:ascii="Times New Roman" w:cs="Times New Roman" w:eastAsia="Times New Roman" w:hAnsi="Times New Roman"/>
                <w:sz w:val="16"/>
                <w:szCs w:val="16"/>
                <w:color w:val="0000FF"/>
              </w:rPr>
              <w:t>Global General Counsel</w:t>
            </w: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C/O TILRAY BRANDS, INC.</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80" w:type="dxa"/>
            <w:vAlign w:val="bottom"/>
            <w:gridSpan w:val="6"/>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14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4"/>
            <w:vMerge w:val="continue"/>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0000FF"/>
              </w:rPr>
              <w:t>07/29/2025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265 TALBOT STREET WEST</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tcPr>
          <w:p>
            <w:pPr>
              <w:spacing w:after="0"/>
              <w:rPr>
                <w:sz w:val="15"/>
                <w:szCs w:val="15"/>
                <w:color w:val="auto"/>
              </w:rPr>
            </w:pPr>
          </w:p>
        </w:tc>
        <w:tc>
          <w:tcPr>
            <w:tcW w:w="2020" w:type="dxa"/>
            <w:vAlign w:val="bottom"/>
            <w:gridSpan w:val="5"/>
          </w:tcPr>
          <w:p>
            <w:pPr>
              <w:spacing w:after="0"/>
              <w:rPr>
                <w:sz w:val="15"/>
                <w:szCs w:val="15"/>
                <w:color w:val="auto"/>
              </w:rPr>
            </w:pPr>
          </w:p>
        </w:tc>
        <w:tc>
          <w:tcPr>
            <w:tcW w:w="260" w:type="dxa"/>
            <w:vAlign w:val="bottom"/>
          </w:tcPr>
          <w:p>
            <w:pPr>
              <w:spacing w:after="0"/>
              <w:rPr>
                <w:sz w:val="15"/>
                <w:szCs w:val="15"/>
                <w:color w:val="auto"/>
              </w:rPr>
            </w:pPr>
          </w:p>
        </w:tc>
        <w:tc>
          <w:tcPr>
            <w:tcW w:w="3300" w:type="dxa"/>
            <w:vAlign w:val="bottom"/>
            <w:gridSpan w:val="6"/>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40" w:type="dxa"/>
            <w:vAlign w:val="bottom"/>
            <w:tcBorders>
              <w:right w:val="single" w:sz="8" w:color="2C2C2C"/>
            </w:tcBorders>
          </w:tcPr>
          <w:p>
            <w:pPr>
              <w:spacing w:after="0" w:line="20" w:lineRule="exact"/>
              <w:rPr>
                <w:sz w:val="1"/>
                <w:szCs w:val="1"/>
                <w:color w:val="auto"/>
              </w:rPr>
            </w:pPr>
          </w:p>
        </w:tc>
        <w:tc>
          <w:tcPr>
            <w:tcW w:w="1480" w:type="dxa"/>
            <w:vAlign w:val="bottom"/>
            <w:tcBorders>
              <w:top w:val="single" w:sz="8" w:color="808080"/>
            </w:tcBorders>
            <w:gridSpan w:val="3"/>
            <w:shd w:val="clear" w:color="auto" w:fill="2C2C2C"/>
          </w:tcPr>
          <w:p>
            <w:pPr>
              <w:spacing w:after="0" w:line="20" w:lineRule="exact"/>
              <w:rPr>
                <w:sz w:val="1"/>
                <w:szCs w:val="1"/>
                <w:color w:val="auto"/>
              </w:rPr>
            </w:pPr>
          </w:p>
        </w:tc>
        <w:tc>
          <w:tcPr>
            <w:tcW w:w="2020" w:type="dxa"/>
            <w:vAlign w:val="bottom"/>
            <w:tcBorders>
              <w:top w:val="single" w:sz="8" w:color="808080"/>
            </w:tcBorders>
            <w:gridSpan w:val="5"/>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3300" w:type="dxa"/>
            <w:vAlign w:val="bottom"/>
            <w:tcBorders>
              <w:top w:val="single" w:sz="8" w:color="808080"/>
            </w:tcBorders>
            <w:gridSpan w:val="6"/>
            <w:shd w:val="clear" w:color="auto" w:fill="2C2C2C"/>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gridSpan w:val="8"/>
          </w:tcPr>
          <w:p>
            <w:pPr>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6"/>
                <w:szCs w:val="16"/>
                <w:color w:val="auto"/>
              </w:rPr>
            </w:pPr>
          </w:p>
        </w:tc>
        <w:tc>
          <w:tcPr>
            <w:tcW w:w="3420" w:type="dxa"/>
            <w:vAlign w:val="bottom"/>
            <w:gridSpan w:val="8"/>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LEAMINGTON</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A6</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N8H 4H3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4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940" w:type="dxa"/>
            <w:vAlign w:val="bottom"/>
            <w:gridSpan w:val="7"/>
          </w:tcPr>
          <w:p>
            <w:pPr>
              <w:ind w:left="120"/>
              <w:spacing w:after="0" w:line="136"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960" w:type="dxa"/>
            <w:vAlign w:val="bottom"/>
          </w:tcPr>
          <w:p>
            <w:pPr>
              <w:ind w:left="1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228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6340" w:type="dxa"/>
            <w:vAlign w:val="bottom"/>
            <w:tcBorders>
              <w:top w:val="single" w:sz="8" w:color="2C2C2C"/>
            </w:tcBorders>
            <w:gridSpan w:val="15"/>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5"/>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3"/>
                <w:szCs w:val="13"/>
                <w:color w:val="auto"/>
              </w:rPr>
            </w:pP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18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1140" w:type="dxa"/>
            <w:vAlign w:val="bottom"/>
            <w:gridSpan w:val="3"/>
          </w:tcPr>
          <w:p>
            <w:pPr>
              <w:ind w:left="180"/>
              <w:spacing w:after="0" w:line="123"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5"/>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60" w:type="dxa"/>
            <w:vAlign w:val="bottom"/>
            <w:gridSpan w:val="5"/>
          </w:tcPr>
          <w:p>
            <w:pPr>
              <w:ind w:left="20"/>
              <w:spacing w:after="0" w:line="123" w:lineRule="exact"/>
              <w:rPr>
                <w:sz w:val="20"/>
                <w:szCs w:val="20"/>
                <w:color w:val="auto"/>
              </w:rPr>
            </w:pPr>
            <w:r>
              <w:rPr>
                <w:rFonts w:ascii="Arial" w:cs="Arial" w:eastAsia="Arial" w:hAnsi="Arial"/>
                <w:sz w:val="11"/>
                <w:szCs w:val="11"/>
                <w:b w:val="1"/>
                <w:bCs w:val="1"/>
                <w:color w:val="auto"/>
              </w:rPr>
              <w:t>(Month/Day/Year)  if any</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3"/>
          </w:tcPr>
          <w:p>
            <w:pPr>
              <w:ind w:left="180"/>
              <w:spacing w:after="0" w:line="123"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48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jc w:val="right"/>
              <w:ind w:right="115"/>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6"/>
                <w:szCs w:val="16"/>
                <w:color w:val="0000FF"/>
              </w:rPr>
              <w:t>07/30/2025</w:t>
            </w:r>
          </w:p>
        </w:tc>
        <w:tc>
          <w:tcPr>
            <w:tcW w:w="6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8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243,781</w:t>
            </w:r>
            <w:r>
              <w:rPr>
                <w:rFonts w:ascii="Times New Roman" w:cs="Times New Roman" w:eastAsia="Times New Roman" w:hAnsi="Times New Roman"/>
                <w:sz w:val="20"/>
                <w:szCs w:val="20"/>
                <w:color w:val="008000"/>
                <w:vertAlign w:val="superscript"/>
              </w:rPr>
              <w:t>(1)</w:t>
            </w:r>
          </w:p>
        </w:tc>
        <w:tc>
          <w:tcPr>
            <w:tcW w:w="48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bottom w:val="single" w:sz="8" w:color="2C2C2C"/>
            </w:tcBorders>
            <w:gridSpan w:val="2"/>
          </w:tcPr>
          <w:p>
            <w:pPr>
              <w:jc w:val="right"/>
              <w:ind w:right="7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0.61</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777,345</w:t>
            </w:r>
            <w:r>
              <w:rPr>
                <w:rFonts w:ascii="Times New Roman" w:cs="Times New Roman" w:eastAsia="Times New Roman" w:hAnsi="Times New Roman"/>
                <w:sz w:val="20"/>
                <w:szCs w:val="20"/>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6"/>
                <w:szCs w:val="16"/>
                <w:color w:val="0000FF"/>
              </w:rPr>
              <w:t>07/30/2025</w:t>
            </w:r>
          </w:p>
        </w:tc>
        <w:tc>
          <w:tcPr>
            <w:tcW w:w="6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8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129,204</w:t>
            </w:r>
            <w:r>
              <w:rPr>
                <w:rFonts w:ascii="Times New Roman" w:cs="Times New Roman" w:eastAsia="Times New Roman" w:hAnsi="Times New Roman"/>
                <w:sz w:val="20"/>
                <w:szCs w:val="20"/>
                <w:color w:val="008000"/>
                <w:vertAlign w:val="superscript"/>
              </w:rPr>
              <w:t>(3)</w:t>
            </w:r>
          </w:p>
        </w:tc>
        <w:tc>
          <w:tcPr>
            <w:tcW w:w="48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Borders>
              <w:bottom w:val="single" w:sz="8" w:color="2C2C2C"/>
            </w:tcBorders>
            <w:gridSpan w:val="2"/>
          </w:tcPr>
          <w:p>
            <w:pPr>
              <w:jc w:val="right"/>
              <w:ind w:right="7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0.61</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648,141</w:t>
            </w:r>
            <w:r>
              <w:rPr>
                <w:rFonts w:ascii="Times New Roman" w:cs="Times New Roman" w:eastAsia="Times New Roman" w:hAnsi="Times New Roman"/>
                <w:sz w:val="20"/>
                <w:szCs w:val="20"/>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6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340" w:type="dxa"/>
            <w:vAlign w:val="bottom"/>
            <w:tcBorders>
              <w:top w:val="single" w:sz="8" w:color="2C2C2C"/>
            </w:tcBorders>
            <w:gridSpan w:val="15"/>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700" w:type="dxa"/>
            <w:vAlign w:val="bottom"/>
            <w:gridSpan w:val="14"/>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3"/>
                <w:szCs w:val="13"/>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7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Conversion  Date</w:t>
            </w: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10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4"/>
              </w:rPr>
              <w:t>or Exercise</w:t>
            </w:r>
          </w:p>
        </w:tc>
        <w:tc>
          <w:tcPr>
            <w:tcW w:w="60" w:type="dxa"/>
            <w:vAlign w:val="bottom"/>
          </w:tcPr>
          <w:p>
            <w:pPr>
              <w:spacing w:after="0"/>
              <w:rPr>
                <w:sz w:val="10"/>
                <w:szCs w:val="10"/>
                <w:color w:val="auto"/>
              </w:rPr>
            </w:pPr>
          </w:p>
        </w:tc>
        <w:tc>
          <w:tcPr>
            <w:tcW w:w="106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36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Acquired (A) or</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Disposed of (D)</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(Instr. 3, 4 and 5)</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10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w w:val="95"/>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8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540" w:type="dxa"/>
            <w:vAlign w:val="bottom"/>
            <w:gridSpan w:val="2"/>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(4)</w:t>
            </w: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6"/>
                <w:szCs w:val="16"/>
                <w:color w:val="0000FF"/>
              </w:rPr>
              <w:t>243,781</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gridSpan w:val="2"/>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continue"/>
          </w:tcPr>
          <w:p>
            <w:pPr>
              <w:spacing w:after="0"/>
              <w:rPr>
                <w:sz w:val="5"/>
                <w:szCs w:val="5"/>
                <w:color w:val="auto"/>
              </w:rPr>
            </w:pPr>
          </w:p>
        </w:tc>
        <w:tc>
          <w:tcPr>
            <w:tcW w:w="1120" w:type="dxa"/>
            <w:vAlign w:val="bottom"/>
            <w:gridSpan w:val="2"/>
            <w:vMerge w:val="restart"/>
          </w:tcPr>
          <w:p>
            <w:pPr>
              <w:jc w:val="center"/>
              <w:ind w:left="15"/>
              <w:spacing w:after="0" w:line="135" w:lineRule="exact"/>
              <w:rPr>
                <w:sz w:val="20"/>
                <w:szCs w:val="20"/>
                <w:color w:val="auto"/>
              </w:rPr>
            </w:pPr>
            <w:r>
              <w:rPr>
                <w:rFonts w:ascii="Times New Roman" w:cs="Times New Roman" w:eastAsia="Times New Roman" w:hAnsi="Times New Roman"/>
                <w:sz w:val="12"/>
                <w:szCs w:val="12"/>
                <w:color w:val="0000FF"/>
              </w:rPr>
              <w:t>07/30/2025</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3"/>
            <w:vMerge w:val="restart"/>
          </w:tcPr>
          <w:p>
            <w:pPr>
              <w:ind w:left="140"/>
              <w:spacing w:after="0" w:line="135" w:lineRule="exact"/>
              <w:rPr>
                <w:sz w:val="20"/>
                <w:szCs w:val="20"/>
                <w:color w:val="auto"/>
              </w:rPr>
            </w:pPr>
            <w:r>
              <w:rPr>
                <w:rFonts w:ascii="Times New Roman" w:cs="Times New Roman" w:eastAsia="Times New Roman" w:hAnsi="Times New Roman"/>
                <w:sz w:val="12"/>
                <w:szCs w:val="12"/>
                <w:color w:val="0000FF"/>
              </w:rPr>
              <w:t>M</w:t>
            </w:r>
          </w:p>
        </w:tc>
        <w:tc>
          <w:tcPr>
            <w:tcW w:w="600" w:type="dxa"/>
            <w:vAlign w:val="bottom"/>
          </w:tcPr>
          <w:p>
            <w:pPr>
              <w:spacing w:after="0"/>
              <w:rPr>
                <w:sz w:val="5"/>
                <w:szCs w:val="5"/>
                <w:color w:val="auto"/>
              </w:rPr>
            </w:pPr>
          </w:p>
        </w:tc>
        <w:tc>
          <w:tcPr>
            <w:tcW w:w="520" w:type="dxa"/>
            <w:vAlign w:val="bottom"/>
            <w:vMerge w:val="restart"/>
          </w:tcPr>
          <w:p>
            <w:pPr>
              <w:ind w:left="40"/>
              <w:spacing w:after="0" w:line="135" w:lineRule="exact"/>
              <w:rPr>
                <w:sz w:val="20"/>
                <w:szCs w:val="20"/>
                <w:color w:val="auto"/>
              </w:rPr>
            </w:pPr>
            <w:r>
              <w:rPr>
                <w:rFonts w:ascii="Times New Roman" w:cs="Times New Roman" w:eastAsia="Times New Roman" w:hAnsi="Times New Roman"/>
                <w:sz w:val="12"/>
                <w:szCs w:val="12"/>
                <w:color w:val="0000FF"/>
              </w:rPr>
              <w:t>243,781</w:t>
            </w: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40" w:type="dxa"/>
            <w:vAlign w:val="bottom"/>
            <w:vMerge w:val="restart"/>
          </w:tcPr>
          <w:p>
            <w:pPr>
              <w:ind w:left="260"/>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right"/>
              <w:ind w:right="145"/>
              <w:spacing w:after="0" w:line="135" w:lineRule="exact"/>
              <w:rPr>
                <w:sz w:val="20"/>
                <w:szCs w:val="20"/>
                <w:color w:val="auto"/>
              </w:rPr>
            </w:pPr>
            <w:r>
              <w:rPr>
                <w:rFonts w:ascii="Times New Roman" w:cs="Times New Roman" w:eastAsia="Times New Roman" w:hAnsi="Times New Roman"/>
                <w:sz w:val="12"/>
                <w:szCs w:val="12"/>
                <w:color w:val="0000FF"/>
              </w:rPr>
              <w:t>243,781</w:t>
            </w:r>
          </w:p>
        </w:tc>
        <w:tc>
          <w:tcPr>
            <w:tcW w:w="640" w:type="dxa"/>
            <w:vAlign w:val="bottom"/>
            <w:vMerge w:val="restart"/>
          </w:tcPr>
          <w:p>
            <w:pPr>
              <w:ind w:left="340"/>
              <w:spacing w:after="0" w:line="135" w:lineRule="exact"/>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vMerge w:val="restart"/>
          </w:tcPr>
          <w:p>
            <w:pPr>
              <w:jc w:val="right"/>
              <w:ind w:right="115"/>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(6)</w:t>
            </w: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1,748,793</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continue"/>
          </w:tcPr>
          <w:p>
            <w:pPr>
              <w:spacing w:after="0"/>
              <w:rPr>
                <w:sz w:val="10"/>
                <w:szCs w:val="10"/>
                <w:color w:val="auto"/>
              </w:rPr>
            </w:pPr>
          </w:p>
        </w:tc>
        <w:tc>
          <w:tcPr>
            <w:tcW w:w="1120" w:type="dxa"/>
            <w:vAlign w:val="bottom"/>
            <w:gridSpan w:val="2"/>
          </w:tcPr>
          <w:p>
            <w:pPr>
              <w:jc w:val="center"/>
              <w:ind w:left="15"/>
              <w:spacing w:after="0" w:line="123" w:lineRule="exact"/>
              <w:rPr>
                <w:sz w:val="20"/>
                <w:szCs w:val="20"/>
                <w:color w:val="auto"/>
              </w:rPr>
            </w:pPr>
            <w:r>
              <w:rPr>
                <w:rFonts w:ascii="Times New Roman" w:cs="Times New Roman" w:eastAsia="Times New Roman" w:hAnsi="Times New Roman"/>
                <w:sz w:val="12"/>
                <w:szCs w:val="12"/>
                <w:color w:val="0000FF"/>
              </w:rPr>
              <w:t>07/29/2025</w:t>
            </w: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ind w:left="160"/>
              <w:spacing w:after="0" w:line="123" w:lineRule="exact"/>
              <w:rPr>
                <w:sz w:val="20"/>
                <w:szCs w:val="20"/>
                <w:color w:val="auto"/>
              </w:rPr>
            </w:pPr>
            <w:r>
              <w:rPr>
                <w:rFonts w:ascii="Times New Roman" w:cs="Times New Roman" w:eastAsia="Times New Roman" w:hAnsi="Times New Roman"/>
                <w:sz w:val="12"/>
                <w:szCs w:val="12"/>
                <w:color w:val="0000FF"/>
              </w:rPr>
              <w:t>A</w:t>
            </w:r>
          </w:p>
        </w:tc>
        <w:tc>
          <w:tcPr>
            <w:tcW w:w="600" w:type="dxa"/>
            <w:vAlign w:val="bottom"/>
          </w:tcPr>
          <w:p>
            <w:pPr>
              <w:ind w:left="40"/>
              <w:spacing w:after="0" w:line="123" w:lineRule="exact"/>
              <w:rPr>
                <w:sz w:val="20"/>
                <w:szCs w:val="20"/>
                <w:color w:val="auto"/>
              </w:rPr>
            </w:pPr>
            <w:r>
              <w:rPr>
                <w:rFonts w:ascii="Times New Roman" w:cs="Times New Roman" w:eastAsia="Times New Roman" w:hAnsi="Times New Roman"/>
                <w:sz w:val="12"/>
                <w:szCs w:val="12"/>
                <w:color w:val="0000FF"/>
              </w:rPr>
              <w:t>1,748,793</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40" w:type="dxa"/>
            <w:vAlign w:val="bottom"/>
          </w:tcPr>
          <w:p>
            <w:pPr>
              <w:ind w:left="260"/>
              <w:spacing w:after="0" w:line="12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105"/>
              <w:spacing w:after="0" w:line="123" w:lineRule="exact"/>
              <w:rPr>
                <w:sz w:val="20"/>
                <w:szCs w:val="20"/>
                <w:color w:val="auto"/>
              </w:rPr>
            </w:pPr>
            <w:r>
              <w:rPr>
                <w:rFonts w:ascii="Times New Roman" w:cs="Times New Roman" w:eastAsia="Times New Roman" w:hAnsi="Times New Roman"/>
                <w:sz w:val="12"/>
                <w:szCs w:val="12"/>
                <w:color w:val="0000FF"/>
              </w:rPr>
              <w:t>1,748,793</w:t>
            </w:r>
          </w:p>
        </w:tc>
        <w:tc>
          <w:tcPr>
            <w:tcW w:w="640" w:type="dxa"/>
            <w:vAlign w:val="bottom"/>
          </w:tcPr>
          <w:p>
            <w:pPr>
              <w:ind w:left="340"/>
              <w:spacing w:after="0" w:line="123" w:lineRule="exact"/>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ind w:right="115"/>
              <w:spacing w:after="0" w:line="13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-1852930</wp:posOffset>
            </wp:positionV>
            <wp:extent cx="27940" cy="1858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185864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0"/>
          <w:szCs w:val="20"/>
          <w:color w:val="auto"/>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July 30, 2024, the reporting person was granted 487,562 of 2024 RSUs, and 243,781 RSUs vested on July 30, 2025.</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includes shares of Common Stock beneficially owned by the reporting person but excludes other unvested RSUs.</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withheld by the Company to satisfy the tax withholding obligation associated with the vesting of 243,781 2024 RSUs previously granted on July 30, 2024.</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unit represents a contingent right to receive one (1) share of Tilray Common Stock.</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("RSU") represents a contingent right to receive one (1) share of Common Stock. Grant date is based on close of trading on July 29, 2025.</w:t>
      </w:r>
    </w:p>
    <w:p>
      <w:pPr>
        <w:spacing w:after="0" w:line="45" w:lineRule="exact"/>
        <w:rPr>
          <w:rFonts w:ascii="Times New Roman" w:cs="Times New Roman" w:eastAsia="Times New Roman" w:hAnsi="Times New Roman"/>
          <w:sz w:val="12"/>
          <w:szCs w:val="12"/>
          <w:color w:val="008000"/>
        </w:rPr>
      </w:pPr>
    </w:p>
    <w:p>
      <w:pPr>
        <w:ind w:left="40" w:right="140" w:hanging="5"/>
        <w:spacing w:after="0" w:line="270"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Subject to the reporting person's continuous employment through the vesting date, the LTIP RSUs shall vest in two (2) equal annual installments, commencing on July 29, 2026, and July 29, 2027, except in the case of the reporting person's earlier voluntary resignation, death or disability. In the event of a voluntary termination by the reporting person prior to the vesting date, all RSUs will be forfeited.</w:t>
      </w:r>
    </w:p>
    <w:p>
      <w:pPr>
        <w:spacing w:after="0" w:line="20"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w w:val="97"/>
              </w:rPr>
              <w:t>/s/ Mitchell Gendel</w:t>
            </w:r>
          </w:p>
        </w:tc>
        <w:tc>
          <w:tcPr>
            <w:tcW w:w="760" w:type="dxa"/>
            <w:vAlign w:val="bottom"/>
          </w:tcPr>
          <w:p>
            <w:pPr>
              <w:spacing w:after="0"/>
              <w:rPr>
                <w:sz w:val="15"/>
                <w:szCs w:val="15"/>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w w:val="95"/>
              </w:rPr>
              <w:t>07/31/2025</w:t>
            </w:r>
          </w:p>
        </w:tc>
      </w:tr>
      <w:tr>
        <w:trPr>
          <w:trHeight w:val="20"/>
        </w:trPr>
        <w:tc>
          <w:tcPr>
            <w:tcW w:w="12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4"/>
        </w:trPr>
        <w:tc>
          <w:tcPr>
            <w:tcW w:w="198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20"/>
              <w:spacing w:after="0"/>
              <w:rPr>
                <w:sz w:val="20"/>
                <w:szCs w:val="20"/>
                <w:color w:val="auto"/>
              </w:rPr>
            </w:pPr>
            <w:r>
              <w:rPr>
                <w:rFonts w:ascii="Arial" w:cs="Arial" w:eastAsia="Arial" w:hAnsi="Arial"/>
                <w:sz w:val="12"/>
                <w:szCs w:val="12"/>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40" w:right="3980" w:hanging="5"/>
        <w:spacing w:after="0" w:line="319"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13565" TargetMode="External"/><Relationship Id="rId14" Type="http://schemas.openxmlformats.org/officeDocument/2006/relationships/hyperlink" Target="http://www.sec.gov/cgi-bin/browse-edgar?action=getcompany&amp;CIK=00017313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2025-07-31T17:20:58Z</dcterms:created>
  <dcterms:modified xsi:type="dcterms:W3CDTF">2025-07-31T17:20:58Z</dcterms:modified>
</cp:coreProperties>
</file>