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Gendel Mitchell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CANADA (FEDERAL LEVEL)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87,440</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157,269</w:t>
            </w:r>
            <w:r>
              <w:rPr>
                <w:rFonts w:ascii="Times;serif" w:hAnsi="Times;serif"/>
                <w:color w:val="008000"/>
                <w:position w:val="7"/>
                <w:sz w:val="16"/>
                <w:sz w:val="20"/>
                <w:shd w:fill="FFFFFF" w:val="clear"/>
              </w:rPr>
              <w:t>(2)(3)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46,344</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110,925</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24,379</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135,304</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12,921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122,383</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87,440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263,108</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263,108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shares of Common Stock beneficially owned by the reporting person but excludes other unvested restricted stock unites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employment through the vesting date, the LTIP RSUs shall vest in two (2) equal annual installments, commencing on July 29, 2026, and July 29, 2027, except in the case of the reporting person's earlier voluntary resignation, death or disability. In the event of a voluntary termination by the reporting person prior to the vesting date, all RSUs will be forfeited.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the reporting person's continued employment through the vesting date, the RSUs shall vest as follows: 50% on the 1-year anniversary of grant date, July 29, 2027 and the remaining 50% on the 2-year anniversary, July 29,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person's continuous employment through the vesting date, the 2024 LTIP RSUs shall vest in two (2) equal annual installments, commencing on July 26, 2025, and July 26, 2026, except in the case of the reporting person's earlier voluntary resignation, death or disability. In the event of a voluntary resignation by the reporting person prior to the vesting date, all RSUs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Mitchell Gendel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3565"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4779</Characters>
  <CharactersWithSpaces>5537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