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Gendel Mitchell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TILRAY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265 TALBOT STREET WEST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N8H 4H3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Tilray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TLRY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Global 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963"/>
        <w:gridCol w:w="443"/>
        <w:gridCol w:w="836"/>
        <w:gridCol w:w="1177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93,928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0.58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742,069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49,782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0.58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692,287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0.5827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698,287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9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9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7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7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Performance-Based Restricted Stock Units ("2022 PSUs")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46,964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93,928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26, 2022, the reporting person was granted 187,853 of 2022 PSUs, with vesting subject to the achievement of certain pre-established performance parameters relating to the aggregate EBITDA generated from the HEXO transaction. The underlying performance condition was satisfied, and 46,964 units vested on July 31,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shares of Common Stock beneficially owned by the reporting person but excludes other unvested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by the Company to satisfy the tax withholding obligation associated with the vesting of 46,964 of 2022 PSUs previously granted on June 26,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unit represents a contingent right to receive one (1) share of Tilray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July 31, 2025, the reporting person purchased 6,000 shares of common stock of Tilray Brands, Inc. on the open market at a per share price of $0.5827.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Mitchell Gendel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3565" TargetMode="External"/><Relationship Id="rId5" Type="http://schemas.openxmlformats.org/officeDocument/2006/relationships/hyperlink" Target="http://www.sec.gov/cgi-bin/browse-edgar?action=getcompany&amp;CIK=00017313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739</Words>
  <Characters>3989</Characters>
  <CharactersWithSpaces>4647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