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confidentially submitted with the U.S. Securities and Exchange Commission on May 30, 2018</w:t>
      </w:r>
    </w:p>
    <w:p>
      <w:pPr>
        <w:spacing w:after="0" w:line="19" w:lineRule="exact"/>
        <w:rPr>
          <w:sz w:val="24"/>
          <w:szCs w:val="24"/>
          <w:color w:val="auto"/>
        </w:rPr>
      </w:pPr>
    </w:p>
    <w:p>
      <w:pPr>
        <w:ind w:left="94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UNITED STATES</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121920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FORM S-1</w:t>
      </w:r>
    </w:p>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121920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TILRAY, INC.</w:t>
      </w:r>
    </w:p>
    <w:p>
      <w:pPr>
        <w:spacing w:after="0" w:line="5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2"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940" w:type="dxa"/>
            <w:vAlign w:val="bottom"/>
          </w:tcPr>
          <w:p>
            <w:pPr>
              <w:jc w:val="center"/>
              <w:ind w:right="785"/>
              <w:spacing w:after="0"/>
              <w:rPr>
                <w:sz w:val="20"/>
                <w:szCs w:val="20"/>
                <w:color w:val="auto"/>
              </w:rPr>
            </w:pPr>
            <w:r>
              <w:rPr>
                <w:rFonts w:ascii="Arial" w:cs="Arial" w:eastAsia="Arial" w:hAnsi="Arial"/>
                <w:sz w:val="16"/>
                <w:szCs w:val="16"/>
                <w:b w:val="1"/>
                <w:bCs w:val="1"/>
                <w:color w:val="auto"/>
              </w:rPr>
              <w:t>Delaware</w:t>
            </w:r>
          </w:p>
        </w:tc>
        <w:tc>
          <w:tcPr>
            <w:tcW w:w="3780" w:type="dxa"/>
            <w:vAlign w:val="bottom"/>
          </w:tcPr>
          <w:p>
            <w:pPr>
              <w:jc w:val="center"/>
              <w:ind w:right="25"/>
              <w:spacing w:after="0"/>
              <w:rPr>
                <w:sz w:val="20"/>
                <w:szCs w:val="20"/>
                <w:color w:val="auto"/>
              </w:rPr>
            </w:pPr>
            <w:r>
              <w:rPr>
                <w:rFonts w:ascii="Arial" w:cs="Arial" w:eastAsia="Arial" w:hAnsi="Arial"/>
                <w:sz w:val="16"/>
                <w:szCs w:val="16"/>
                <w:b w:val="1"/>
                <w:bCs w:val="1"/>
                <w:color w:val="auto"/>
              </w:rPr>
              <w:t>2833</w:t>
            </w:r>
          </w:p>
        </w:tc>
        <w:tc>
          <w:tcPr>
            <w:tcW w:w="2460" w:type="dxa"/>
            <w:vAlign w:val="bottom"/>
          </w:tcPr>
          <w:p>
            <w:pPr>
              <w:jc w:val="center"/>
              <w:ind w:left="865"/>
              <w:spacing w:after="0"/>
              <w:rPr>
                <w:sz w:val="20"/>
                <w:szCs w:val="20"/>
                <w:color w:val="auto"/>
              </w:rPr>
            </w:pPr>
            <w:r>
              <w:rPr>
                <w:rFonts w:ascii="Arial" w:cs="Arial" w:eastAsia="Arial" w:hAnsi="Arial"/>
                <w:sz w:val="16"/>
                <w:szCs w:val="16"/>
                <w:b w:val="1"/>
                <w:bCs w:val="1"/>
                <w:color w:val="auto"/>
              </w:rPr>
              <w:t>82-4310622</w:t>
            </w:r>
          </w:p>
        </w:tc>
      </w:tr>
      <w:tr>
        <w:trPr>
          <w:trHeight w:val="162"/>
        </w:trPr>
        <w:tc>
          <w:tcPr>
            <w:tcW w:w="2940" w:type="dxa"/>
            <w:vAlign w:val="bottom"/>
          </w:tcPr>
          <w:p>
            <w:pPr>
              <w:jc w:val="center"/>
              <w:ind w:right="805"/>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ind w:right="5"/>
              <w:spacing w:after="0"/>
              <w:rPr>
                <w:sz w:val="20"/>
                <w:szCs w:val="20"/>
                <w:color w:val="auto"/>
              </w:rPr>
            </w:pPr>
            <w:r>
              <w:rPr>
                <w:rFonts w:ascii="Arial" w:cs="Arial" w:eastAsia="Arial" w:hAnsi="Arial"/>
                <w:sz w:val="14"/>
                <w:szCs w:val="14"/>
                <w:b w:val="1"/>
                <w:bCs w:val="1"/>
                <w:color w:val="auto"/>
              </w:rPr>
              <w:t>(Primary Standard Industrial</w:t>
            </w:r>
          </w:p>
        </w:tc>
        <w:tc>
          <w:tcPr>
            <w:tcW w:w="2460" w:type="dxa"/>
            <w:vAlign w:val="bottom"/>
          </w:tcPr>
          <w:p>
            <w:pPr>
              <w:jc w:val="center"/>
              <w:ind w:left="865"/>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40" w:type="dxa"/>
            <w:vAlign w:val="bottom"/>
          </w:tcPr>
          <w:p>
            <w:pPr>
              <w:jc w:val="center"/>
              <w:ind w:right="785"/>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ind w:right="5"/>
              <w:spacing w:after="0"/>
              <w:rPr>
                <w:sz w:val="20"/>
                <w:szCs w:val="20"/>
                <w:color w:val="auto"/>
              </w:rPr>
            </w:pPr>
            <w:r>
              <w:rPr>
                <w:rFonts w:ascii="Arial" w:cs="Arial" w:eastAsia="Arial" w:hAnsi="Arial"/>
                <w:sz w:val="14"/>
                <w:szCs w:val="14"/>
                <w:b w:val="1"/>
                <w:bCs w:val="1"/>
                <w:color w:val="auto"/>
              </w:rPr>
              <w:t>Classification Code Number)</w:t>
            </w:r>
          </w:p>
        </w:tc>
        <w:tc>
          <w:tcPr>
            <w:tcW w:w="2460" w:type="dxa"/>
            <w:vAlign w:val="bottom"/>
          </w:tcPr>
          <w:p>
            <w:pPr>
              <w:jc w:val="center"/>
              <w:ind w:left="865"/>
              <w:spacing w:after="0"/>
              <w:rPr>
                <w:sz w:val="20"/>
                <w:szCs w:val="20"/>
                <w:color w:val="auto"/>
              </w:rPr>
            </w:pPr>
            <w:r>
              <w:rPr>
                <w:rFonts w:ascii="Arial" w:cs="Arial" w:eastAsia="Arial" w:hAnsi="Arial"/>
                <w:sz w:val="14"/>
                <w:szCs w:val="14"/>
                <w:b w:val="1"/>
                <w:bCs w:val="1"/>
                <w:color w:val="auto"/>
              </w:rPr>
              <w:t>Identification Number)</w:t>
            </w:r>
          </w:p>
        </w:tc>
      </w:tr>
    </w:tbl>
    <w:p>
      <w:pPr>
        <w:spacing w:after="0" w:line="34"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1100 Maughan Road</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Nanaimo, BC, Canada, V9X IJ2</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(844) 845-7291</w:t>
      </w:r>
    </w:p>
    <w:p>
      <w:pPr>
        <w:spacing w:after="0" w:line="8"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Brendan Kennedy</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1920 Eastlake Avenue E.</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Seattle, WA 98102</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(844) 845-7291</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117475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i w:val="1"/>
          <w:iCs w:val="1"/>
          <w:color w:val="auto"/>
        </w:rPr>
        <w:t>Copies to:</w:t>
      </w:r>
    </w:p>
    <w:p>
      <w:pPr>
        <w:spacing w:after="0" w:line="91" w:lineRule="exact"/>
        <w:rPr>
          <w:sz w:val="24"/>
          <w:szCs w:val="24"/>
          <w:color w:val="auto"/>
        </w:rPr>
      </w:pPr>
    </w:p>
    <w:tbl>
      <w:tblPr>
        <w:tblLayout w:type="fixed"/>
        <w:tblInd w:w="940" w:type="dxa"/>
        <w:tblCellMar>
          <w:top w:w="0" w:type="dxa"/>
          <w:left w:w="0" w:type="dxa"/>
          <w:bottom w:w="0" w:type="dxa"/>
          <w:right w:w="0" w:type="dxa"/>
        </w:tblCellMar>
      </w:tblPr>
      <w:tr>
        <w:trPr>
          <w:trHeight w:val="162"/>
        </w:trPr>
        <w:tc>
          <w:tcPr>
            <w:tcW w:w="3160" w:type="dxa"/>
            <w:vAlign w:val="bottom"/>
          </w:tcPr>
          <w:p>
            <w:pPr>
              <w:jc w:val="center"/>
              <w:ind w:right="828"/>
              <w:spacing w:after="0"/>
              <w:rPr>
                <w:sz w:val="20"/>
                <w:szCs w:val="20"/>
                <w:color w:val="auto"/>
              </w:rPr>
            </w:pPr>
            <w:r>
              <w:rPr>
                <w:rFonts w:ascii="Arial" w:cs="Arial" w:eastAsia="Arial" w:hAnsi="Arial"/>
                <w:sz w:val="14"/>
                <w:szCs w:val="14"/>
                <w:b w:val="1"/>
                <w:bCs w:val="1"/>
                <w:color w:val="auto"/>
              </w:rPr>
              <w:t>John Robertson</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rPr>
              <w:t>Patrick Moen</w:t>
            </w:r>
          </w:p>
        </w:tc>
        <w:tc>
          <w:tcPr>
            <w:tcW w:w="2900" w:type="dxa"/>
            <w:vAlign w:val="bottom"/>
          </w:tcPr>
          <w:p>
            <w:pPr>
              <w:jc w:val="center"/>
              <w:ind w:left="830"/>
              <w:spacing w:after="0"/>
              <w:rPr>
                <w:sz w:val="20"/>
                <w:szCs w:val="20"/>
                <w:color w:val="auto"/>
              </w:rPr>
            </w:pPr>
            <w:r>
              <w:rPr>
                <w:rFonts w:ascii="Arial" w:cs="Arial" w:eastAsia="Arial" w:hAnsi="Arial"/>
                <w:sz w:val="14"/>
                <w:szCs w:val="14"/>
                <w:b w:val="1"/>
                <w:bCs w:val="1"/>
                <w:color w:val="auto"/>
              </w:rPr>
              <w:t>Rob Lando</w:t>
            </w:r>
          </w:p>
        </w:tc>
      </w:tr>
      <w:tr>
        <w:trPr>
          <w:trHeight w:val="159"/>
        </w:trPr>
        <w:tc>
          <w:tcPr>
            <w:tcW w:w="3160" w:type="dxa"/>
            <w:vAlign w:val="bottom"/>
          </w:tcPr>
          <w:p>
            <w:pPr>
              <w:jc w:val="center"/>
              <w:ind w:right="808"/>
              <w:spacing w:after="0" w:line="159" w:lineRule="exact"/>
              <w:rPr>
                <w:sz w:val="20"/>
                <w:szCs w:val="20"/>
                <w:color w:val="auto"/>
              </w:rPr>
            </w:pPr>
            <w:r>
              <w:rPr>
                <w:rFonts w:ascii="Arial" w:cs="Arial" w:eastAsia="Arial" w:hAnsi="Arial"/>
                <w:sz w:val="14"/>
                <w:szCs w:val="14"/>
                <w:b w:val="1"/>
                <w:bCs w:val="1"/>
                <w:color w:val="auto"/>
              </w:rPr>
              <w:t>Alan D. Hambelton</w:t>
            </w:r>
          </w:p>
        </w:tc>
        <w:tc>
          <w:tcPr>
            <w:tcW w:w="34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Privateer Holdings, Inc.</w:t>
            </w:r>
          </w:p>
        </w:tc>
        <w:tc>
          <w:tcPr>
            <w:tcW w:w="2900" w:type="dxa"/>
            <w:vAlign w:val="bottom"/>
          </w:tcPr>
          <w:p>
            <w:pPr>
              <w:jc w:val="center"/>
              <w:ind w:left="830"/>
              <w:spacing w:after="0" w:line="159" w:lineRule="exact"/>
              <w:rPr>
                <w:sz w:val="20"/>
                <w:szCs w:val="20"/>
                <w:color w:val="auto"/>
              </w:rPr>
            </w:pPr>
            <w:r>
              <w:rPr>
                <w:rFonts w:ascii="Arial" w:cs="Arial" w:eastAsia="Arial" w:hAnsi="Arial"/>
                <w:sz w:val="14"/>
                <w:szCs w:val="14"/>
                <w:b w:val="1"/>
                <w:bCs w:val="1"/>
                <w:color w:val="auto"/>
              </w:rPr>
              <w:t>Osler, Hoskin &amp; Harcourt LLP</w:t>
            </w:r>
          </w:p>
        </w:tc>
      </w:tr>
      <w:tr>
        <w:trPr>
          <w:trHeight w:val="166"/>
        </w:trPr>
        <w:tc>
          <w:tcPr>
            <w:tcW w:w="3160" w:type="dxa"/>
            <w:vAlign w:val="bottom"/>
          </w:tcPr>
          <w:p>
            <w:pPr>
              <w:jc w:val="center"/>
              <w:ind w:right="808"/>
              <w:spacing w:after="0"/>
              <w:rPr>
                <w:sz w:val="20"/>
                <w:szCs w:val="20"/>
                <w:color w:val="auto"/>
              </w:rPr>
            </w:pPr>
            <w:r>
              <w:rPr>
                <w:rFonts w:ascii="Arial" w:cs="Arial" w:eastAsia="Arial" w:hAnsi="Arial"/>
                <w:sz w:val="14"/>
                <w:szCs w:val="14"/>
                <w:b w:val="1"/>
                <w:bCs w:val="1"/>
                <w:color w:val="auto"/>
              </w:rPr>
              <w:t>Cooley LLP</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rPr>
              <w:t>1920 Eastlake Avenue E.</w:t>
            </w:r>
          </w:p>
        </w:tc>
        <w:tc>
          <w:tcPr>
            <w:tcW w:w="2900" w:type="dxa"/>
            <w:vAlign w:val="bottom"/>
          </w:tcPr>
          <w:p>
            <w:pPr>
              <w:jc w:val="center"/>
              <w:ind w:left="830"/>
              <w:spacing w:after="0" w:line="165" w:lineRule="exact"/>
              <w:rPr>
                <w:sz w:val="20"/>
                <w:szCs w:val="20"/>
                <w:color w:val="auto"/>
              </w:rPr>
            </w:pPr>
            <w:r>
              <w:rPr>
                <w:rFonts w:ascii="Arial" w:cs="Arial" w:eastAsia="Arial" w:hAnsi="Arial"/>
                <w:sz w:val="12"/>
                <w:szCs w:val="12"/>
                <w:b w:val="1"/>
                <w:bCs w:val="1"/>
                <w:color w:val="auto"/>
              </w:rPr>
              <w:t>620 8</w:t>
            </w:r>
            <w:r>
              <w:rPr>
                <w:rFonts w:ascii="Arial" w:cs="Arial" w:eastAsia="Arial" w:hAnsi="Arial"/>
                <w:sz w:val="19"/>
                <w:szCs w:val="19"/>
                <w:b w:val="1"/>
                <w:bCs w:val="1"/>
                <w:color w:val="auto"/>
                <w:vertAlign w:val="superscript"/>
              </w:rPr>
              <w:t>th</w:t>
            </w:r>
            <w:r>
              <w:rPr>
                <w:rFonts w:ascii="Arial" w:cs="Arial" w:eastAsia="Arial" w:hAnsi="Arial"/>
                <w:sz w:val="12"/>
                <w:szCs w:val="12"/>
                <w:b w:val="1"/>
                <w:bCs w:val="1"/>
                <w:color w:val="auto"/>
              </w:rPr>
              <w:t xml:space="preserve"> Avenue, 36</w:t>
            </w:r>
            <w:r>
              <w:rPr>
                <w:rFonts w:ascii="Arial" w:cs="Arial" w:eastAsia="Arial" w:hAnsi="Arial"/>
                <w:sz w:val="19"/>
                <w:szCs w:val="19"/>
                <w:b w:val="1"/>
                <w:bCs w:val="1"/>
                <w:color w:val="auto"/>
                <w:vertAlign w:val="superscript"/>
              </w:rPr>
              <w:t>th</w:t>
            </w:r>
            <w:r>
              <w:rPr>
                <w:rFonts w:ascii="Arial" w:cs="Arial" w:eastAsia="Arial" w:hAnsi="Arial"/>
                <w:sz w:val="12"/>
                <w:szCs w:val="12"/>
                <w:b w:val="1"/>
                <w:bCs w:val="1"/>
                <w:color w:val="auto"/>
              </w:rPr>
              <w:t xml:space="preserve"> Floor</w:t>
            </w:r>
          </w:p>
        </w:tc>
      </w:tr>
      <w:tr>
        <w:trPr>
          <w:trHeight w:val="162"/>
        </w:trPr>
        <w:tc>
          <w:tcPr>
            <w:tcW w:w="3160" w:type="dxa"/>
            <w:vAlign w:val="bottom"/>
          </w:tcPr>
          <w:p>
            <w:pPr>
              <w:jc w:val="center"/>
              <w:ind w:right="828"/>
              <w:spacing w:after="0"/>
              <w:rPr>
                <w:sz w:val="20"/>
                <w:szCs w:val="20"/>
                <w:color w:val="auto"/>
              </w:rPr>
            </w:pPr>
            <w:r>
              <w:rPr>
                <w:rFonts w:ascii="Arial" w:cs="Arial" w:eastAsia="Arial" w:hAnsi="Arial"/>
                <w:sz w:val="14"/>
                <w:szCs w:val="14"/>
                <w:b w:val="1"/>
                <w:bCs w:val="1"/>
                <w:color w:val="auto"/>
              </w:rPr>
              <w:t>1700 Seventh Avenue, Suite 1900</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rPr>
              <w:t>Seattle, WA 98102</w:t>
            </w:r>
          </w:p>
        </w:tc>
        <w:tc>
          <w:tcPr>
            <w:tcW w:w="2900" w:type="dxa"/>
            <w:vAlign w:val="bottom"/>
          </w:tcPr>
          <w:p>
            <w:pPr>
              <w:jc w:val="center"/>
              <w:ind w:left="830"/>
              <w:spacing w:after="0"/>
              <w:rPr>
                <w:sz w:val="20"/>
                <w:szCs w:val="20"/>
                <w:color w:val="auto"/>
              </w:rPr>
            </w:pPr>
            <w:r>
              <w:rPr>
                <w:rFonts w:ascii="Arial" w:cs="Arial" w:eastAsia="Arial" w:hAnsi="Arial"/>
                <w:sz w:val="14"/>
                <w:szCs w:val="14"/>
                <w:b w:val="1"/>
                <w:bCs w:val="1"/>
                <w:color w:val="auto"/>
              </w:rPr>
              <w:t>New York, NY 10018</w:t>
            </w:r>
          </w:p>
        </w:tc>
      </w:tr>
      <w:tr>
        <w:trPr>
          <w:trHeight w:val="162"/>
        </w:trPr>
        <w:tc>
          <w:tcPr>
            <w:tcW w:w="3160" w:type="dxa"/>
            <w:vAlign w:val="bottom"/>
          </w:tcPr>
          <w:p>
            <w:pPr>
              <w:jc w:val="center"/>
              <w:ind w:right="828"/>
              <w:spacing w:after="0"/>
              <w:rPr>
                <w:sz w:val="20"/>
                <w:szCs w:val="20"/>
                <w:color w:val="auto"/>
              </w:rPr>
            </w:pPr>
            <w:r>
              <w:rPr>
                <w:rFonts w:ascii="Arial" w:cs="Arial" w:eastAsia="Arial" w:hAnsi="Arial"/>
                <w:sz w:val="14"/>
                <w:szCs w:val="14"/>
                <w:b w:val="1"/>
                <w:bCs w:val="1"/>
                <w:color w:val="auto"/>
              </w:rPr>
              <w:t>Seattle, WA 98101</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rPr>
              <w:t>(206) 432-9325</w:t>
            </w:r>
          </w:p>
        </w:tc>
        <w:tc>
          <w:tcPr>
            <w:tcW w:w="2900" w:type="dxa"/>
            <w:vAlign w:val="bottom"/>
          </w:tcPr>
          <w:p>
            <w:pPr>
              <w:jc w:val="center"/>
              <w:ind w:left="830"/>
              <w:spacing w:after="0"/>
              <w:rPr>
                <w:sz w:val="20"/>
                <w:szCs w:val="20"/>
                <w:color w:val="auto"/>
              </w:rPr>
            </w:pPr>
            <w:r>
              <w:rPr>
                <w:rFonts w:ascii="Arial" w:cs="Arial" w:eastAsia="Arial" w:hAnsi="Arial"/>
                <w:sz w:val="14"/>
                <w:szCs w:val="14"/>
                <w:b w:val="1"/>
                <w:bCs w:val="1"/>
                <w:color w:val="auto"/>
              </w:rPr>
              <w:t>(212) 867-5800</w:t>
            </w:r>
          </w:p>
        </w:tc>
      </w:tr>
      <w:tr>
        <w:trPr>
          <w:trHeight w:val="190"/>
        </w:trPr>
        <w:tc>
          <w:tcPr>
            <w:tcW w:w="3160" w:type="dxa"/>
            <w:vAlign w:val="bottom"/>
          </w:tcPr>
          <w:p>
            <w:pPr>
              <w:jc w:val="center"/>
              <w:ind w:right="828"/>
              <w:spacing w:after="0"/>
              <w:rPr>
                <w:sz w:val="20"/>
                <w:szCs w:val="20"/>
                <w:color w:val="auto"/>
              </w:rPr>
            </w:pPr>
            <w:r>
              <w:rPr>
                <w:rFonts w:ascii="Arial" w:cs="Arial" w:eastAsia="Arial" w:hAnsi="Arial"/>
                <w:sz w:val="14"/>
                <w:szCs w:val="14"/>
                <w:b w:val="1"/>
                <w:bCs w:val="1"/>
                <w:color w:val="auto"/>
              </w:rPr>
              <w:t>(206) 452-8700</w:t>
            </w:r>
          </w:p>
        </w:tc>
        <w:tc>
          <w:tcPr>
            <w:tcW w:w="3460" w:type="dxa"/>
            <w:vAlign w:val="bottom"/>
          </w:tcPr>
          <w:p>
            <w:pPr>
              <w:spacing w:after="0"/>
              <w:rPr>
                <w:sz w:val="16"/>
                <w:szCs w:val="16"/>
                <w:color w:val="auto"/>
              </w:rPr>
            </w:pPr>
          </w:p>
        </w:tc>
        <w:tc>
          <w:tcPr>
            <w:tcW w:w="29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127635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9"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87" w:lineRule="exact"/>
        <w:rPr>
          <w:sz w:val="24"/>
          <w:szCs w:val="24"/>
          <w:color w:val="auto"/>
        </w:rPr>
      </w:pPr>
    </w:p>
    <w:p>
      <w:pPr>
        <w:ind w:left="200" w:right="40" w:firstLine="331"/>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69" w:lineRule="exact"/>
        <w:rPr>
          <w:sz w:val="24"/>
          <w:szCs w:val="24"/>
          <w:color w:val="auto"/>
        </w:rPr>
      </w:pPr>
    </w:p>
    <w:p>
      <w:pPr>
        <w:ind w:left="200" w:right="280" w:firstLine="331"/>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240"/>
          </w:cols>
          <w:pgMar w:left="240" w:top="230" w:right="419" w:bottom="956" w:gutter="0" w:footer="0" w:header="0"/>
        </w:sectPr>
      </w:pPr>
    </w:p>
    <w:p>
      <w:pPr>
        <w:spacing w:after="0" w:line="55" w:lineRule="exact"/>
        <w:rPr>
          <w:sz w:val="24"/>
          <w:szCs w:val="24"/>
          <w:color w:val="auto"/>
        </w:rPr>
      </w:pPr>
    </w:p>
    <w:p>
      <w:pPr>
        <w:ind w:left="200" w:right="200" w:firstLine="33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5" w:lineRule="exact"/>
        <w:rPr>
          <w:sz w:val="24"/>
          <w:szCs w:val="24"/>
          <w:color w:val="auto"/>
        </w:rPr>
      </w:pPr>
    </w:p>
    <w:p>
      <w:pPr>
        <w:ind w:left="200" w:right="180" w:firstLine="331"/>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9" w:lineRule="exact"/>
        <w:rPr>
          <w:sz w:val="24"/>
          <w:szCs w:val="24"/>
          <w:color w:val="auto"/>
        </w:rPr>
      </w:pPr>
    </w:p>
    <w:p>
      <w:pPr>
        <w:ind w:left="200" w:firstLine="331"/>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p>
      <w:pPr>
        <w:ind w:left="200"/>
        <w:spacing w:after="0" w:line="161" w:lineRule="exact"/>
        <w:tabs>
          <w:tab w:leader="none" w:pos="2080" w:val="left"/>
          <w:tab w:leader="none" w:pos="86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123" w:lineRule="exact"/>
        <w:rPr>
          <w:sz w:val="24"/>
          <w:szCs w:val="24"/>
          <w:color w:val="auto"/>
        </w:rPr>
      </w:pPr>
    </w:p>
    <w:p>
      <w:pPr>
        <w:ind w:left="200"/>
        <w:spacing w:after="0" w:line="161" w:lineRule="exact"/>
        <w:tabs>
          <w:tab w:leader="none" w:pos="2080" w:val="left"/>
          <w:tab w:leader="none" w:pos="86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4"/>
          <w:szCs w:val="14"/>
          <w:color w:val="auto"/>
        </w:rPr>
        <w:t>Smaller reporting company</w:t>
      </w:r>
    </w:p>
    <w:p>
      <w:pPr>
        <w:spacing w:after="0" w:line="173" w:lineRule="exact"/>
        <w:rPr>
          <w:sz w:val="24"/>
          <w:szCs w:val="24"/>
          <w:color w:val="auto"/>
        </w:rPr>
      </w:pPr>
    </w:p>
    <w:p>
      <w:pPr>
        <w:ind w:left="87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5" w:lineRule="exact"/>
        <w:rPr>
          <w:sz w:val="24"/>
          <w:szCs w:val="24"/>
          <w:color w:val="auto"/>
        </w:rPr>
      </w:pPr>
    </w:p>
    <w:p>
      <w:pPr>
        <w:sectPr>
          <w:pgSz w:w="11900" w:h="16838" w:orient="portrait"/>
          <w:cols w:equalWidth="0" w:num="2">
            <w:col w:w="10800" w:space="200"/>
            <w:col w:w="240"/>
          </w:cols>
          <w:pgMar w:left="240" w:top="230" w:right="419" w:bottom="956" w:gutter="0" w:footer="0" w:header="0"/>
          <w:type w:val="continuous"/>
        </w:sectPr>
      </w:pPr>
    </w:p>
    <w:p>
      <w:pPr>
        <w:ind w:left="200" w:right="340" w:firstLine="331"/>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109220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5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94"/>
        </w:trPr>
        <w:tc>
          <w:tcPr>
            <w:tcW w:w="20" w:type="dxa"/>
            <w:vAlign w:val="bottom"/>
          </w:tcPr>
          <w:p>
            <w:pPr>
              <w:spacing w:after="0"/>
              <w:rPr>
                <w:sz w:val="8"/>
                <w:szCs w:val="8"/>
                <w:color w:val="auto"/>
              </w:rPr>
            </w:pPr>
          </w:p>
        </w:tc>
        <w:tc>
          <w:tcPr>
            <w:tcW w:w="75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jc w:val="center"/>
              <w:ind w:left="18"/>
              <w:spacing w:after="0" w:line="94" w:lineRule="exact"/>
              <w:rPr>
                <w:sz w:val="20"/>
                <w:szCs w:val="20"/>
                <w:color w:val="auto"/>
              </w:rPr>
            </w:pPr>
            <w:r>
              <w:rPr>
                <w:rFonts w:ascii="Arial" w:cs="Arial" w:eastAsia="Arial" w:hAnsi="Arial"/>
                <w:sz w:val="9"/>
                <w:szCs w:val="9"/>
                <w:b w:val="1"/>
                <w:bCs w:val="1"/>
                <w:color w:val="auto"/>
              </w:rPr>
              <w:t>Proposed</w:t>
            </w:r>
          </w:p>
        </w:tc>
        <w:tc>
          <w:tcPr>
            <w:tcW w:w="174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750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jc w:val="center"/>
              <w:ind w:left="18"/>
              <w:spacing w:after="0" w:line="135" w:lineRule="exact"/>
              <w:rPr>
                <w:sz w:val="20"/>
                <w:szCs w:val="20"/>
                <w:color w:val="auto"/>
              </w:rPr>
            </w:pPr>
            <w:r>
              <w:rPr>
                <w:rFonts w:ascii="Arial" w:cs="Arial" w:eastAsia="Arial" w:hAnsi="Arial"/>
                <w:sz w:val="13"/>
                <w:szCs w:val="13"/>
                <w:b w:val="1"/>
                <w:bCs w:val="1"/>
                <w:color w:val="auto"/>
                <w:w w:val="96"/>
              </w:rPr>
              <w:t>Maximum</w:t>
            </w:r>
          </w:p>
        </w:tc>
        <w:tc>
          <w:tcPr>
            <w:tcW w:w="17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Title of Each Class of</w:t>
            </w:r>
          </w:p>
        </w:tc>
        <w:tc>
          <w:tcPr>
            <w:tcW w:w="1780" w:type="dxa"/>
            <w:vAlign w:val="bottom"/>
            <w:tcBorders>
              <w:right w:val="single" w:sz="8" w:color="auto"/>
            </w:tcBorders>
          </w:tcPr>
          <w:p>
            <w:pPr>
              <w:jc w:val="center"/>
              <w:ind w:left="18"/>
              <w:spacing w:after="0" w:line="135" w:lineRule="exact"/>
              <w:rPr>
                <w:sz w:val="20"/>
                <w:szCs w:val="20"/>
                <w:color w:val="auto"/>
              </w:rPr>
            </w:pPr>
            <w:r>
              <w:rPr>
                <w:rFonts w:ascii="Arial" w:cs="Arial" w:eastAsia="Arial" w:hAnsi="Arial"/>
                <w:sz w:val="13"/>
                <w:szCs w:val="13"/>
                <w:b w:val="1"/>
                <w:bCs w:val="1"/>
                <w:color w:val="auto"/>
                <w:w w:val="96"/>
              </w:rPr>
              <w:t>Aggregate</w:t>
            </w: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Amount of</w:t>
            </w:r>
          </w:p>
        </w:tc>
      </w:tr>
      <w:tr>
        <w:trPr>
          <w:trHeight w:val="157"/>
        </w:trPr>
        <w:tc>
          <w:tcPr>
            <w:tcW w:w="20" w:type="dxa"/>
            <w:vAlign w:val="bottom"/>
          </w:tcPr>
          <w:p>
            <w:pPr>
              <w:spacing w:after="0"/>
              <w:rPr>
                <w:sz w:val="13"/>
                <w:szCs w:val="13"/>
                <w:color w:val="auto"/>
              </w:rPr>
            </w:pPr>
          </w:p>
        </w:tc>
        <w:tc>
          <w:tcPr>
            <w:tcW w:w="7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Securities to be Registered</w:t>
            </w:r>
          </w:p>
        </w:tc>
        <w:tc>
          <w:tcPr>
            <w:tcW w:w="1780" w:type="dxa"/>
            <w:vAlign w:val="bottom"/>
            <w:tcBorders>
              <w:bottom w:val="single" w:sz="8" w:color="auto"/>
              <w:right w:val="single" w:sz="8" w:color="auto"/>
            </w:tcBorders>
          </w:tcPr>
          <w:p>
            <w:pPr>
              <w:jc w:val="center"/>
              <w:ind w:left="18"/>
              <w:spacing w:after="0"/>
              <w:rPr>
                <w:sz w:val="20"/>
                <w:szCs w:val="20"/>
                <w:color w:val="auto"/>
              </w:rPr>
            </w:pPr>
            <w:r>
              <w:rPr>
                <w:rFonts w:ascii="Arial" w:cs="Arial" w:eastAsia="Arial" w:hAnsi="Arial"/>
                <w:sz w:val="13"/>
                <w:szCs w:val="13"/>
                <w:b w:val="1"/>
                <w:bCs w:val="1"/>
                <w:color w:val="auto"/>
                <w:w w:val="96"/>
              </w:rPr>
              <w:t>Offering Price(1)</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Registration Fee</w:t>
            </w:r>
          </w:p>
        </w:tc>
      </w:tr>
      <w:tr>
        <w:trPr>
          <w:trHeight w:val="156"/>
        </w:trPr>
        <w:tc>
          <w:tcPr>
            <w:tcW w:w="752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Class 2 Common Stock, $0.0001 par value per share</w:t>
            </w:r>
          </w:p>
        </w:tc>
        <w:tc>
          <w:tcPr>
            <w:tcW w:w="17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7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20" w:right="140" w:hanging="316"/>
        <w:spacing w:after="0" w:line="258"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Includes the offering price of shares that the underwriters have an over-allotment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102870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0" w:lineRule="exact"/>
        <w:rPr>
          <w:sz w:val="24"/>
          <w:szCs w:val="24"/>
          <w:color w:val="auto"/>
        </w:rPr>
      </w:pPr>
    </w:p>
    <w:p>
      <w:pPr>
        <w:ind w:left="200" w:right="20" w:firstLine="331"/>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43815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956"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7838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7838440"/>
                    </a:xfrm>
                    <a:prstGeom prst="rect">
                      <a:avLst/>
                    </a:prstGeom>
                    <a:noFill/>
                  </pic:spPr>
                </pic:pic>
              </a:graphicData>
            </a:graphic>
          </wp:anchor>
        </w:drawing>
      </w:r>
    </w:p>
    <w:p>
      <w:pPr>
        <w:spacing w:after="0" w:line="309" w:lineRule="exact"/>
        <w:rPr>
          <w:sz w:val="20"/>
          <w:szCs w:val="20"/>
          <w:color w:val="auto"/>
        </w:rPr>
      </w:pPr>
    </w:p>
    <w:p>
      <w:pPr>
        <w:ind w:left="360" w:right="180"/>
        <w:spacing w:after="0" w:line="250" w:lineRule="auto"/>
        <w:rPr>
          <w:sz w:val="20"/>
          <w:szCs w:val="20"/>
          <w:color w:val="auto"/>
        </w:rPr>
      </w:pPr>
      <w:r>
        <w:rPr>
          <w:rFonts w:ascii="Arial" w:cs="Arial" w:eastAsia="Arial" w:hAnsi="Arial"/>
          <w:sz w:val="14"/>
          <w:szCs w:val="14"/>
          <w:color w:val="D6284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47" w:lineRule="exact"/>
        <w:rPr>
          <w:sz w:val="20"/>
          <w:szCs w:val="20"/>
          <w:color w:val="auto"/>
        </w:rPr>
      </w:pPr>
    </w:p>
    <w:p>
      <w:pPr>
        <w:ind w:left="360"/>
        <w:spacing w:after="0"/>
        <w:tabs>
          <w:tab w:leader="none" w:pos="9380" w:val="left"/>
        </w:tabs>
        <w:rPr>
          <w:sz w:val="20"/>
          <w:szCs w:val="20"/>
          <w:color w:val="auto"/>
        </w:rPr>
      </w:pPr>
      <w:r>
        <w:rPr>
          <w:rFonts w:ascii="Arial" w:cs="Arial" w:eastAsia="Arial" w:hAnsi="Arial"/>
          <w:sz w:val="18"/>
          <w:szCs w:val="18"/>
          <w:b w:val="1"/>
          <w:bCs w:val="1"/>
          <w:color w:val="D6284A"/>
        </w:rPr>
        <w:t>PROSPECTUS (Subject to Completion)</w:t>
      </w:r>
      <w:r>
        <w:rPr>
          <w:sz w:val="20"/>
          <w:szCs w:val="20"/>
          <w:color w:val="auto"/>
        </w:rPr>
        <w:tab/>
      </w:r>
      <w:r>
        <w:rPr>
          <w:rFonts w:ascii="Arial" w:cs="Arial" w:eastAsia="Arial" w:hAnsi="Arial"/>
          <w:sz w:val="18"/>
          <w:szCs w:val="18"/>
          <w:b w:val="1"/>
          <w:bCs w:val="1"/>
          <w:color w:val="D6284A"/>
        </w:rPr>
        <w:t>Dated May 30, 2018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20"/>
        <w:spacing w:after="0"/>
        <w:rPr>
          <w:sz w:val="20"/>
          <w:szCs w:val="20"/>
          <w:color w:val="auto"/>
        </w:rPr>
      </w:pPr>
      <w:r>
        <w:rPr>
          <w:rFonts w:ascii="Arial" w:cs="Arial" w:eastAsia="Arial" w:hAnsi="Arial"/>
          <w:sz w:val="25"/>
          <w:szCs w:val="25"/>
          <w:b w:val="1"/>
          <w:bCs w:val="1"/>
          <w:color w:val="FFFFFF"/>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FFFFFF"/>
        </w:rPr>
        <w:t>Class 2 Common Stock</w:t>
      </w:r>
    </w:p>
    <w:p>
      <w:pPr>
        <w:spacing w:after="0" w:line="200" w:lineRule="exact"/>
        <w:rPr>
          <w:sz w:val="20"/>
          <w:szCs w:val="20"/>
          <w:color w:val="auto"/>
        </w:rPr>
      </w:pPr>
    </w:p>
    <w:p>
      <w:pPr>
        <w:spacing w:after="0" w:line="271" w:lineRule="exact"/>
        <w:rPr>
          <w:sz w:val="20"/>
          <w:szCs w:val="20"/>
          <w:color w:val="auto"/>
        </w:rPr>
      </w:pPr>
    </w:p>
    <w:p>
      <w:pPr>
        <w:ind w:left="360"/>
        <w:spacing w:after="0"/>
        <w:tabs>
          <w:tab w:leader="none" w:pos="5040" w:val="left"/>
        </w:tabs>
        <w:rPr>
          <w:sz w:val="20"/>
          <w:szCs w:val="20"/>
          <w:color w:val="auto"/>
        </w:rPr>
      </w:pPr>
      <w:r>
        <w:rPr>
          <w:rFonts w:ascii="Arial" w:cs="Arial" w:eastAsia="Arial" w:hAnsi="Arial"/>
          <w:sz w:val="18"/>
          <w:szCs w:val="18"/>
          <w:color w:val="FFFFFF"/>
        </w:rPr>
        <w:t>This is our initial public offering. We are offering</w:t>
      </w:r>
      <w:r>
        <w:rPr>
          <w:sz w:val="20"/>
          <w:szCs w:val="20"/>
          <w:color w:val="auto"/>
        </w:rPr>
        <w:tab/>
      </w:r>
      <w:r>
        <w:rPr>
          <w:rFonts w:ascii="Arial" w:cs="Arial" w:eastAsia="Arial" w:hAnsi="Arial"/>
          <w:sz w:val="17"/>
          <w:szCs w:val="17"/>
          <w:color w:val="FFFFFF"/>
        </w:rPr>
        <w:t>shares of our Class 2 common stock.</w:t>
      </w: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color w:val="FFFFFF"/>
        </w:rPr>
        <w:t>Prior to this offering, there has been no public market for our Class 2 common stock. We expect the initial public offering price to be</w:t>
      </w:r>
    </w:p>
    <w:p>
      <w:pPr>
        <w:ind w:left="360" w:right="380"/>
        <w:spacing w:after="0" w:line="246" w:lineRule="auto"/>
        <w:rPr>
          <w:sz w:val="20"/>
          <w:szCs w:val="20"/>
          <w:color w:val="auto"/>
        </w:rPr>
      </w:pPr>
      <w:r>
        <w:rPr>
          <w:rFonts w:ascii="Arial" w:cs="Arial" w:eastAsia="Arial" w:hAnsi="Arial"/>
          <w:sz w:val="18"/>
          <w:szCs w:val="18"/>
          <w:color w:val="FFFFFF"/>
        </w:rPr>
        <w:t>between $ and $ per share. We intend to apply to list our Class 2 common stock on the Nasdaq Global Select Market under the symbol “TLRY.”</w:t>
      </w:r>
    </w:p>
    <w:p>
      <w:pPr>
        <w:spacing w:after="0" w:line="197" w:lineRule="exact"/>
        <w:rPr>
          <w:sz w:val="20"/>
          <w:szCs w:val="20"/>
          <w:color w:val="auto"/>
        </w:rPr>
      </w:pPr>
    </w:p>
    <w:p>
      <w:pPr>
        <w:ind w:left="360" w:right="780"/>
        <w:spacing w:after="0" w:line="246" w:lineRule="auto"/>
        <w:rPr>
          <w:sz w:val="20"/>
          <w:szCs w:val="20"/>
          <w:color w:val="auto"/>
        </w:rPr>
      </w:pPr>
      <w:r>
        <w:rPr>
          <w:rFonts w:ascii="Arial" w:cs="Arial" w:eastAsia="Arial" w:hAnsi="Arial"/>
          <w:sz w:val="18"/>
          <w:szCs w:val="18"/>
          <w:color w:val="FFFFFF"/>
        </w:rPr>
        <w:t>We are an “emerging growth company” as defined in the Jumpstart Our Business Startups Act of 2012. See the section titled “</w:t>
      </w:r>
      <w:r>
        <w:rPr>
          <w:rFonts w:ascii="Arial" w:cs="Arial" w:eastAsia="Arial" w:hAnsi="Arial"/>
          <w:sz w:val="18"/>
          <w:szCs w:val="18"/>
          <w:i w:val="1"/>
          <w:iCs w:val="1"/>
          <w:color w:val="FFFFFF"/>
        </w:rPr>
        <w:t>Prospectus Summary—Emerging Growth Company Status</w:t>
      </w:r>
      <w:r>
        <w:rPr>
          <w:rFonts w:ascii="Arial" w:cs="Arial" w:eastAsia="Arial" w:hAnsi="Arial"/>
          <w:sz w:val="18"/>
          <w:szCs w:val="18"/>
          <w:color w:val="FFFFFF"/>
        </w:rPr>
        <w:t>.”</w:t>
      </w:r>
    </w:p>
    <w:p>
      <w:pPr>
        <w:spacing w:after="0" w:line="175" w:lineRule="exact"/>
        <w:rPr>
          <w:sz w:val="20"/>
          <w:szCs w:val="20"/>
          <w:color w:val="auto"/>
        </w:rPr>
      </w:pPr>
    </w:p>
    <w:p>
      <w:pPr>
        <w:ind w:left="3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You should consider the risks we have described in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FFFFFF"/>
        </w:rPr>
        <w:t>” beginning on page 14.</w:t>
      </w:r>
    </w:p>
    <w:p>
      <w:pPr>
        <w:spacing w:after="0" w:line="212" w:lineRule="exact"/>
        <w:rPr>
          <w:sz w:val="20"/>
          <w:szCs w:val="20"/>
          <w:color w:val="auto"/>
        </w:rPr>
      </w:pPr>
    </w:p>
    <w:p>
      <w:pPr>
        <w:jc w:val="both"/>
        <w:ind w:left="360" w:right="440"/>
        <w:spacing w:after="0" w:line="253" w:lineRule="auto"/>
        <w:rPr>
          <w:sz w:val="20"/>
          <w:szCs w:val="20"/>
          <w:color w:val="auto"/>
        </w:rPr>
      </w:pPr>
      <w:r>
        <w:rPr>
          <w:rFonts w:ascii="Arial" w:cs="Arial" w:eastAsia="Arial" w:hAnsi="Arial"/>
          <w:sz w:val="18"/>
          <w:szCs w:val="18"/>
          <w:b w:val="1"/>
          <w:bCs w:val="1"/>
          <w:color w:val="FFFFFF"/>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1" w:lineRule="exact"/>
        <w:rPr>
          <w:sz w:val="20"/>
          <w:szCs w:val="20"/>
          <w:color w:val="auto"/>
        </w:rPr>
      </w:pPr>
    </w:p>
    <w:p>
      <w:pPr>
        <w:ind w:left="360" w:right="140"/>
        <w:spacing w:after="0"/>
        <w:rPr>
          <w:sz w:val="20"/>
          <w:szCs w:val="20"/>
          <w:color w:val="auto"/>
        </w:rPr>
      </w:pPr>
      <w:r>
        <w:rPr>
          <w:rFonts w:ascii="Arial" w:cs="Arial" w:eastAsia="Arial" w:hAnsi="Arial"/>
          <w:sz w:val="18"/>
          <w:szCs w:val="18"/>
          <w:color w:val="FFFFFF"/>
        </w:rPr>
        <w:t>After the completion of this offering, Privateer Holdings, Inc. will continue to own a majority of the voting power of all outstanding shares of our capital stock. As a result, we will be a “controlled company” within the meaning of the listing rules of the Nasdaq Global Select Market. See the sections titled “</w:t>
      </w:r>
      <w:r>
        <w:rPr>
          <w:rFonts w:ascii="Arial" w:cs="Arial" w:eastAsia="Arial" w:hAnsi="Arial"/>
          <w:sz w:val="18"/>
          <w:szCs w:val="18"/>
          <w:i w:val="1"/>
          <w:iCs w:val="1"/>
          <w:color w:val="FFFFFF"/>
        </w:rPr>
        <w:t>Management—Controlled Company Exception</w:t>
      </w:r>
      <w:r>
        <w:rPr>
          <w:rFonts w:ascii="Arial" w:cs="Arial" w:eastAsia="Arial" w:hAnsi="Arial"/>
          <w:sz w:val="18"/>
          <w:szCs w:val="18"/>
          <w:color w:val="FFFFFF"/>
        </w:rPr>
        <w:t>” and “</w:t>
      </w:r>
      <w:r>
        <w:rPr>
          <w:rFonts w:ascii="Arial" w:cs="Arial" w:eastAsia="Arial" w:hAnsi="Arial"/>
          <w:sz w:val="18"/>
          <w:szCs w:val="18"/>
          <w:i w:val="1"/>
          <w:iCs w:val="1"/>
          <w:color w:val="FFFFFF"/>
        </w:rPr>
        <w:t>Principal Stockholders</w:t>
      </w:r>
      <w:r>
        <w:rPr>
          <w:rFonts w:ascii="Arial" w:cs="Arial" w:eastAsia="Arial" w:hAnsi="Arial"/>
          <w:sz w:val="18"/>
          <w:szCs w:val="18"/>
          <w:color w:val="FFFFFF"/>
        </w:rPr>
        <w:t>.”</w:t>
      </w:r>
    </w:p>
    <w:p>
      <w:pPr>
        <w:spacing w:after="0" w:line="200" w:lineRule="exact"/>
        <w:rPr>
          <w:sz w:val="20"/>
          <w:szCs w:val="20"/>
          <w:color w:val="auto"/>
        </w:rPr>
      </w:pPr>
    </w:p>
    <w:p>
      <w:pPr>
        <w:spacing w:after="0" w:line="318"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FFFFFF"/>
              </w:rPr>
              <w:t>Initial public offering price</w:t>
            </w:r>
          </w:p>
        </w:tc>
        <w:tc>
          <w:tcPr>
            <w:tcW w:w="3760" w:type="dxa"/>
            <w:vAlign w:val="bottom"/>
          </w:tcPr>
          <w:p>
            <w:pPr>
              <w:jc w:val="right"/>
              <w:ind w:right="270"/>
              <w:spacing w:after="0"/>
              <w:rPr>
                <w:sz w:val="20"/>
                <w:szCs w:val="20"/>
                <w:color w:val="auto"/>
              </w:rPr>
            </w:pPr>
            <w:r>
              <w:rPr>
                <w:rFonts w:ascii="Arial" w:cs="Arial" w:eastAsia="Arial" w:hAnsi="Arial"/>
                <w:sz w:val="18"/>
                <w:szCs w:val="18"/>
                <w:b w:val="1"/>
                <w:bCs w:val="1"/>
                <w:i w:val="1"/>
                <w:iCs w:val="1"/>
                <w:color w:val="FFFFFF"/>
              </w:rPr>
              <w:t>Per Share</w:t>
            </w:r>
          </w:p>
        </w:tc>
        <w:tc>
          <w:tcPr>
            <w:tcW w:w="1220" w:type="dxa"/>
            <w:vAlign w:val="bottom"/>
          </w:tcPr>
          <w:p>
            <w:pPr>
              <w:jc w:val="right"/>
              <w:spacing w:after="0"/>
              <w:rPr>
                <w:sz w:val="20"/>
                <w:szCs w:val="20"/>
                <w:color w:val="auto"/>
              </w:rPr>
            </w:pPr>
            <w:r>
              <w:rPr>
                <w:rFonts w:ascii="Arial" w:cs="Arial" w:eastAsia="Arial" w:hAnsi="Arial"/>
                <w:sz w:val="18"/>
                <w:szCs w:val="18"/>
                <w:b w:val="1"/>
                <w:bCs w:val="1"/>
                <w:i w:val="1"/>
                <w:iCs w:val="1"/>
                <w:color w:val="FFFFFF"/>
              </w:rPr>
              <w:t>Total</w:t>
            </w:r>
          </w:p>
        </w:tc>
        <w:tc>
          <w:tcPr>
            <w:tcW w:w="0" w:type="dxa"/>
            <w:vAlign w:val="bottom"/>
          </w:tcPr>
          <w:p>
            <w:pPr>
              <w:spacing w:after="0"/>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760" w:type="dxa"/>
            <w:vAlign w:val="bottom"/>
          </w:tcPr>
          <w:p>
            <w:pPr>
              <w:jc w:val="right"/>
              <w:ind w:right="125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b w:val="1"/>
                <w:bCs w:val="1"/>
                <w:color w:val="FFFFFF"/>
              </w:rPr>
              <w:t>Underwriting discount</w:t>
            </w:r>
            <w:r>
              <w:rPr>
                <w:rFonts w:ascii="Arial" w:cs="Arial" w:eastAsia="Arial" w:hAnsi="Arial"/>
                <w:sz w:val="15"/>
                <w:szCs w:val="15"/>
                <w:b w:val="1"/>
                <w:bCs w:val="1"/>
                <w:color w:val="FFFFFF"/>
              </w:rPr>
              <w:t>(1)</w:t>
            </w:r>
          </w:p>
        </w:tc>
        <w:tc>
          <w:tcPr>
            <w:tcW w:w="3760" w:type="dxa"/>
            <w:vAlign w:val="bottom"/>
          </w:tcPr>
          <w:p>
            <w:pPr>
              <w:jc w:val="right"/>
              <w:ind w:right="1250"/>
              <w:spacing w:after="0" w:line="202" w:lineRule="exact"/>
              <w:rPr>
                <w:sz w:val="20"/>
                <w:szCs w:val="20"/>
                <w:color w:val="auto"/>
              </w:rPr>
            </w:pPr>
            <w:r>
              <w:rPr>
                <w:rFonts w:ascii="Arial" w:cs="Arial" w:eastAsia="Arial" w:hAnsi="Arial"/>
                <w:sz w:val="18"/>
                <w:szCs w:val="18"/>
                <w:b w:val="1"/>
                <w:bCs w:val="1"/>
                <w:color w:val="FFFFFF"/>
              </w:rPr>
              <w:t>$</w:t>
            </w:r>
          </w:p>
        </w:tc>
        <w:tc>
          <w:tcPr>
            <w:tcW w:w="1220" w:type="dxa"/>
            <w:vAlign w:val="bottom"/>
          </w:tcPr>
          <w:p>
            <w:pPr>
              <w:jc w:val="right"/>
              <w:ind w:right="670"/>
              <w:spacing w:after="0" w:line="202" w:lineRule="exact"/>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r>
              <w:rPr>
                <w:rFonts w:ascii="Arial" w:cs="Arial" w:eastAsia="Arial" w:hAnsi="Arial"/>
                <w:sz w:val="18"/>
                <w:szCs w:val="18"/>
                <w:b w:val="1"/>
                <w:bCs w:val="1"/>
                <w:color w:val="FFFFFF"/>
              </w:rPr>
              <w:t>Proceeds, before expenses, to us</w:t>
            </w:r>
          </w:p>
        </w:tc>
        <w:tc>
          <w:tcPr>
            <w:tcW w:w="3760" w:type="dxa"/>
            <w:vAlign w:val="bottom"/>
          </w:tcPr>
          <w:p>
            <w:pPr>
              <w:jc w:val="right"/>
              <w:ind w:right="1250"/>
              <w:spacing w:after="0"/>
              <w:rPr>
                <w:sz w:val="20"/>
                <w:szCs w:val="20"/>
                <w:color w:val="auto"/>
              </w:rPr>
            </w:pPr>
            <w:r>
              <w:rPr>
                <w:rFonts w:ascii="Arial" w:cs="Arial" w:eastAsia="Arial" w:hAnsi="Arial"/>
                <w:sz w:val="18"/>
                <w:szCs w:val="18"/>
                <w:b w:val="1"/>
                <w:bCs w:val="1"/>
                <w:color w:val="FFFFFF"/>
              </w:rPr>
              <w:t>$</w:t>
            </w:r>
          </w:p>
        </w:tc>
        <w:tc>
          <w:tcPr>
            <w:tcW w:w="1220" w:type="dxa"/>
            <w:vAlign w:val="bottom"/>
          </w:tcPr>
          <w:p>
            <w:pPr>
              <w:jc w:val="right"/>
              <w:ind w:right="67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80" w:right="440" w:hanging="311"/>
        <w:spacing w:after="0" w:line="267" w:lineRule="auto"/>
        <w:tabs>
          <w:tab w:leader="none" w:pos="680" w:val="left"/>
        </w:tabs>
        <w:numPr>
          <w:ilvl w:val="0"/>
          <w:numId w:val="2"/>
        </w:numPr>
        <w:rPr>
          <w:rFonts w:ascii="Arial" w:cs="Arial" w:eastAsia="Arial" w:hAnsi="Arial"/>
          <w:sz w:val="18"/>
          <w:szCs w:val="18"/>
          <w:color w:val="FFFFFF"/>
        </w:rPr>
      </w:pPr>
      <w:r>
        <w:rPr>
          <w:rFonts w:ascii="Arial" w:cs="Arial" w:eastAsia="Arial" w:hAnsi="Arial"/>
          <w:sz w:val="18"/>
          <w:szCs w:val="18"/>
          <w:color w:val="FFFFFF"/>
        </w:rPr>
        <w:t>We refer you to the section titled “</w:t>
      </w:r>
      <w:r>
        <w:rPr>
          <w:rFonts w:ascii="Arial" w:cs="Arial" w:eastAsia="Arial" w:hAnsi="Arial"/>
          <w:sz w:val="18"/>
          <w:szCs w:val="18"/>
          <w:i w:val="1"/>
          <w:iCs w:val="1"/>
          <w:color w:val="FFFFFF"/>
        </w:rPr>
        <w:t>Underwriting</w:t>
      </w:r>
      <w:r>
        <w:rPr>
          <w:rFonts w:ascii="Arial" w:cs="Arial" w:eastAsia="Arial" w:hAnsi="Arial"/>
          <w:sz w:val="18"/>
          <w:szCs w:val="18"/>
          <w:color w:val="FFFFFF"/>
        </w:rPr>
        <w:t>” beginning on page 129 of this prospectus for additional information regarding underwriting compensation.</w:t>
      </w:r>
    </w:p>
    <w:p>
      <w:pPr>
        <w:spacing w:after="0" w:line="179" w:lineRule="exact"/>
        <w:rPr>
          <w:sz w:val="20"/>
          <w:szCs w:val="20"/>
          <w:color w:val="auto"/>
        </w:rPr>
      </w:pPr>
    </w:p>
    <w:p>
      <w:pPr>
        <w:ind w:left="360" w:right="240"/>
        <w:spacing w:after="0"/>
        <w:rPr>
          <w:sz w:val="20"/>
          <w:szCs w:val="20"/>
          <w:color w:val="auto"/>
        </w:rPr>
      </w:pPr>
      <w:r>
        <w:rPr>
          <w:rFonts w:ascii="Arial" w:cs="Arial" w:eastAsia="Arial" w:hAnsi="Arial"/>
          <w:sz w:val="18"/>
          <w:szCs w:val="18"/>
          <w:color w:val="FFFFFF"/>
        </w:rPr>
        <w:t>We have granted the underwriters an over-allotment option to purchase up to additional shares of Class 2 common stock from us at the public offering price, less the underwriting discount, within 30 days from the date of this prospectus to cover over-allotments.</w:t>
      </w:r>
    </w:p>
    <w:p>
      <w:pPr>
        <w:spacing w:after="0" w:line="200" w:lineRule="exact"/>
        <w:rPr>
          <w:sz w:val="20"/>
          <w:szCs w:val="20"/>
          <w:color w:val="auto"/>
        </w:rPr>
      </w:pPr>
    </w:p>
    <w:p>
      <w:pPr>
        <w:spacing w:after="0" w:line="210" w:lineRule="exact"/>
        <w:rPr>
          <w:sz w:val="20"/>
          <w:szCs w:val="20"/>
          <w:color w:val="auto"/>
        </w:rPr>
      </w:pPr>
    </w:p>
    <w:tbl>
      <w:tblPr>
        <w:tblLayout w:type="fixed"/>
        <w:tblInd w:w="360" w:type="dxa"/>
        <w:tblCellMar>
          <w:top w:w="0" w:type="dxa"/>
          <w:left w:w="0" w:type="dxa"/>
          <w:bottom w:w="0" w:type="dxa"/>
          <w:right w:w="0" w:type="dxa"/>
        </w:tblCellMar>
      </w:tblPr>
      <w:tr>
        <w:trPr>
          <w:trHeight w:val="217"/>
        </w:trPr>
        <w:tc>
          <w:tcPr>
            <w:tcW w:w="8520" w:type="dxa"/>
            <w:vAlign w:val="bottom"/>
          </w:tcPr>
          <w:p>
            <w:pPr>
              <w:spacing w:after="0"/>
              <w:rPr>
                <w:sz w:val="20"/>
                <w:szCs w:val="20"/>
                <w:color w:val="auto"/>
              </w:rPr>
            </w:pPr>
            <w:r>
              <w:rPr>
                <w:rFonts w:ascii="Arial" w:cs="Arial" w:eastAsia="Arial" w:hAnsi="Arial"/>
                <w:sz w:val="18"/>
                <w:szCs w:val="18"/>
                <w:color w:val="FFFFFF"/>
              </w:rPr>
              <w:t>The underwriters expect to deliver the shares of Class 2 common stock against payment on or about</w:t>
            </w:r>
          </w:p>
        </w:tc>
        <w:tc>
          <w:tcPr>
            <w:tcW w:w="1080" w:type="dxa"/>
            <w:vAlign w:val="bottom"/>
          </w:tcPr>
          <w:p>
            <w:pPr>
              <w:jc w:val="right"/>
              <w:spacing w:after="0"/>
              <w:rPr>
                <w:sz w:val="20"/>
                <w:szCs w:val="20"/>
                <w:color w:val="auto"/>
              </w:rPr>
            </w:pPr>
            <w:r>
              <w:rPr>
                <w:rFonts w:ascii="Arial" w:cs="Arial" w:eastAsia="Arial" w:hAnsi="Arial"/>
                <w:sz w:val="18"/>
                <w:szCs w:val="18"/>
                <w:color w:val="FFFFFF"/>
              </w:rPr>
              <w:t>, 2018.</w:t>
            </w:r>
          </w:p>
        </w:tc>
      </w:tr>
    </w:tbl>
    <w:p>
      <w:pPr>
        <w:spacing w:after="0" w:line="200" w:lineRule="exact"/>
        <w:rPr>
          <w:sz w:val="20"/>
          <w:szCs w:val="20"/>
          <w:color w:val="auto"/>
        </w:rPr>
      </w:pPr>
    </w:p>
    <w:p>
      <w:pPr>
        <w:spacing w:after="0" w:line="25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i w:val="1"/>
          <w:iCs w:val="1"/>
          <w:color w:val="FFFFFF"/>
        </w:rPr>
        <w:t>Sole Book-runner</w:t>
      </w:r>
    </w:p>
    <w:p>
      <w:pPr>
        <w:spacing w:after="0" w:line="194" w:lineRule="exact"/>
        <w:rPr>
          <w:sz w:val="20"/>
          <w:szCs w:val="20"/>
          <w:color w:val="auto"/>
        </w:rPr>
      </w:pPr>
    </w:p>
    <w:p>
      <w:pPr>
        <w:jc w:val="center"/>
        <w:ind w:right="-379"/>
        <w:spacing w:after="0"/>
        <w:rPr>
          <w:sz w:val="20"/>
          <w:szCs w:val="20"/>
          <w:color w:val="auto"/>
        </w:rPr>
      </w:pPr>
      <w:r>
        <w:rPr>
          <w:rFonts w:ascii="Arial" w:cs="Arial" w:eastAsia="Arial" w:hAnsi="Arial"/>
          <w:sz w:val="29"/>
          <w:szCs w:val="29"/>
          <w:b w:val="1"/>
          <w:bCs w:val="1"/>
          <w:color w:val="FFFFFF"/>
        </w:rPr>
        <w:t>Cowen</w:t>
      </w:r>
    </w:p>
    <w:p>
      <w:pPr>
        <w:spacing w:after="0" w:line="259" w:lineRule="exact"/>
        <w:rPr>
          <w:sz w:val="20"/>
          <w:szCs w:val="20"/>
          <w:color w:val="auto"/>
        </w:rPr>
      </w:pPr>
    </w:p>
    <w:p>
      <w:pPr>
        <w:ind w:left="1760"/>
        <w:spacing w:after="0"/>
        <w:rPr>
          <w:sz w:val="20"/>
          <w:szCs w:val="20"/>
          <w:color w:val="auto"/>
        </w:rPr>
      </w:pPr>
      <w:r>
        <w:rPr>
          <w:rFonts w:ascii="Arial" w:cs="Arial" w:eastAsia="Arial" w:hAnsi="Arial"/>
          <w:sz w:val="18"/>
          <w:szCs w:val="18"/>
          <w:color w:val="FFFFFF"/>
        </w:rPr>
        <w:t>, 2018.</w:t>
      </w:r>
    </w:p>
    <w:p>
      <w:pPr>
        <w:sectPr>
          <w:pgSz w:w="11900" w:h="16838" w:orient="portrait"/>
          <w:cols w:equalWidth="0" w:num="1">
            <w:col w:w="11060"/>
          </w:cols>
          <w:pgMar w:left="240" w:top="459"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40" w:type="dxa"/>
            <w:vAlign w:val="bottom"/>
            <w:gridSpan w:val="4"/>
          </w:tcPr>
          <w:p>
            <w:pPr>
              <w:ind w:left="28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4"/>
                <w:szCs w:val="24"/>
                <w:color w:val="auto"/>
              </w:rPr>
            </w:pPr>
          </w:p>
        </w:tc>
      </w:tr>
      <w:tr>
        <w:trPr>
          <w:trHeight w:val="553"/>
        </w:trPr>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200" w:type="dxa"/>
            <w:vAlign w:val="bottom"/>
          </w:tcPr>
          <w:p>
            <w:pPr>
              <w:spacing w:after="0"/>
              <w:rPr>
                <w:sz w:val="15"/>
                <w:szCs w:val="15"/>
                <w:color w:val="auto"/>
              </w:rPr>
            </w:pPr>
          </w:p>
        </w:tc>
        <w:tc>
          <w:tcPr>
            <w:tcW w:w="8820" w:type="dxa"/>
            <w:vAlign w:val="bottom"/>
            <w:gridSpan w:val="24"/>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17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7100" w:type="dxa"/>
            <w:vAlign w:val="bottom"/>
            <w:gridSpan w:val="12"/>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74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Special Note Regarding Forward-Looking Statements and Industry Data</w:t>
              </w:r>
            </w:hyperlink>
          </w:p>
        </w:tc>
        <w:tc>
          <w:tcPr>
            <w:tcW w:w="3080" w:type="dxa"/>
            <w:vAlign w:val="bottom"/>
            <w:gridSpan w:val="2"/>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200" w:type="dxa"/>
            <w:vAlign w:val="bottom"/>
          </w:tcPr>
          <w:p>
            <w:pPr>
              <w:spacing w:after="0"/>
              <w:rPr>
                <w:sz w:val="15"/>
                <w:szCs w:val="15"/>
                <w:color w:val="auto"/>
              </w:rPr>
            </w:pPr>
          </w:p>
        </w:tc>
        <w:tc>
          <w:tcPr>
            <w:tcW w:w="13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Use of Proceeds</w:t>
              </w:r>
            </w:hyperlink>
          </w:p>
        </w:tc>
        <w:tc>
          <w:tcPr>
            <w:tcW w:w="7480" w:type="dxa"/>
            <w:vAlign w:val="bottom"/>
            <w:gridSpan w:val="1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200" w:type="dxa"/>
            <w:vAlign w:val="bottom"/>
          </w:tcPr>
          <w:p>
            <w:pPr>
              <w:spacing w:after="0"/>
              <w:rPr>
                <w:sz w:val="15"/>
                <w:szCs w:val="15"/>
                <w:color w:val="auto"/>
              </w:rPr>
            </w:pPr>
          </w:p>
        </w:tc>
        <w:tc>
          <w:tcPr>
            <w:tcW w:w="1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Dividend Policy</w:t>
              </w:r>
            </w:hyperlink>
          </w:p>
        </w:tc>
        <w:tc>
          <w:tcPr>
            <w:tcW w:w="7580" w:type="dxa"/>
            <w:vAlign w:val="bottom"/>
            <w:gridSpan w:val="14"/>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183"/>
        </w:trPr>
        <w:tc>
          <w:tcPr>
            <w:tcW w:w="200" w:type="dxa"/>
            <w:vAlign w:val="bottom"/>
          </w:tcPr>
          <w:p>
            <w:pPr>
              <w:spacing w:after="0"/>
              <w:rPr>
                <w:sz w:val="15"/>
                <w:szCs w:val="15"/>
                <w:color w:val="auto"/>
              </w:rPr>
            </w:pPr>
          </w:p>
        </w:tc>
        <w:tc>
          <w:tcPr>
            <w:tcW w:w="8820" w:type="dxa"/>
            <w:vAlign w:val="bottom"/>
            <w:gridSpan w:val="24"/>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Capitalization</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200" w:type="dxa"/>
            <w:vAlign w:val="bottom"/>
          </w:tcPr>
          <w:p>
            <w:pPr>
              <w:spacing w:after="0"/>
              <w:rPr>
                <w:sz w:val="15"/>
                <w:szCs w:val="15"/>
                <w:color w:val="auto"/>
              </w:rPr>
            </w:pPr>
          </w:p>
        </w:tc>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Dilution</w:t>
              </w:r>
            </w:hyperlink>
          </w:p>
        </w:tc>
        <w:tc>
          <w:tcPr>
            <w:tcW w:w="7740" w:type="dxa"/>
            <w:vAlign w:val="bottom"/>
            <w:gridSpan w:val="17"/>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20" w:type="dxa"/>
            <w:vAlign w:val="bottom"/>
            <w:gridSpan w:val="24"/>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Selected Consolidated Financial Data</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20" w:type="dxa"/>
            <w:vAlign w:val="bottom"/>
            <w:gridSpan w:val="24"/>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183"/>
        </w:trPr>
        <w:tc>
          <w:tcPr>
            <w:tcW w:w="2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77">
              <w:r>
                <w:rPr>
                  <w:rFonts w:ascii="Arial" w:cs="Arial" w:eastAsia="Arial" w:hAnsi="Arial"/>
                  <w:sz w:val="18"/>
                  <w:szCs w:val="18"/>
                  <w:color w:val="0000EE"/>
                  <w:w w:val="98"/>
                </w:rPr>
                <w:t>Business</w:t>
              </w:r>
            </w:hyperlink>
          </w:p>
        </w:tc>
        <w:tc>
          <w:tcPr>
            <w:tcW w:w="6340" w:type="dxa"/>
            <w:vAlign w:val="bottom"/>
            <w:tcBorders>
              <w:top w:val="single" w:sz="8" w:color="0000EE"/>
            </w:tcBorders>
            <w:gridSpan w:val="20"/>
          </w:tcPr>
          <w:p>
            <w:pPr>
              <w:spacing w:after="0"/>
              <w:rPr>
                <w:sz w:val="15"/>
                <w:szCs w:val="15"/>
                <w:color w:val="auto"/>
              </w:rPr>
            </w:pPr>
          </w:p>
        </w:tc>
        <w:tc>
          <w:tcPr>
            <w:tcW w:w="1740" w:type="dxa"/>
            <w:vAlign w:val="bottom"/>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200" w:type="dxa"/>
            <w:vAlign w:val="bottom"/>
          </w:tcPr>
          <w:p>
            <w:pPr>
              <w:spacing w:after="0"/>
              <w:rPr>
                <w:sz w:val="15"/>
                <w:szCs w:val="15"/>
                <w:color w:val="auto"/>
              </w:rPr>
            </w:pPr>
          </w:p>
        </w:tc>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07">
              <w:r>
                <w:rPr>
                  <w:rFonts w:ascii="Arial" w:cs="Arial" w:eastAsia="Arial" w:hAnsi="Arial"/>
                  <w:sz w:val="18"/>
                  <w:szCs w:val="18"/>
                  <w:color w:val="0000EE"/>
                  <w:w w:val="98"/>
                </w:rPr>
                <w:t>Management</w:t>
              </w:r>
            </w:hyperlink>
          </w:p>
        </w:tc>
        <w:tc>
          <w:tcPr>
            <w:tcW w:w="7760" w:type="dxa"/>
            <w:vAlign w:val="bottom"/>
            <w:gridSpan w:val="18"/>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200" w:type="dxa"/>
            <w:vAlign w:val="bottom"/>
          </w:tcPr>
          <w:p>
            <w:pPr>
              <w:spacing w:after="0"/>
              <w:rPr>
                <w:sz w:val="15"/>
                <w:szCs w:val="15"/>
                <w:color w:val="auto"/>
              </w:rPr>
            </w:pPr>
          </w:p>
        </w:tc>
        <w:tc>
          <w:tcPr>
            <w:tcW w:w="2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14">
              <w:r>
                <w:rPr>
                  <w:rFonts w:ascii="Arial" w:cs="Arial" w:eastAsia="Arial" w:hAnsi="Arial"/>
                  <w:sz w:val="18"/>
                  <w:szCs w:val="18"/>
                  <w:color w:val="0000EE"/>
                  <w:w w:val="99"/>
                </w:rPr>
                <w:t>Executive Compensation</w:t>
              </w:r>
            </w:hyperlink>
          </w:p>
        </w:tc>
        <w:tc>
          <w:tcPr>
            <w:tcW w:w="6820" w:type="dxa"/>
            <w:vAlign w:val="bottom"/>
            <w:gridSpan w:val="10"/>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103</w:t>
            </w:r>
          </w:p>
        </w:tc>
      </w:tr>
      <w:tr>
        <w:trPr>
          <w:trHeight w:val="183"/>
        </w:trPr>
        <w:tc>
          <w:tcPr>
            <w:tcW w:w="200" w:type="dxa"/>
            <w:vAlign w:val="bottom"/>
          </w:tcPr>
          <w:p>
            <w:pPr>
              <w:spacing w:after="0"/>
              <w:rPr>
                <w:sz w:val="15"/>
                <w:szCs w:val="15"/>
                <w:color w:val="auto"/>
              </w:rPr>
            </w:pPr>
          </w:p>
        </w:tc>
        <w:tc>
          <w:tcPr>
            <w:tcW w:w="8820" w:type="dxa"/>
            <w:vAlign w:val="bottom"/>
            <w:gridSpan w:val="24"/>
          </w:tcPr>
          <w:p>
            <w:pPr>
              <w:spacing w:after="0" w:line="182" w:lineRule="exact"/>
              <w:rPr>
                <w:rFonts w:ascii="Arial" w:cs="Arial" w:eastAsia="Arial" w:hAnsi="Arial"/>
                <w:sz w:val="18"/>
                <w:szCs w:val="18"/>
                <w:color w:val="0000EE"/>
              </w:rPr>
            </w:pPr>
            <w:hyperlink w:anchor="page121">
              <w:r>
                <w:rPr>
                  <w:rFonts w:ascii="Arial" w:cs="Arial" w:eastAsia="Arial" w:hAnsi="Arial"/>
                  <w:sz w:val="18"/>
                  <w:szCs w:val="18"/>
                  <w:color w:val="0000EE"/>
                </w:rPr>
                <w:t>Certain Relationships and Related-Party Transactions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110</w:t>
            </w:r>
          </w:p>
        </w:tc>
      </w:tr>
      <w:tr>
        <w:trPr>
          <w:trHeight w:val="183"/>
        </w:trPr>
        <w:tc>
          <w:tcPr>
            <w:tcW w:w="200" w:type="dxa"/>
            <w:vAlign w:val="bottom"/>
          </w:tcPr>
          <w:p>
            <w:pPr>
              <w:spacing w:after="0"/>
              <w:rPr>
                <w:sz w:val="15"/>
                <w:szCs w:val="15"/>
                <w:color w:val="auto"/>
              </w:rPr>
            </w:pPr>
          </w:p>
        </w:tc>
        <w:tc>
          <w:tcPr>
            <w:tcW w:w="42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124">
              <w:r>
                <w:rPr>
                  <w:rFonts w:ascii="Arial" w:cs="Arial" w:eastAsia="Arial" w:hAnsi="Arial"/>
                  <w:sz w:val="18"/>
                  <w:szCs w:val="18"/>
                  <w:color w:val="0000EE"/>
                </w:rPr>
                <w:t>Principal Stockholders</w:t>
              </w:r>
            </w:hyperlink>
          </w:p>
        </w:tc>
        <w:tc>
          <w:tcPr>
            <w:tcW w:w="4540" w:type="dxa"/>
            <w:vAlign w:val="bottom"/>
            <w:gridSpan w:val="4"/>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113</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22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Description of Capital Stock</w:t>
              </w:r>
            </w:hyperlink>
          </w:p>
        </w:tc>
        <w:tc>
          <w:tcPr>
            <w:tcW w:w="6600" w:type="dxa"/>
            <w:vAlign w:val="bottom"/>
            <w:gridSpan w:val="9"/>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115</w:t>
            </w:r>
          </w:p>
        </w:tc>
      </w:tr>
      <w:tr>
        <w:trPr>
          <w:trHeight w:val="183"/>
        </w:trPr>
        <w:tc>
          <w:tcPr>
            <w:tcW w:w="200" w:type="dxa"/>
            <w:vAlign w:val="bottom"/>
          </w:tcPr>
          <w:p>
            <w:pPr>
              <w:spacing w:after="0"/>
              <w:rPr>
                <w:sz w:val="15"/>
                <w:szCs w:val="15"/>
                <w:color w:val="auto"/>
              </w:rPr>
            </w:pPr>
          </w:p>
        </w:tc>
        <w:tc>
          <w:tcPr>
            <w:tcW w:w="8820" w:type="dxa"/>
            <w:vAlign w:val="bottom"/>
            <w:gridSpan w:val="24"/>
          </w:tcPr>
          <w:p>
            <w:pPr>
              <w:spacing w:after="0" w:line="182" w:lineRule="exact"/>
              <w:rPr>
                <w:rFonts w:ascii="Arial" w:cs="Arial" w:eastAsia="Arial" w:hAnsi="Arial"/>
                <w:sz w:val="18"/>
                <w:szCs w:val="18"/>
                <w:color w:val="0000EE"/>
              </w:rPr>
            </w:pPr>
            <w:hyperlink w:anchor="page132">
              <w:r>
                <w:rPr>
                  <w:rFonts w:ascii="Arial" w:cs="Arial" w:eastAsia="Arial" w:hAnsi="Arial"/>
                  <w:sz w:val="18"/>
                  <w:szCs w:val="18"/>
                  <w:color w:val="0000EE"/>
                </w:rPr>
                <w:t>Shares Eligible for Future Sale</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121</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340" w:type="dxa"/>
            <w:vAlign w:val="bottom"/>
            <w:gridSpan w:val="8"/>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20" w:type="dxa"/>
            <w:vAlign w:val="bottom"/>
            <w:gridSpan w:val="24"/>
          </w:tcPr>
          <w:p>
            <w:pPr>
              <w:spacing w:after="0" w:line="182" w:lineRule="exact"/>
              <w:rPr>
                <w:rFonts w:ascii="Arial" w:cs="Arial" w:eastAsia="Arial" w:hAnsi="Arial"/>
                <w:sz w:val="18"/>
                <w:szCs w:val="18"/>
                <w:color w:val="0000EE"/>
              </w:rPr>
            </w:pPr>
            <w:hyperlink w:anchor="page135">
              <w:r>
                <w:rPr>
                  <w:rFonts w:ascii="Arial" w:cs="Arial" w:eastAsia="Arial" w:hAnsi="Arial"/>
                  <w:sz w:val="18"/>
                  <w:szCs w:val="18"/>
                  <w:color w:val="0000EE"/>
                </w:rPr>
                <w:t>Material U.S. Federal Income Tax Consequences to Non-U.S. Holders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124</w:t>
            </w:r>
          </w:p>
        </w:tc>
      </w:tr>
      <w:tr>
        <w:trPr>
          <w:trHeight w:val="183"/>
        </w:trPr>
        <w:tc>
          <w:tcPr>
            <w:tcW w:w="20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140">
              <w:r>
                <w:rPr>
                  <w:rFonts w:ascii="Arial" w:cs="Arial" w:eastAsia="Arial" w:hAnsi="Arial"/>
                  <w:sz w:val="18"/>
                  <w:szCs w:val="18"/>
                  <w:color w:val="0000EE"/>
                  <w:w w:val="98"/>
                </w:rPr>
                <w:t>Underwriting</w:t>
              </w:r>
            </w:hyperlink>
          </w:p>
        </w:tc>
        <w:tc>
          <w:tcPr>
            <w:tcW w:w="4560" w:type="dxa"/>
            <w:vAlign w:val="bottom"/>
            <w:tcBorders>
              <w:top w:val="single" w:sz="8" w:color="0000EE"/>
            </w:tcBorders>
            <w:gridSpan w:val="16"/>
          </w:tcPr>
          <w:p>
            <w:pPr>
              <w:spacing w:after="0"/>
              <w:rPr>
                <w:sz w:val="15"/>
                <w:szCs w:val="15"/>
                <w:color w:val="auto"/>
              </w:rPr>
            </w:pPr>
          </w:p>
        </w:tc>
        <w:tc>
          <w:tcPr>
            <w:tcW w:w="3240" w:type="dxa"/>
            <w:vAlign w:val="bottom"/>
            <w:gridSpan w:val="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r>
      <w:tr>
        <w:trPr>
          <w:trHeight w:val="183"/>
        </w:trPr>
        <w:tc>
          <w:tcPr>
            <w:tcW w:w="200" w:type="dxa"/>
            <w:vAlign w:val="bottom"/>
          </w:tcPr>
          <w:p>
            <w:pPr>
              <w:spacing w:after="0"/>
              <w:rPr>
                <w:sz w:val="15"/>
                <w:szCs w:val="15"/>
                <w:color w:val="auto"/>
              </w:rPr>
            </w:pPr>
          </w:p>
        </w:tc>
        <w:tc>
          <w:tcPr>
            <w:tcW w:w="110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146">
              <w:r>
                <w:rPr>
                  <w:rFonts w:ascii="Arial" w:cs="Arial" w:eastAsia="Arial" w:hAnsi="Arial"/>
                  <w:sz w:val="18"/>
                  <w:szCs w:val="18"/>
                  <w:color w:val="0000EE"/>
                  <w:w w:val="98"/>
                </w:rPr>
                <w:t>Legal Matters</w:t>
              </w:r>
            </w:hyperlink>
          </w:p>
        </w:tc>
        <w:tc>
          <w:tcPr>
            <w:tcW w:w="7720" w:type="dxa"/>
            <w:vAlign w:val="bottom"/>
            <w:gridSpan w:val="16"/>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183"/>
        </w:trPr>
        <w:tc>
          <w:tcPr>
            <w:tcW w:w="2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46">
              <w:r>
                <w:rPr>
                  <w:rFonts w:ascii="Arial" w:cs="Arial" w:eastAsia="Arial" w:hAnsi="Arial"/>
                  <w:sz w:val="18"/>
                  <w:szCs w:val="18"/>
                  <w:color w:val="0000EE"/>
                  <w:w w:val="98"/>
                </w:rPr>
                <w:t>Experts</w:t>
              </w:r>
            </w:hyperlink>
          </w:p>
        </w:tc>
        <w:tc>
          <w:tcPr>
            <w:tcW w:w="8200" w:type="dxa"/>
            <w:vAlign w:val="bottom"/>
            <w:gridSpan w:val="22"/>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183"/>
        </w:trPr>
        <w:tc>
          <w:tcPr>
            <w:tcW w:w="200" w:type="dxa"/>
            <w:vAlign w:val="bottom"/>
          </w:tcPr>
          <w:p>
            <w:pPr>
              <w:spacing w:after="0"/>
              <w:rPr>
                <w:sz w:val="15"/>
                <w:szCs w:val="15"/>
                <w:color w:val="auto"/>
              </w:rPr>
            </w:pPr>
          </w:p>
        </w:tc>
        <w:tc>
          <w:tcPr>
            <w:tcW w:w="34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146">
              <w:r>
                <w:rPr>
                  <w:rFonts w:ascii="Arial" w:cs="Arial" w:eastAsia="Arial" w:hAnsi="Arial"/>
                  <w:sz w:val="18"/>
                  <w:szCs w:val="18"/>
                  <w:color w:val="0000EE"/>
                  <w:w w:val="99"/>
                </w:rPr>
                <w:t>Where You Can Find Additional Information</w:t>
              </w:r>
            </w:hyperlink>
          </w:p>
        </w:tc>
        <w:tc>
          <w:tcPr>
            <w:tcW w:w="5360" w:type="dxa"/>
            <w:vAlign w:val="bottom"/>
            <w:gridSpan w:val="6"/>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183"/>
        </w:trPr>
        <w:tc>
          <w:tcPr>
            <w:tcW w:w="200" w:type="dxa"/>
            <w:vAlign w:val="bottom"/>
          </w:tcPr>
          <w:p>
            <w:pPr>
              <w:spacing w:after="0"/>
              <w:rPr>
                <w:sz w:val="15"/>
                <w:szCs w:val="15"/>
                <w:color w:val="auto"/>
              </w:rPr>
            </w:pPr>
          </w:p>
        </w:tc>
        <w:tc>
          <w:tcPr>
            <w:tcW w:w="34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147">
              <w:r>
                <w:rPr>
                  <w:rFonts w:ascii="Arial" w:cs="Arial" w:eastAsia="Arial" w:hAnsi="Arial"/>
                  <w:sz w:val="18"/>
                  <w:szCs w:val="18"/>
                  <w:color w:val="0000EE"/>
                  <w:w w:val="99"/>
                </w:rPr>
                <w:t>Index to Consolidated Financial Statements</w:t>
              </w:r>
            </w:hyperlink>
          </w:p>
        </w:tc>
        <w:tc>
          <w:tcPr>
            <w:tcW w:w="5340" w:type="dxa"/>
            <w:vAlign w:val="bottom"/>
            <w:gridSpan w:val="5"/>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0" w:right="60" w:firstLine="331"/>
        <w:spacing w:after="0" w:line="242" w:lineRule="auto"/>
        <w:rPr>
          <w:sz w:val="20"/>
          <w:szCs w:val="20"/>
          <w:color w:val="auto"/>
        </w:rPr>
      </w:pPr>
      <w:r>
        <w:rPr>
          <w:rFonts w:ascii="Arial" w:cs="Arial" w:eastAsia="Arial" w:hAnsi="Arial"/>
          <w:sz w:val="18"/>
          <w:szCs w:val="18"/>
          <w:b w:val="1"/>
          <w:bCs w:val="1"/>
          <w:color w:val="auto"/>
        </w:rPr>
        <w:t>We are responsible for the information contained in this prospectus and in any free writing prospectus we prepare and authorize. Neither we nor any of the underwriters have authorized anyone to provide you with different information, and we take no responsibility for any other information others may give you. Neither we nor the underwriters are making an offer to sell these securities in any jurisdiction where such offer and sale is not permitted. You should not assume that the information contained in this prospectus is accurate as of any date other than the date on the cover of this prospectus. Our business, financial condition, results of operations and prospects may have changed since that date.</w:t>
      </w:r>
    </w:p>
    <w:p>
      <w:pPr>
        <w:spacing w:after="0" w:line="179" w:lineRule="exact"/>
        <w:rPr>
          <w:sz w:val="20"/>
          <w:szCs w:val="20"/>
          <w:color w:val="auto"/>
        </w:rPr>
      </w:pPr>
    </w:p>
    <w:p>
      <w:pPr>
        <w:ind w:left="200" w:firstLine="331"/>
        <w:spacing w:after="0" w:line="253" w:lineRule="auto"/>
        <w:rPr>
          <w:sz w:val="20"/>
          <w:szCs w:val="20"/>
          <w:color w:val="auto"/>
        </w:rPr>
      </w:pPr>
      <w:r>
        <w:rPr>
          <w:rFonts w:ascii="Arial" w:cs="Arial" w:eastAsia="Arial" w:hAnsi="Arial"/>
          <w:sz w:val="18"/>
          <w:szCs w:val="18"/>
          <w:b w:val="1"/>
          <w:bCs w:val="1"/>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69" w:lineRule="exact"/>
        <w:rPr>
          <w:sz w:val="20"/>
          <w:szCs w:val="20"/>
          <w:color w:val="auto"/>
        </w:rPr>
      </w:pPr>
    </w:p>
    <w:p>
      <w:pPr>
        <w:ind w:left="200" w:right="260" w:firstLine="331"/>
        <w:spacing w:after="0" w:line="253" w:lineRule="auto"/>
        <w:rPr>
          <w:sz w:val="20"/>
          <w:szCs w:val="20"/>
          <w:color w:val="auto"/>
        </w:rPr>
      </w:pPr>
      <w:r>
        <w:rPr>
          <w:rFonts w:ascii="Arial" w:cs="Arial" w:eastAsia="Arial" w:hAnsi="Arial"/>
          <w:sz w:val="18"/>
          <w:szCs w:val="18"/>
          <w:b w:val="1"/>
          <w:bCs w:val="1"/>
          <w:color w:val="auto"/>
        </w:rPr>
        <w:t>This prospectus contains references to United States dollars and Canadian dollars. All dollar amounts referenced, unless otherwise indicated, are expressed in United States dollars. References to “$” are to United States dollars and references to “C$” are to Canadian dollars.</w:t>
      </w:r>
    </w:p>
    <w:p>
      <w:pPr>
        <w:sectPr>
          <w:pgSz w:w="11900" w:h="16838" w:orient="portrait"/>
          <w:cols w:equalWidth="0" w:num="1">
            <w:col w:w="11180"/>
          </w:cols>
          <w:pgMar w:left="240" w:top="44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1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7410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80" w:right="20" w:firstLine="320"/>
        <w:spacing w:after="0" w:line="239" w:lineRule="auto"/>
        <w:rPr>
          <w:sz w:val="20"/>
          <w:szCs w:val="20"/>
          <w:color w:val="auto"/>
        </w:rPr>
      </w:pPr>
      <w:r>
        <w:rPr>
          <w:rFonts w:ascii="Arial" w:cs="Arial" w:eastAsia="Arial" w:hAnsi="Arial"/>
          <w:sz w:val="18"/>
          <w:szCs w:val="18"/>
          <w:i w:val="1"/>
          <w:iCs w:val="1"/>
          <w:color w:val="auto"/>
        </w:rPr>
        <w:t>This summary highlights information contained in other parts of this prospectus. Because it is only a summary, it does not contain all of the information that you should consider before investing in our Class 2 common stock and it is qualified in its entirety by, and should be read in conjunction with, the more detailed information appearing elsewhere in this prospectus. You should read the entire prospectus carefully, especially “Risk Factors,” “Management’s Discussion and Analysis of Financial Condition and Results of Operations” and our consolidated financial statements and the related notes included elsewhere in this prospectus, before deciding to invest in our Class 2 common stock. Unless the context requires otherwise, references in this prospectus to (i) “Tilray,” the “company,” “we,” “us” and “our” refer to Tilray, Inc. and its wholly owned subsidiaries and (ii) references to “Privateer Holdings” refer to Privateer Holdings, Inc. and its subsidiaries, other than Tilray.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Vision</w:t>
      </w:r>
    </w:p>
    <w:p>
      <w:pPr>
        <w:spacing w:after="0" w:line="234" w:lineRule="exact"/>
        <w:rPr>
          <w:sz w:val="20"/>
          <w:szCs w:val="20"/>
          <w:color w:val="auto"/>
        </w:rPr>
      </w:pPr>
    </w:p>
    <w:p>
      <w:pPr>
        <w:ind w:left="380" w:right="440" w:firstLine="320"/>
        <w:spacing w:after="0" w:line="246" w:lineRule="auto"/>
        <w:rPr>
          <w:sz w:val="20"/>
          <w:szCs w:val="20"/>
          <w:color w:val="auto"/>
        </w:rPr>
      </w:pPr>
      <w:r>
        <w:rPr>
          <w:rFonts w:ascii="Arial" w:cs="Arial" w:eastAsia="Arial" w:hAnsi="Arial"/>
          <w:sz w:val="18"/>
          <w:szCs w:val="18"/>
          <w:color w:val="auto"/>
        </w:rPr>
        <w:t>We are pioneering the future of medical cannabis research, cultivation, processing and distribution globally, and we intend to become a leader in the adult-use cannabis market in Canada once legalized.</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aspire to lead, legitimize and define the future of our industry by building the world’s most trusted cannabis company.</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Company</w:t>
      </w:r>
    </w:p>
    <w:p>
      <w:pPr>
        <w:spacing w:after="0" w:line="85" w:lineRule="exact"/>
        <w:rPr>
          <w:sz w:val="20"/>
          <w:szCs w:val="20"/>
          <w:color w:val="auto"/>
        </w:rPr>
      </w:pPr>
    </w:p>
    <w:p>
      <w:pPr>
        <w:ind w:left="380" w:firstLine="320"/>
        <w:spacing w:after="0"/>
        <w:rPr>
          <w:sz w:val="20"/>
          <w:szCs w:val="20"/>
          <w:color w:val="auto"/>
        </w:rPr>
      </w:pPr>
      <w:r>
        <w:rPr>
          <w:rFonts w:ascii="Arial" w:cs="Arial" w:eastAsia="Arial" w:hAnsi="Arial"/>
          <w:sz w:val="18"/>
          <w:szCs w:val="18"/>
          <w:color w:val="auto"/>
        </w:rPr>
        <w:t>We have supplied high-quality cannabis products to tens of thousands of patients in 10 countries spanning five continents through our subsidiaries in Australia, Canada and Germany and through agreements with established pharmaceutical distributors, and we produce medical cannabis in Canada and Europe.</w:t>
      </w:r>
    </w:p>
    <w:p>
      <w:pPr>
        <w:spacing w:after="0" w:line="203" w:lineRule="exact"/>
        <w:rPr>
          <w:sz w:val="20"/>
          <w:szCs w:val="20"/>
          <w:color w:val="auto"/>
        </w:rPr>
      </w:pPr>
    </w:p>
    <w:p>
      <w:pPr>
        <w:ind w:left="380" w:right="120" w:firstLine="320"/>
        <w:spacing w:after="0" w:line="236" w:lineRule="auto"/>
        <w:rPr>
          <w:sz w:val="20"/>
          <w:szCs w:val="20"/>
          <w:color w:val="auto"/>
        </w:rPr>
      </w:pPr>
      <w:r>
        <w:rPr>
          <w:rFonts w:ascii="Arial" w:cs="Arial" w:eastAsia="Arial" w:hAnsi="Arial"/>
          <w:sz w:val="18"/>
          <w:szCs w:val="18"/>
          <w:color w:val="auto"/>
        </w:rPr>
        <w:t>We have been an early leader in the development of the global medical cannabis market. We were one of the first companies to be licensed by Health Canada to cultivate and sell medical cannabis in Canada, and also one of the first companies to become a licensed dealer of medical cannabis in Canada. The cannabis industry is rapidly expanding in Canada, with more than 100 other companies that are currently licensed, though only a few were licensed earlier than us, and there are hundreds more applications for licenses that are being processed by Health Canada. Our products are currently available in Argentina, Australia, Canada, Chile, Croatia, Cyprus, the Czech Republic, Germany, New Zealand and South Africa. While there are others licensed to cultivate and sell medical cannabis operating in multiple countries, including some licensed in Canada, and other non-cannabis companies expanding into the cannabis market internationally, we were the first company to legally export medical cannabis from North America to Africa, Australia, Europe and South America, and we were among the first companies to be licensed to cultivate and process medical cannabis in two countries, Canada and Portugal.</w:t>
      </w:r>
    </w:p>
    <w:p>
      <w:pPr>
        <w:spacing w:after="0" w:line="207" w:lineRule="exact"/>
        <w:rPr>
          <w:sz w:val="20"/>
          <w:szCs w:val="20"/>
          <w:color w:val="auto"/>
        </w:rPr>
      </w:pPr>
    </w:p>
    <w:p>
      <w:pPr>
        <w:ind w:left="380" w:right="220" w:firstLine="320"/>
        <w:spacing w:after="0"/>
        <w:rPr>
          <w:sz w:val="20"/>
          <w:szCs w:val="20"/>
          <w:color w:val="auto"/>
        </w:rPr>
      </w:pPr>
      <w:r>
        <w:rPr>
          <w:rFonts w:ascii="Arial" w:cs="Arial" w:eastAsia="Arial" w:hAnsi="Arial"/>
          <w:sz w:val="18"/>
          <w:szCs w:val="18"/>
          <w:color w:val="auto"/>
        </w:rPr>
        <w:t>Our company is led by a team of visionary entrepreneurs, experienced operators and cannabis industry experts as well as PhD scientists, horticulturists and extraction specialists who apply the latest scientific knowledge and technology to deliver quality-controlled, rigorously tested cannabis products on a large scale.</w:t>
      </w:r>
    </w:p>
    <w:p>
      <w:pPr>
        <w:spacing w:after="0" w:line="203" w:lineRule="exact"/>
        <w:rPr>
          <w:sz w:val="20"/>
          <w:szCs w:val="20"/>
          <w:color w:val="auto"/>
        </w:rPr>
      </w:pPr>
    </w:p>
    <w:p>
      <w:pPr>
        <w:ind w:left="380" w:right="340" w:firstLine="320"/>
        <w:spacing w:after="0"/>
        <w:rPr>
          <w:sz w:val="20"/>
          <w:szCs w:val="20"/>
          <w:color w:val="auto"/>
        </w:rPr>
      </w:pPr>
      <w:r>
        <w:rPr>
          <w:rFonts w:ascii="Arial" w:cs="Arial" w:eastAsia="Arial" w:hAnsi="Arial"/>
          <w:sz w:val="18"/>
          <w:szCs w:val="18"/>
          <w:color w:val="auto"/>
        </w:rPr>
        <w:t>We believe that our strength as a medical brand is rooted in our commitment to research and development. Our research and development program focuses on developing innovative products, including novel delivery systems and precisely formulated cannabinoid products, and on the creation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1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56813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and improvement of methods, processes and technologies that allow us to efficiently manufacture such products on a large scale. We also supply clinical trials and were the first cannabis company with a North American production facility to be Good Manufacturing Practices, or GMP, certified in accordance with European Medicines Agency, or EMA, standards. An internationally recognized standard, GMP certification is the primary quality standard that pharmaceutical manufacturers must meet in their production processes.</w:t>
      </w:r>
    </w:p>
    <w:p>
      <w:pPr>
        <w:spacing w:after="0" w:line="203" w:lineRule="exact"/>
        <w:rPr>
          <w:sz w:val="20"/>
          <w:szCs w:val="20"/>
          <w:color w:val="auto"/>
        </w:rPr>
      </w:pPr>
    </w:p>
    <w:p>
      <w:pPr>
        <w:ind w:left="380" w:right="60" w:firstLine="320"/>
        <w:spacing w:after="0" w:line="239" w:lineRule="auto"/>
        <w:rPr>
          <w:sz w:val="20"/>
          <w:szCs w:val="20"/>
          <w:color w:val="auto"/>
        </w:rPr>
      </w:pPr>
      <w:r>
        <w:rPr>
          <w:rFonts w:ascii="Arial" w:cs="Arial" w:eastAsia="Arial" w:hAnsi="Arial"/>
          <w:sz w:val="18"/>
          <w:szCs w:val="18"/>
          <w:color w:val="auto"/>
        </w:rPr>
        <w:t>We believe our growth to date is a result of our global strategy, our multinational supply chain and distribution network and our methodical commitment to research, innovation, quality and operational excellence. We believe that recognized and trusted brands distributed through multinational supply chains will be best positioned to become global market leaders. Our strategy is to build these brands by consistently producing high-quality, differentiated products on a large scale.</w:t>
      </w:r>
    </w:p>
    <w:p>
      <w:pPr>
        <w:spacing w:after="0" w:line="202" w:lineRule="exact"/>
        <w:rPr>
          <w:sz w:val="20"/>
          <w:szCs w:val="20"/>
          <w:color w:val="auto"/>
        </w:rPr>
      </w:pPr>
    </w:p>
    <w:p>
      <w:pPr>
        <w:ind w:left="380" w:right="780" w:firstLine="320"/>
        <w:spacing w:after="0" w:line="275" w:lineRule="auto"/>
        <w:rPr>
          <w:sz w:val="20"/>
          <w:szCs w:val="20"/>
          <w:color w:val="auto"/>
        </w:rPr>
      </w:pPr>
      <w:r>
        <w:rPr>
          <w:rFonts w:ascii="Arial" w:cs="Arial" w:eastAsia="Arial" w:hAnsi="Arial"/>
          <w:sz w:val="17"/>
          <w:szCs w:val="17"/>
          <w:color w:val="auto"/>
        </w:rPr>
        <w:t>We expect to have a competitive advantage in the Canadian adult-use market pending the adoption of proposed federal legislation and corresponding provincial legislation that is anticipated to legalize adult-use cannabis in Canada in 2018.</w:t>
      </w:r>
    </w:p>
    <w:p>
      <w:pPr>
        <w:spacing w:after="0" w:line="173" w:lineRule="exact"/>
        <w:rPr>
          <w:sz w:val="20"/>
          <w:szCs w:val="20"/>
          <w:color w:val="auto"/>
        </w:rPr>
      </w:pPr>
    </w:p>
    <w:p>
      <w:pPr>
        <w:ind w:left="380" w:right="420" w:firstLine="320"/>
        <w:spacing w:after="0" w:line="246" w:lineRule="auto"/>
        <w:rPr>
          <w:sz w:val="20"/>
          <w:szCs w:val="20"/>
          <w:color w:val="auto"/>
        </w:rPr>
      </w:pPr>
      <w:r>
        <w:rPr>
          <w:rFonts w:ascii="Arial" w:cs="Arial" w:eastAsia="Arial" w:hAnsi="Arial"/>
          <w:sz w:val="18"/>
          <w:szCs w:val="18"/>
          <w:color w:val="auto"/>
        </w:rPr>
        <w:t>We were formed as a subsidiary of Privateer Holdings, one of the first institutionally backed private investment firms to focus exclusively on the cannabis industry. Privateer Holdings’ portfolio of brands also includes Leafly, Marley Natural and Goodship.</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Industry</w:t>
      </w:r>
    </w:p>
    <w:p>
      <w:pPr>
        <w:spacing w:after="0" w:line="85" w:lineRule="exact"/>
        <w:rPr>
          <w:sz w:val="20"/>
          <w:szCs w:val="20"/>
          <w:color w:val="auto"/>
        </w:rPr>
      </w:pPr>
    </w:p>
    <w:p>
      <w:pPr>
        <w:ind w:left="380" w:right="100" w:firstLine="320"/>
        <w:spacing w:after="0" w:line="238" w:lineRule="auto"/>
        <w:rPr>
          <w:sz w:val="20"/>
          <w:szCs w:val="20"/>
          <w:color w:val="auto"/>
        </w:rPr>
      </w:pPr>
      <w:r>
        <w:rPr>
          <w:rFonts w:ascii="Arial" w:cs="Arial" w:eastAsia="Arial" w:hAnsi="Arial"/>
          <w:sz w:val="18"/>
          <w:szCs w:val="18"/>
          <w:color w:val="auto"/>
        </w:rPr>
        <w:t>We believe we are witnessing a global paradigm shift transforming the multibillion dollar cannabis industry from a state of prohibition to a state of legalization, but the legal market is still in its early stages. Moreover, we expect the number of countries with legalized regimes to continue to increase, creating numerous and sizable opportunities for market participants, including us. According to the United Nations, the global cannabis market, including the illicit market, is estimated to be $150 billion, annually, and approximately 3.8% of the adult population, or over 180 million people, are estimated to be cannabis users.</w:t>
      </w:r>
    </w:p>
    <w:p>
      <w:pPr>
        <w:spacing w:after="0" w:line="181" w:lineRule="exact"/>
        <w:rPr>
          <w:sz w:val="20"/>
          <w:szCs w:val="20"/>
          <w:color w:val="auto"/>
        </w:rPr>
      </w:pPr>
    </w:p>
    <w:p>
      <w:pPr>
        <w:ind w:left="380" w:firstLine="320"/>
        <w:spacing w:after="0" w:line="253" w:lineRule="auto"/>
        <w:rPr>
          <w:sz w:val="20"/>
          <w:szCs w:val="20"/>
          <w:color w:val="auto"/>
        </w:rPr>
      </w:pPr>
      <w:r>
        <w:rPr>
          <w:rFonts w:ascii="Arial" w:cs="Arial" w:eastAsia="Arial" w:hAnsi="Arial"/>
          <w:sz w:val="18"/>
          <w:szCs w:val="18"/>
          <w:b w:val="1"/>
          <w:bCs w:val="1"/>
          <w:i w:val="1"/>
          <w:iCs w:val="1"/>
          <w:color w:val="auto"/>
        </w:rPr>
        <w:t>Global Medical Market</w:t>
      </w:r>
      <w:r>
        <w:rPr>
          <w:rFonts w:ascii="Arial" w:cs="Arial" w:eastAsia="Arial" w:hAnsi="Arial"/>
          <w:sz w:val="18"/>
          <w:szCs w:val="18"/>
          <w:color w:val="auto"/>
        </w:rPr>
        <w:t>. Although cannabis is still heavily regulated, medical use is now authorized at the national or federal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28 countries. The pace of regulatory change globally has been rapid, with more than 24 countries having introduced significant reforms to their cannabis use laws to broaden the scope of permitted use since 2015.</w:t>
      </w:r>
    </w:p>
    <w:p>
      <w:pPr>
        <w:spacing w:after="0" w:line="169" w:lineRule="exact"/>
        <w:rPr>
          <w:sz w:val="20"/>
          <w:szCs w:val="20"/>
          <w:color w:val="auto"/>
        </w:rPr>
      </w:pPr>
    </w:p>
    <w:p>
      <w:pPr>
        <w:ind w:left="380" w:right="80" w:firstLine="320"/>
        <w:spacing w:after="0" w:line="247" w:lineRule="auto"/>
        <w:rPr>
          <w:sz w:val="20"/>
          <w:szCs w:val="20"/>
          <w:color w:val="auto"/>
        </w:rPr>
      </w:pPr>
      <w:r>
        <w:rPr>
          <w:rFonts w:ascii="Arial" w:cs="Arial" w:eastAsia="Arial" w:hAnsi="Arial"/>
          <w:sz w:val="18"/>
          <w:szCs w:val="18"/>
          <w:b w:val="1"/>
          <w:bCs w:val="1"/>
          <w:i w:val="1"/>
          <w:iCs w:val="1"/>
          <w:color w:val="auto"/>
        </w:rPr>
        <w:t>Adult Use</w:t>
      </w:r>
      <w:r>
        <w:rPr>
          <w:rFonts w:ascii="Arial" w:cs="Arial" w:eastAsia="Arial" w:hAnsi="Arial"/>
          <w:sz w:val="18"/>
          <w:szCs w:val="18"/>
          <w:color w:val="auto"/>
        </w:rPr>
        <w:t>. In 2018, Canada is expected to become the first major industrialized nation to legalize adult-use cannabis at both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and provincial levels. With legalization, we expect most illicit cannabis consumption to transition to the legal market. In the 2016 publication by Deloitte Insights and Opportunities, Recreational Marijuana, the projected size of the Canadian adult-use market ranged from C$4.9 billion to C$8.7 billion annually.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Opportunity</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approaching our industry from a long-term, global perspective and see opportunities to:</w:t>
      </w:r>
    </w:p>
    <w:p>
      <w:pPr>
        <w:spacing w:after="0" w:line="239" w:lineRule="exact"/>
        <w:rPr>
          <w:sz w:val="20"/>
          <w:szCs w:val="20"/>
          <w:color w:val="auto"/>
        </w:rPr>
      </w:pPr>
    </w:p>
    <w:p>
      <w:pPr>
        <w:ind w:left="680" w:hanging="298"/>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Build global brands that lead, legitimize and define the future of cannabis.</w:t>
      </w:r>
    </w:p>
    <w:p>
      <w:pPr>
        <w:spacing w:after="0" w:line="36" w:lineRule="exact"/>
        <w:rPr>
          <w:rFonts w:ascii="Arial" w:cs="Arial" w:eastAsia="Arial" w:hAnsi="Arial"/>
          <w:sz w:val="15"/>
          <w:szCs w:val="15"/>
          <w:color w:val="auto"/>
        </w:rPr>
      </w:pPr>
    </w:p>
    <w:p>
      <w:pPr>
        <w:ind w:left="680" w:hanging="298"/>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Develop innovative products and form factors that change the way the world consumes cannabis.</w:t>
      </w:r>
    </w:p>
    <w:p>
      <w:pPr>
        <w:spacing w:after="0" w:line="36" w:lineRule="exact"/>
        <w:rPr>
          <w:rFonts w:ascii="Arial" w:cs="Arial" w:eastAsia="Arial" w:hAnsi="Arial"/>
          <w:sz w:val="15"/>
          <w:szCs w:val="15"/>
          <w:color w:val="auto"/>
        </w:rPr>
      </w:pPr>
    </w:p>
    <w:p>
      <w:pPr>
        <w:ind w:left="680" w:hanging="298"/>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Expand the availability of pure, precise and predictable medical cannabis products for patients in need around the world.</w:t>
      </w:r>
    </w:p>
    <w:p>
      <w:pPr>
        <w:spacing w:after="0" w:line="36" w:lineRule="exact"/>
        <w:rPr>
          <w:rFonts w:ascii="Arial" w:cs="Arial" w:eastAsia="Arial" w:hAnsi="Arial"/>
          <w:sz w:val="15"/>
          <w:szCs w:val="15"/>
          <w:color w:val="auto"/>
        </w:rPr>
      </w:pPr>
    </w:p>
    <w:p>
      <w:pPr>
        <w:ind w:left="680" w:hanging="298"/>
        <w:spacing w:after="0"/>
        <w:tabs>
          <w:tab w:leader="none" w:pos="680" w:val="left"/>
        </w:tabs>
        <w:numPr>
          <w:ilvl w:val="0"/>
          <w:numId w:val="3"/>
        </w:numPr>
        <w:rPr>
          <w:rFonts w:ascii="Arial" w:cs="Arial" w:eastAsia="Arial" w:hAnsi="Arial"/>
          <w:sz w:val="15"/>
          <w:szCs w:val="15"/>
          <w:color w:val="auto"/>
        </w:rPr>
      </w:pPr>
      <w:r>
        <w:rPr>
          <w:rFonts w:ascii="Arial" w:cs="Arial" w:eastAsia="Arial" w:hAnsi="Arial"/>
          <w:sz w:val="18"/>
          <w:szCs w:val="18"/>
          <w:color w:val="auto"/>
        </w:rPr>
        <w:t>Foster mainstream acceptance of the therapeutic potential of medical cannabis and cannabinoid-based medicines.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15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0159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Strengths</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we are differentiated from our competitors because:</w:t>
      </w:r>
    </w:p>
    <w:p>
      <w:pPr>
        <w:spacing w:after="0" w:line="239" w:lineRule="exact"/>
        <w:rPr>
          <w:sz w:val="20"/>
          <w:szCs w:val="20"/>
          <w:color w:val="auto"/>
        </w:rPr>
      </w:pPr>
    </w:p>
    <w:p>
      <w:pPr>
        <w:ind w:left="680" w:hanging="29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We are a global pioneer with a multinational supply chain and distribution network.</w:t>
      </w:r>
    </w:p>
    <w:p>
      <w:pPr>
        <w:spacing w:after="0" w:line="36" w:lineRule="exact"/>
        <w:rPr>
          <w:rFonts w:ascii="Arial" w:cs="Arial" w:eastAsia="Arial" w:hAnsi="Arial"/>
          <w:sz w:val="15"/>
          <w:szCs w:val="15"/>
          <w:color w:val="auto"/>
        </w:rPr>
      </w:pPr>
    </w:p>
    <w:p>
      <w:pPr>
        <w:ind w:left="680" w:right="320" w:hanging="298"/>
        <w:spacing w:after="0" w:line="246"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We have a scientifically rigorous medical cannabis brand approved by governments to supply patients and researchers on five continents.</w:t>
      </w:r>
    </w:p>
    <w:p>
      <w:pPr>
        <w:spacing w:after="0" w:line="21" w:lineRule="exact"/>
        <w:rPr>
          <w:rFonts w:ascii="Arial" w:cs="Arial" w:eastAsia="Arial" w:hAnsi="Arial"/>
          <w:sz w:val="15"/>
          <w:szCs w:val="15"/>
          <w:color w:val="auto"/>
        </w:rPr>
      </w:pPr>
    </w:p>
    <w:p>
      <w:pPr>
        <w:ind w:left="680" w:right="180" w:hanging="298"/>
        <w:spacing w:after="0" w:line="246"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We have secured the exclusive rights to produce and distribute a broad-based portfolio of certain adult-use brands and products to Canadian consumers when adult-use legalization occurs.</w:t>
      </w:r>
    </w:p>
    <w:p>
      <w:pPr>
        <w:spacing w:after="0" w:line="21" w:lineRule="exact"/>
        <w:rPr>
          <w:rFonts w:ascii="Arial" w:cs="Arial" w:eastAsia="Arial" w:hAnsi="Arial"/>
          <w:sz w:val="15"/>
          <w:szCs w:val="15"/>
          <w:color w:val="auto"/>
        </w:rPr>
      </w:pPr>
    </w:p>
    <w:p>
      <w:pPr>
        <w:ind w:left="680" w:hanging="29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We have a track record for pioneering research and innovation within our industry.</w:t>
      </w:r>
    </w:p>
    <w:p>
      <w:pPr>
        <w:spacing w:after="0" w:line="36" w:lineRule="exact"/>
        <w:rPr>
          <w:rFonts w:ascii="Arial" w:cs="Arial" w:eastAsia="Arial" w:hAnsi="Arial"/>
          <w:sz w:val="15"/>
          <w:szCs w:val="15"/>
          <w:color w:val="auto"/>
        </w:rPr>
      </w:pPr>
    </w:p>
    <w:p>
      <w:pPr>
        <w:ind w:left="680" w:right="140" w:hanging="298"/>
        <w:spacing w:after="0" w:line="246"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We have developed a rigorous, proprietary production process to ensure consistency and quality as we increase the scale of our operations globally.</w:t>
      </w:r>
    </w:p>
    <w:p>
      <w:pPr>
        <w:spacing w:after="0" w:line="21" w:lineRule="exact"/>
        <w:rPr>
          <w:rFonts w:ascii="Arial" w:cs="Arial" w:eastAsia="Arial" w:hAnsi="Arial"/>
          <w:sz w:val="15"/>
          <w:szCs w:val="15"/>
          <w:color w:val="auto"/>
        </w:rPr>
      </w:pPr>
    </w:p>
    <w:p>
      <w:pPr>
        <w:ind w:left="680" w:hanging="29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We have a highly experienced management team.</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85" w:lineRule="exact"/>
        <w:rPr>
          <w:sz w:val="20"/>
          <w:szCs w:val="20"/>
          <w:color w:val="auto"/>
        </w:rPr>
      </w:pPr>
    </w:p>
    <w:p>
      <w:pPr>
        <w:ind w:left="380" w:right="500" w:firstLine="320"/>
        <w:spacing w:after="0" w:line="246"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Class 2 common stock. These risks are discussed more fully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include, among others:</w:t>
      </w:r>
    </w:p>
    <w:p>
      <w:pPr>
        <w:spacing w:after="0" w:line="224" w:lineRule="exact"/>
        <w:rPr>
          <w:sz w:val="20"/>
          <w:szCs w:val="20"/>
          <w:color w:val="auto"/>
        </w:rPr>
      </w:pPr>
    </w:p>
    <w:p>
      <w:pPr>
        <w:ind w:left="680" w:right="40" w:hanging="29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Our business depends on regulatory approvals and licenses, including from Health Canada and various international regulatory authorities, in order for us to grow, store, sell and export medical cannabis and related products, which approvals and licenses are subject to ongoing compliance and reporting requirements.</w:t>
      </w:r>
    </w:p>
    <w:p>
      <w:pPr>
        <w:spacing w:after="0" w:line="27" w:lineRule="exact"/>
        <w:rPr>
          <w:rFonts w:ascii="Arial" w:cs="Arial" w:eastAsia="Arial" w:hAnsi="Arial"/>
          <w:sz w:val="15"/>
          <w:szCs w:val="15"/>
          <w:color w:val="auto"/>
        </w:rPr>
      </w:pPr>
    </w:p>
    <w:p>
      <w:pPr>
        <w:ind w:left="680" w:right="340" w:hanging="29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Any adverse changes or developments to our Nanaimo, British Columbia facility that could delay or prevent us from producing medical cannabis products, which would prevent us from continuing to operate our business until operations at our Nanaimo facility could be resumed or until our Enniskillen facility or Portugal facility is operational.</w:t>
      </w:r>
    </w:p>
    <w:p>
      <w:pPr>
        <w:spacing w:after="0" w:line="27" w:lineRule="exact"/>
        <w:rPr>
          <w:rFonts w:ascii="Arial" w:cs="Arial" w:eastAsia="Arial" w:hAnsi="Arial"/>
          <w:sz w:val="15"/>
          <w:szCs w:val="15"/>
          <w:color w:val="auto"/>
        </w:rPr>
      </w:pPr>
    </w:p>
    <w:p>
      <w:pPr>
        <w:ind w:left="680" w:right="260" w:hanging="29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anticipated legalization of adult-use cannabis in Canada may have a significant negative effect on our medical cannabis business and there is no guarantee that we will be able to participate or effectively compete in the adult-use cannabis market in Canada.</w:t>
      </w:r>
    </w:p>
    <w:p>
      <w:pPr>
        <w:spacing w:after="0" w:line="27" w:lineRule="exact"/>
        <w:rPr>
          <w:rFonts w:ascii="Arial" w:cs="Arial" w:eastAsia="Arial" w:hAnsi="Arial"/>
          <w:sz w:val="15"/>
          <w:szCs w:val="15"/>
          <w:color w:val="auto"/>
        </w:rPr>
      </w:pPr>
    </w:p>
    <w:p>
      <w:pPr>
        <w:ind w:left="680" w:right="180" w:hanging="298"/>
        <w:spacing w:after="0" w:line="246"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medical cannabis industry is relatively new and this industry and the anticipated adult-use cannabis industry in Canada may not develop as anticipated or we may not be able to succeed in one or both of these markets.</w:t>
      </w:r>
    </w:p>
    <w:p>
      <w:pPr>
        <w:spacing w:after="0" w:line="21" w:lineRule="exact"/>
        <w:rPr>
          <w:rFonts w:ascii="Arial" w:cs="Arial" w:eastAsia="Arial" w:hAnsi="Arial"/>
          <w:sz w:val="15"/>
          <w:szCs w:val="15"/>
          <w:color w:val="auto"/>
        </w:rPr>
      </w:pPr>
    </w:p>
    <w:p>
      <w:pPr>
        <w:ind w:left="680" w:hanging="298"/>
        <w:spacing w:after="0" w:line="239"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We face intense competition from other participants in our industry, including others licensed to cultivate and sell medical cannabis and unlicensed producers operating unlawfully, who may be able to compete more effectively than us as a result of longer operating histories, greater financial resources or, in the case of unlicensed producers, products with higher concentrations of active ingredients.</w:t>
      </w:r>
    </w:p>
    <w:p>
      <w:pPr>
        <w:spacing w:after="0" w:line="26" w:lineRule="exact"/>
        <w:rPr>
          <w:rFonts w:ascii="Arial" w:cs="Arial" w:eastAsia="Arial" w:hAnsi="Arial"/>
          <w:sz w:val="15"/>
          <w:szCs w:val="15"/>
          <w:color w:val="auto"/>
        </w:rPr>
      </w:pPr>
    </w:p>
    <w:p>
      <w:pPr>
        <w:ind w:left="680" w:right="220" w:hanging="29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Our business depends on a number of key inputs, such as raw materials, electricity, water and other utilities, and any significant interruption in the availability, price increase or other negative change with respect to these inputs could delay or prevent our ability to operate our business.</w:t>
      </w:r>
    </w:p>
    <w:p>
      <w:pPr>
        <w:spacing w:after="0" w:line="27" w:lineRule="exact"/>
        <w:rPr>
          <w:rFonts w:ascii="Arial" w:cs="Arial" w:eastAsia="Arial" w:hAnsi="Arial"/>
          <w:sz w:val="15"/>
          <w:szCs w:val="15"/>
          <w:color w:val="auto"/>
        </w:rPr>
      </w:pPr>
    </w:p>
    <w:p>
      <w:pPr>
        <w:ind w:left="680" w:right="80" w:hanging="298"/>
        <w:spacing w:after="0" w:line="239"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We will be a “controlled company” within the meaning of the listing rules of the Nasdaq Global Select Market because, upon the closing of this offering, Privateer Holdings will continue to control a majority of the voting power of our outstanding common stock, so purchasers of our Class 2 common stock in this offering will not have the same protections afforded to stockholders of companies that are not “controlled companies.”</w:t>
      </w:r>
    </w:p>
    <w:p>
      <w:pPr>
        <w:spacing w:after="0" w:line="26" w:lineRule="exact"/>
        <w:rPr>
          <w:rFonts w:ascii="Arial" w:cs="Arial" w:eastAsia="Arial" w:hAnsi="Arial"/>
          <w:sz w:val="15"/>
          <w:szCs w:val="15"/>
          <w:color w:val="auto"/>
        </w:rPr>
      </w:pPr>
    </w:p>
    <w:p>
      <w:pPr>
        <w:ind w:left="680" w:right="240" w:hanging="298"/>
        <w:spacing w:after="0" w:line="246"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We are exposed to risks arising from Privateer Holdings’ stockholdings, its provision of services to us and its participation in our management and conflicts of interest associated therewith.</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72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59728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680" w:right="720" w:hanging="298"/>
        <w:spacing w:after="0" w:line="246"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Our debt agreements with Privateer Holdings provide that all outstanding obligations are payable on demand of Privateer Holdings.</w:t>
      </w:r>
    </w:p>
    <w:p>
      <w:pPr>
        <w:spacing w:after="0" w:line="197" w:lineRule="exact"/>
        <w:rPr>
          <w:sz w:val="20"/>
          <w:szCs w:val="20"/>
          <w:color w:val="auto"/>
        </w:rPr>
      </w:pPr>
    </w:p>
    <w:p>
      <w:pPr>
        <w:ind w:left="380" w:right="540" w:firstLine="320"/>
        <w:spacing w:after="0" w:line="246"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operating results or prospects may be adversely affected.</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Strategy</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aspire to build the world’s most trusted global cannabis company through the following key strategies:</w:t>
      </w:r>
    </w:p>
    <w:p>
      <w:pPr>
        <w:spacing w:after="0" w:line="239" w:lineRule="exact"/>
        <w:rPr>
          <w:sz w:val="20"/>
          <w:szCs w:val="20"/>
          <w:color w:val="auto"/>
        </w:rPr>
      </w:pPr>
    </w:p>
    <w:p>
      <w:pPr>
        <w:ind w:left="680" w:hanging="298"/>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Expanding our production capacity in North America and Europe to meet current and expected long-term demand growth.</w:t>
      </w:r>
    </w:p>
    <w:p>
      <w:pPr>
        <w:spacing w:after="0" w:line="36" w:lineRule="exact"/>
        <w:rPr>
          <w:rFonts w:ascii="Arial" w:cs="Arial" w:eastAsia="Arial" w:hAnsi="Arial"/>
          <w:sz w:val="15"/>
          <w:szCs w:val="15"/>
          <w:color w:val="auto"/>
        </w:rPr>
      </w:pPr>
    </w:p>
    <w:p>
      <w:pPr>
        <w:ind w:left="680" w:hanging="298"/>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Partnering with established distributors and retailers.</w:t>
      </w:r>
    </w:p>
    <w:p>
      <w:pPr>
        <w:spacing w:after="0" w:line="36" w:lineRule="exact"/>
        <w:rPr>
          <w:rFonts w:ascii="Arial" w:cs="Arial" w:eastAsia="Arial" w:hAnsi="Arial"/>
          <w:sz w:val="15"/>
          <w:szCs w:val="15"/>
          <w:color w:val="auto"/>
        </w:rPr>
      </w:pPr>
    </w:p>
    <w:p>
      <w:pPr>
        <w:ind w:left="680" w:hanging="298"/>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Developing a differentiated portfolio of brands and products to appeal to diverse sets of patients and consumers.</w:t>
      </w:r>
    </w:p>
    <w:p>
      <w:pPr>
        <w:spacing w:after="0" w:line="36" w:lineRule="exact"/>
        <w:rPr>
          <w:rFonts w:ascii="Arial" w:cs="Arial" w:eastAsia="Arial" w:hAnsi="Arial"/>
          <w:sz w:val="15"/>
          <w:szCs w:val="15"/>
          <w:color w:val="auto"/>
        </w:rPr>
      </w:pPr>
    </w:p>
    <w:p>
      <w:pPr>
        <w:ind w:left="680" w:right="200" w:hanging="298"/>
        <w:spacing w:after="0" w:line="246" w:lineRule="auto"/>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Expanding the addressable medical market by investing in clinical research and winning the trust of regulators, researchers and physicians in countries new to medical cannabis.</w:t>
      </w:r>
    </w:p>
    <w:p>
      <w:pPr>
        <w:spacing w:after="0" w:line="21" w:lineRule="exact"/>
        <w:rPr>
          <w:rFonts w:ascii="Arial" w:cs="Arial" w:eastAsia="Arial" w:hAnsi="Arial"/>
          <w:sz w:val="15"/>
          <w:szCs w:val="15"/>
          <w:color w:val="auto"/>
        </w:rPr>
      </w:pPr>
    </w:p>
    <w:p>
      <w:pPr>
        <w:ind w:left="680" w:hanging="298"/>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Maintaining a rigorous and relentless focus on operational excellence and product quality.</w:t>
      </w:r>
    </w:p>
    <w:p>
      <w:pPr>
        <w:spacing w:after="0" w:line="36" w:lineRule="exact"/>
        <w:rPr>
          <w:rFonts w:ascii="Arial" w:cs="Arial" w:eastAsia="Arial" w:hAnsi="Arial"/>
          <w:sz w:val="15"/>
          <w:szCs w:val="15"/>
          <w:color w:val="auto"/>
        </w:rPr>
      </w:pPr>
    </w:p>
    <w:p>
      <w:pPr>
        <w:ind w:left="680" w:hanging="298"/>
        <w:spacing w:after="0"/>
        <w:tabs>
          <w:tab w:leader="none" w:pos="680" w:val="left"/>
        </w:tabs>
        <w:numPr>
          <w:ilvl w:val="0"/>
          <w:numId w:val="7"/>
        </w:numPr>
        <w:rPr>
          <w:rFonts w:ascii="Arial" w:cs="Arial" w:eastAsia="Arial" w:hAnsi="Arial"/>
          <w:sz w:val="15"/>
          <w:szCs w:val="15"/>
          <w:color w:val="auto"/>
        </w:rPr>
      </w:pPr>
      <w:r>
        <w:rPr>
          <w:rFonts w:ascii="Arial" w:cs="Arial" w:eastAsia="Arial" w:hAnsi="Arial"/>
          <w:sz w:val="18"/>
          <w:szCs w:val="18"/>
          <w:color w:val="auto"/>
        </w:rPr>
        <w:t>Pioneering innovation within our industry.</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Brands and Products</w:t>
      </w:r>
    </w:p>
    <w:p>
      <w:pPr>
        <w:spacing w:after="0" w:line="85" w:lineRule="exact"/>
        <w:rPr>
          <w:sz w:val="20"/>
          <w:szCs w:val="20"/>
          <w:color w:val="auto"/>
        </w:rPr>
      </w:pPr>
    </w:p>
    <w:p>
      <w:pPr>
        <w:ind w:left="380" w:right="240" w:firstLine="320"/>
        <w:spacing w:after="0" w:line="239" w:lineRule="auto"/>
        <w:rPr>
          <w:sz w:val="20"/>
          <w:szCs w:val="20"/>
          <w:color w:val="auto"/>
        </w:rPr>
      </w:pPr>
      <w:r>
        <w:rPr>
          <w:rFonts w:ascii="Arial" w:cs="Arial" w:eastAsia="Arial" w:hAnsi="Arial"/>
          <w:sz w:val="18"/>
          <w:szCs w:val="18"/>
          <w:color w:val="auto"/>
        </w:rPr>
        <w:t>Our brand and product strategy centers on developing a broad-based portfolio of differentiated cannabis brands and products designed to appeal to diverse sets of patients and consumers. These brands and products will be tailored to comply with all requirements we expect to accompany adult-use legalization, such as the inclusion of health warnings on labels and restrictions on marketing.</w:t>
      </w:r>
    </w:p>
    <w:p>
      <w:pPr>
        <w:spacing w:after="0" w:line="180" w:lineRule="exact"/>
        <w:rPr>
          <w:sz w:val="20"/>
          <w:szCs w:val="20"/>
          <w:color w:val="auto"/>
        </w:rPr>
      </w:pPr>
    </w:p>
    <w:p>
      <w:pPr>
        <w:ind w:left="380" w:right="160" w:firstLine="320"/>
        <w:spacing w:after="0" w:line="247" w:lineRule="auto"/>
        <w:rPr>
          <w:sz w:val="20"/>
          <w:szCs w:val="20"/>
          <w:color w:val="auto"/>
        </w:rPr>
      </w:pPr>
      <w:r>
        <w:rPr>
          <w:rFonts w:ascii="Arial" w:cs="Arial" w:eastAsia="Arial" w:hAnsi="Arial"/>
          <w:sz w:val="18"/>
          <w:szCs w:val="18"/>
          <w:b w:val="1"/>
          <w:bCs w:val="1"/>
          <w:i w:val="1"/>
          <w:iCs w:val="1"/>
          <w:color w:val="auto"/>
        </w:rPr>
        <w:t>Our Medical Brand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Tilray brand is designed to target the global medical market by offering a wide range of high-quality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cannabis and cannabinoid-based products. We offer our products to patients, physicians, pharmacies, governments, hospitals and researchers for commercial purposes, compassionate access and clinical research. We believe patients choose Tilray because we are a scientifically rigorous brand known for producing pure, precise and predictable medical-grade products.</w:t>
      </w:r>
    </w:p>
    <w:p>
      <w:pPr>
        <w:spacing w:after="0" w:line="174"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b w:val="1"/>
          <w:bCs w:val="1"/>
          <w:i w:val="1"/>
          <w:iCs w:val="1"/>
          <w:color w:val="auto"/>
        </w:rPr>
        <w:t>Our Adult-Use Brands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anticipation of adult-use legalization in Canada, we have secured the exclusive rights from a wholly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subsidiary of Privateer Holdings to produce and distribute a broad-based portfolio of certain adult-use brands and products in Canada. We have not been granted exclusive rights by the Canadian government to produce or distribute any category of cannabis products. The brand licensing agreement includes the rights to recognized brands and proprietary product formulations for a wide range of products. In addition to licensing certain adult-use brands from a wholly owned subsidiary of Privateer Holdings, we are also developing new brands for the adult-use market in Canada that will be wholly owned by Tilray, Inc. When proposed Canadian federal legislation and corresponding provincial legislation authorizing the adult use of cannabis comes into effect, we intend to produce and distribute these brands and products to Canadian consumers through High Park Holdings Ltd., or High Park, our wholly owned subsidiary formed to serve the pending adult-use market in Canada. The distribution and marketing of these brands and products would be in compliance with all requirements under federal and provincial legislation, including strict marketing regulations which may make it more difficult for us to develop our adult-use brands. Following the adoption of such legislation, we expect to see new entrants into the market. While it is currently proposed that existing holders of licenses relating to medical cannabis, including us, will be automatically licensed for the adult-use market, other individuals and corporations would be able to apply for such licenses if the adult-use legalization legislation is adopted in Canada.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55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9556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Operations</w:t>
      </w:r>
    </w:p>
    <w:p>
      <w:pPr>
        <w:spacing w:after="0" w:line="85" w:lineRule="exact"/>
        <w:rPr>
          <w:sz w:val="20"/>
          <w:szCs w:val="20"/>
          <w:color w:val="auto"/>
        </w:rPr>
      </w:pPr>
    </w:p>
    <w:p>
      <w:pPr>
        <w:ind w:left="380" w:right="100" w:firstLine="320"/>
        <w:spacing w:after="0" w:line="246" w:lineRule="auto"/>
        <w:rPr>
          <w:sz w:val="20"/>
          <w:szCs w:val="20"/>
          <w:color w:val="auto"/>
        </w:rPr>
      </w:pPr>
      <w:r>
        <w:rPr>
          <w:rFonts w:ascii="Arial" w:cs="Arial" w:eastAsia="Arial" w:hAnsi="Arial"/>
          <w:sz w:val="18"/>
          <w:szCs w:val="18"/>
          <w:color w:val="auto"/>
        </w:rPr>
        <w:t>We are building a multinational supply chain and distribution network to capitalize on the global medical cannabis market and the anticipated adult-use market in Canada.</w:t>
      </w:r>
    </w:p>
    <w:p>
      <w:pPr>
        <w:spacing w:after="0" w:line="197" w:lineRule="exact"/>
        <w:rPr>
          <w:sz w:val="20"/>
          <w:szCs w:val="20"/>
          <w:color w:val="auto"/>
        </w:rPr>
      </w:pPr>
    </w:p>
    <w:p>
      <w:pPr>
        <w:ind w:left="380" w:right="80" w:firstLine="320"/>
        <w:spacing w:after="0" w:line="237" w:lineRule="auto"/>
        <w:rPr>
          <w:sz w:val="20"/>
          <w:szCs w:val="20"/>
          <w:color w:val="auto"/>
        </w:rPr>
      </w:pPr>
      <w:r>
        <w:rPr>
          <w:rFonts w:ascii="Arial" w:cs="Arial" w:eastAsia="Arial" w:hAnsi="Arial"/>
          <w:sz w:val="18"/>
          <w:szCs w:val="18"/>
          <w:color w:val="auto"/>
        </w:rPr>
        <w:t>We have offices in Seattle, Nanaimo, Toronto, Berlin and Sydney, licensed cultivation facilities in British Columbia, Ontario and Portugal and a new manufacturing facility in development in Ontario, Canada. Once we complete the initial development of additional production facilities and have obtained the required amendments to our licenses to produce cannabis and cannabis oil at those facilities, we believe that our total production space across all facilities worldwide will total approximately 886,000 square feet by the end of 2018. We believe our current facilities together with the maximum potential development of the parcels we currently own or lease would be more than 1.9 million square feet by the end of 2019.</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Sales and Distribution</w:t>
      </w:r>
    </w:p>
    <w:p>
      <w:pPr>
        <w:spacing w:after="0" w:line="63" w:lineRule="exact"/>
        <w:rPr>
          <w:sz w:val="20"/>
          <w:szCs w:val="20"/>
          <w:color w:val="auto"/>
        </w:rPr>
      </w:pPr>
    </w:p>
    <w:p>
      <w:pPr>
        <w:ind w:left="380" w:right="180" w:firstLine="320"/>
        <w:spacing w:after="0" w:line="238" w:lineRule="auto"/>
        <w:rPr>
          <w:sz w:val="20"/>
          <w:szCs w:val="20"/>
          <w:color w:val="auto"/>
        </w:rPr>
      </w:pPr>
      <w:r>
        <w:rPr>
          <w:rFonts w:ascii="Arial" w:cs="Arial" w:eastAsia="Arial" w:hAnsi="Arial"/>
          <w:sz w:val="18"/>
          <w:szCs w:val="18"/>
          <w:b w:val="1"/>
          <w:bCs w:val="1"/>
          <w:i w:val="1"/>
          <w:iCs w:val="1"/>
          <w:color w:val="auto"/>
        </w:rPr>
        <w:t xml:space="preserve">Pharmaceutical distribution and pharmacy supply agreements. </w:t>
      </w:r>
      <w:r>
        <w:rPr>
          <w:rFonts w:ascii="Arial" w:cs="Arial" w:eastAsia="Arial" w:hAnsi="Arial"/>
          <w:sz w:val="18"/>
          <w:szCs w:val="18"/>
          <w:color w:val="auto"/>
        </w:rPr>
        <w:t>We work with established pharmaceutical distributors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pharmacy suppliers to sell our products around the world. In Canada, we have entered into a definitive agreement to supply a major pharmacy chain and signed an exclusive, binding letter of intent with Sandoz Canada Inc., or Sandoz Canada, a division of Novartis AG, or Novartis, to market our non-combustible products to health care practitioners and pharmacists and to co-develop new cannabis products. The parties are currently performing their obligations under this letter of intent and working to finalize a definitive agreement. In Germany, we have partnered with Noweda eG Apothekergenossenschaft, or Noweda, a cooperative comprised of approximately 9,000 pharmacists with a network of 16,000 pharmacies throughout Germany and one of the largest wholesalers of pharmaceutical products in Germany. Elsewhere around the world, we have agreements with distributors in Argentina, Australia, Brazil, Chile, Croatia, Cyprus, the Czech Republic, New Zealand and South Africa, pursuant to which we are currently selling our products. We also have agreements in place with distributors in Brazil and Peru, though our products are not currently available in these countries.</w:t>
      </w:r>
    </w:p>
    <w:p>
      <w:pPr>
        <w:spacing w:after="0" w:line="187" w:lineRule="exact"/>
        <w:rPr>
          <w:sz w:val="20"/>
          <w:szCs w:val="20"/>
          <w:color w:val="auto"/>
        </w:rPr>
      </w:pPr>
    </w:p>
    <w:p>
      <w:pPr>
        <w:ind w:left="380" w:firstLine="320"/>
        <w:spacing w:after="0" w:line="242" w:lineRule="auto"/>
        <w:rPr>
          <w:sz w:val="20"/>
          <w:szCs w:val="20"/>
          <w:color w:val="auto"/>
        </w:rPr>
      </w:pPr>
      <w:r>
        <w:rPr>
          <w:rFonts w:ascii="Arial" w:cs="Arial" w:eastAsia="Arial" w:hAnsi="Arial"/>
          <w:sz w:val="18"/>
          <w:szCs w:val="18"/>
          <w:b w:val="1"/>
          <w:bCs w:val="1"/>
          <w:i w:val="1"/>
          <w:iCs w:val="1"/>
          <w:color w:val="auto"/>
        </w:rPr>
        <w:t xml:space="preserve">Adult-use supply agreements. </w:t>
      </w:r>
      <w:r>
        <w:rPr>
          <w:rFonts w:ascii="Arial" w:cs="Arial" w:eastAsia="Arial" w:hAnsi="Arial"/>
          <w:sz w:val="18"/>
          <w:szCs w:val="18"/>
          <w:color w:val="auto"/>
        </w:rPr>
        <w:t>In anticipation of adult-use legalization in Canada in 2018, we have negotiated agreements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supply certain provinces and territories with cannabis products, subject to the adoption of authorizing legislation. To date we have entered into definitive agreements to supply the province of Quebec and the territory of the Yukon as well as a letter of intent to supply the province of Manitoba. We are in the process of finalizing a definitive agreement with Manitoba. We expect to announce additional supply agreements with government-owned corporations, or crown corporations, or private entities in Alberta, British Columbia and Ontario, as well as provinces in Atlantic Canada.</w:t>
      </w:r>
    </w:p>
    <w:p>
      <w:pPr>
        <w:spacing w:after="0" w:line="179" w:lineRule="exact"/>
        <w:rPr>
          <w:sz w:val="20"/>
          <w:szCs w:val="20"/>
          <w:color w:val="auto"/>
        </w:rPr>
      </w:pPr>
    </w:p>
    <w:p>
      <w:pPr>
        <w:ind w:left="380" w:right="20" w:firstLine="320"/>
        <w:spacing w:after="0" w:line="247" w:lineRule="auto"/>
        <w:rPr>
          <w:sz w:val="20"/>
          <w:szCs w:val="20"/>
          <w:color w:val="auto"/>
        </w:rPr>
      </w:pPr>
      <w:r>
        <w:rPr>
          <w:rFonts w:ascii="Arial" w:cs="Arial" w:eastAsia="Arial" w:hAnsi="Arial"/>
          <w:sz w:val="18"/>
          <w:szCs w:val="18"/>
          <w:b w:val="1"/>
          <w:bCs w:val="1"/>
          <w:i w:val="1"/>
          <w:iCs w:val="1"/>
          <w:color w:val="auto"/>
        </w:rPr>
        <w:t xml:space="preserve">Direct-to-patient. </w:t>
      </w:r>
      <w:r>
        <w:rPr>
          <w:rFonts w:ascii="Arial" w:cs="Arial" w:eastAsia="Arial" w:hAnsi="Arial"/>
          <w:sz w:val="18"/>
          <w:szCs w:val="18"/>
          <w:color w:val="auto"/>
        </w:rPr>
        <w:t>In Canada, medical cannabis patients registered under the Access to Cannabis for Medical Purposes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or ACMPR, order from us primarily through our e-commerce platform or over the phone. In Canada, medical cannabis is and will continue to be delivered by secured courier or other methods permitted by the ACMPR. The direct-to-patient, or DTP, channel accounts for the majority of our medical sales.</w:t>
      </w:r>
    </w:p>
    <w:p>
      <w:pPr>
        <w:spacing w:after="0" w:line="174" w:lineRule="exact"/>
        <w:rPr>
          <w:sz w:val="20"/>
          <w:szCs w:val="20"/>
          <w:color w:val="auto"/>
        </w:rPr>
      </w:pPr>
    </w:p>
    <w:p>
      <w:pPr>
        <w:ind w:left="380" w:right="360" w:firstLine="320"/>
        <w:spacing w:after="0" w:line="271" w:lineRule="auto"/>
        <w:rPr>
          <w:sz w:val="20"/>
          <w:szCs w:val="20"/>
          <w:color w:val="auto"/>
        </w:rPr>
      </w:pPr>
      <w:r>
        <w:rPr>
          <w:rFonts w:ascii="Arial" w:cs="Arial" w:eastAsia="Arial" w:hAnsi="Arial"/>
          <w:sz w:val="18"/>
          <w:szCs w:val="18"/>
          <w:b w:val="1"/>
          <w:bCs w:val="1"/>
          <w:i w:val="1"/>
          <w:iCs w:val="1"/>
          <w:color w:val="auto"/>
        </w:rPr>
        <w:t xml:space="preserve">Direct-to-consumer. </w:t>
      </w:r>
      <w:r>
        <w:rPr>
          <w:rFonts w:ascii="Arial" w:cs="Arial" w:eastAsia="Arial" w:hAnsi="Arial"/>
          <w:sz w:val="18"/>
          <w:szCs w:val="18"/>
          <w:color w:val="auto"/>
        </w:rPr>
        <w:t>We anticipate direct-to-consumer, or DTC, will be a component of our adult-use sales that are not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supply agreements with crown corporations and private retailers.</w:t>
      </w:r>
    </w:p>
    <w:p>
      <w:pPr>
        <w:spacing w:after="0" w:line="154" w:lineRule="exact"/>
        <w:rPr>
          <w:sz w:val="20"/>
          <w:szCs w:val="20"/>
          <w:color w:val="auto"/>
        </w:rPr>
      </w:pPr>
    </w:p>
    <w:p>
      <w:pPr>
        <w:ind w:left="380" w:right="280" w:firstLine="320"/>
        <w:spacing w:after="0" w:line="247" w:lineRule="auto"/>
        <w:rPr>
          <w:sz w:val="20"/>
          <w:szCs w:val="20"/>
          <w:color w:val="auto"/>
        </w:rPr>
      </w:pPr>
      <w:r>
        <w:rPr>
          <w:rFonts w:ascii="Arial" w:cs="Arial" w:eastAsia="Arial" w:hAnsi="Arial"/>
          <w:sz w:val="18"/>
          <w:szCs w:val="18"/>
          <w:b w:val="1"/>
          <w:bCs w:val="1"/>
          <w:i w:val="1"/>
          <w:iCs w:val="1"/>
          <w:color w:val="auto"/>
        </w:rPr>
        <w:t xml:space="preserve">Wholesale. </w:t>
      </w:r>
      <w:r>
        <w:rPr>
          <w:rFonts w:ascii="Arial" w:cs="Arial" w:eastAsia="Arial" w:hAnsi="Arial"/>
          <w:sz w:val="18"/>
          <w:szCs w:val="18"/>
          <w:color w:val="auto"/>
        </w:rPr>
        <w:t>In Canada, we are also authorized under the ACMPR to wholesale bulk dried cannabis flower and bulk formulated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unformulated oil to others that have been issued a license to produce cannabis and cannabis oil by Health Canada under the ACMPR, or Licensed Producers. We believe there is the potential to wholesale finished, packaged products to other Licensed Producers, and we intend to pursue this sales channel as a part of our adult-use and medical-use growth strategies in Canada.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41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0413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Emerging Growth Company Status</w:t>
      </w:r>
    </w:p>
    <w:p>
      <w:pPr>
        <w:spacing w:after="0" w:line="8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therefore, we intend to take advantage of certain exemptions from various public company reporting requirements, including not being required to have our internal control over financial reporting audited by an independent registered public accounting firm pursuant to Section 404(b)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 The JOBS Act also permits us, as an emerging growth company, to take advantage of an extended transition period to comply with new or revised accounting standards applicable to public companies. We may take advantage of these exemptions for up to five years or until we are no longer an “emerging growth company,” whichever occurs earlier.</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80" w:right="80" w:firstLine="426"/>
        <w:spacing w:after="0" w:line="253" w:lineRule="auto"/>
        <w:rPr>
          <w:sz w:val="20"/>
          <w:szCs w:val="20"/>
          <w:color w:val="auto"/>
        </w:rPr>
      </w:pPr>
      <w:r>
        <w:rPr>
          <w:rFonts w:ascii="Arial" w:cs="Arial" w:eastAsia="Arial" w:hAnsi="Arial"/>
          <w:sz w:val="17"/>
          <w:szCs w:val="17"/>
          <w:color w:val="auto"/>
        </w:rPr>
        <w:t>Tilray, Inc. was incorporated in Delaware in January 2018. We are, and following this offering and the related transactions, we will be a holding company whose sole material asset will consist of the outstanding equity interests of Decatur Holdings, BV, a Dutch private limited liability company, or Decatur, which owns all of the outstanding equity interests of our direct and indirect subsidiaries through which we operate our business. Prior to January 2018, we operated our business under Decatur, which was formed in March 2016. Our principal executive offices are located at 1100 Maughan Road, Nanaimo, BC, Canada V9X 1J2 and our telephone number is (844) 845-7291. Our corporate website address is www.tilray.com. Information contained on or accessible through our website is not a part of this prospectus, and the inclusion of our website address in this prospectus is an inactive textual reference only.</w:t>
      </w:r>
    </w:p>
    <w:p>
      <w:pPr>
        <w:spacing w:after="0" w:line="192" w:lineRule="exact"/>
        <w:rPr>
          <w:sz w:val="20"/>
          <w:szCs w:val="20"/>
          <w:color w:val="auto"/>
        </w:rPr>
      </w:pPr>
    </w:p>
    <w:p>
      <w:pPr>
        <w:ind w:left="380" w:right="300" w:firstLine="320"/>
        <w:spacing w:after="0" w:line="246" w:lineRule="auto"/>
        <w:rPr>
          <w:sz w:val="20"/>
          <w:szCs w:val="20"/>
          <w:color w:val="auto"/>
        </w:rPr>
      </w:pPr>
      <w:r>
        <w:rPr>
          <w:rFonts w:ascii="Arial" w:cs="Arial" w:eastAsia="Arial" w:hAnsi="Arial"/>
          <w:sz w:val="18"/>
          <w:szCs w:val="18"/>
          <w:color w:val="auto"/>
        </w:rPr>
        <w:t>We have nine wholly owned direct and indirect subsidiaries. The following chart illustrates, as of the date hereof, our corporate structure including details of the jurisdiction of formation of each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059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10591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 xml:space="preserve">Tilray, our logo and our other registered or common law trademarks, trade names or service marks appearing in this prospectus are owned by us.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of the applicable licensor to these trademarks and trade names. Unless otherwise stated in this prospectus,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9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58699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3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Class 2 common stock offered by us</w:t>
      </w:r>
    </w:p>
    <w:p>
      <w:pPr>
        <w:spacing w:after="0" w:line="212" w:lineRule="exact"/>
        <w:rPr>
          <w:sz w:val="20"/>
          <w:szCs w:val="20"/>
          <w:color w:val="auto"/>
        </w:rPr>
      </w:pPr>
    </w:p>
    <w:p>
      <w:pPr>
        <w:ind w:left="380" w:right="300"/>
        <w:spacing w:after="0" w:line="496" w:lineRule="auto"/>
        <w:rPr>
          <w:sz w:val="20"/>
          <w:szCs w:val="20"/>
          <w:color w:val="auto"/>
        </w:rPr>
      </w:pPr>
      <w:r>
        <w:rPr>
          <w:rFonts w:ascii="Arial" w:cs="Arial" w:eastAsia="Arial" w:hAnsi="Arial"/>
          <w:sz w:val="18"/>
          <w:szCs w:val="18"/>
          <w:color w:val="auto"/>
        </w:rPr>
        <w:t>Class 2 common stock to be outstanding after this offering Class 1 common stock to be outstanding after this offering</w:t>
      </w:r>
    </w:p>
    <w:p>
      <w:pPr>
        <w:spacing w:after="0" w:line="3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Over-allotment option to purchase additional shares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shares</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shares</w:t>
      </w:r>
    </w:p>
    <w:p>
      <w:pPr>
        <w:spacing w:after="0" w:line="207"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75,000,000 shares (representing approximately</w:t>
      </w:r>
      <w:r>
        <w:rPr>
          <w:sz w:val="20"/>
          <w:szCs w:val="20"/>
          <w:color w:val="auto"/>
        </w:rPr>
        <w:tab/>
      </w:r>
      <w:r>
        <w:rPr>
          <w:rFonts w:ascii="Arial" w:cs="Arial" w:eastAsia="Arial" w:hAnsi="Arial"/>
          <w:sz w:val="18"/>
          <w:szCs w:val="18"/>
          <w:color w:val="auto"/>
        </w:rPr>
        <w:t>% of our</w:t>
      </w:r>
    </w:p>
    <w:p>
      <w:pPr>
        <w:spacing w:after="0"/>
        <w:tabs>
          <w:tab w:leader="none" w:pos="1860" w:val="left"/>
        </w:tabs>
        <w:rPr>
          <w:sz w:val="20"/>
          <w:szCs w:val="20"/>
          <w:color w:val="auto"/>
        </w:rPr>
      </w:pPr>
      <w:r>
        <w:rPr>
          <w:rFonts w:ascii="Arial" w:cs="Arial" w:eastAsia="Arial" w:hAnsi="Arial"/>
          <w:sz w:val="18"/>
          <w:szCs w:val="18"/>
          <w:color w:val="auto"/>
        </w:rPr>
        <w:t>equity interest and</w:t>
      </w:r>
      <w:r>
        <w:rPr>
          <w:sz w:val="20"/>
          <w:szCs w:val="20"/>
          <w:color w:val="auto"/>
        </w:rPr>
        <w:tab/>
      </w:r>
      <w:r>
        <w:rPr>
          <w:rFonts w:ascii="Arial" w:cs="Arial" w:eastAsia="Arial" w:hAnsi="Arial"/>
          <w:sz w:val="17"/>
          <w:szCs w:val="17"/>
          <w:color w:val="auto"/>
        </w:rPr>
        <w:t>% of the voting power of our capital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have granted the underwriters a 30-day over-allotment</w:t>
      </w:r>
    </w:p>
    <w:p>
      <w:pPr>
        <w:ind w:right="300"/>
        <w:spacing w:after="0"/>
        <w:rPr>
          <w:sz w:val="20"/>
          <w:szCs w:val="20"/>
          <w:color w:val="auto"/>
        </w:rPr>
      </w:pPr>
      <w:r>
        <w:rPr>
          <w:rFonts w:ascii="Arial" w:cs="Arial" w:eastAsia="Arial" w:hAnsi="Arial"/>
          <w:sz w:val="18"/>
          <w:szCs w:val="18"/>
          <w:color w:val="auto"/>
        </w:rPr>
        <w:t>option to purchase up to additional shares of our Class 2 common stock at the public offering price, less the underwriting discount.</w:t>
      </w:r>
    </w:p>
    <w:p>
      <w:pPr>
        <w:spacing w:after="0" w:line="200" w:lineRule="exact"/>
        <w:rPr>
          <w:sz w:val="20"/>
          <w:szCs w:val="20"/>
          <w:color w:val="auto"/>
        </w:rPr>
      </w:pPr>
    </w:p>
    <w:p>
      <w:pPr>
        <w:sectPr>
          <w:pgSz w:w="11900" w:h="16838" w:orient="portrait"/>
          <w:cols w:equalWidth="0" w:num="2">
            <w:col w:w="5320" w:space="720"/>
            <w:col w:w="5200"/>
          </w:cols>
          <w:pgMar w:left="240" w:top="459" w:right="419" w:bottom="1440" w:gutter="0" w:footer="0" w:header="0"/>
          <w:type w:val="continuous"/>
        </w:sectPr>
      </w:pPr>
    </w:p>
    <w:p>
      <w:pPr>
        <w:spacing w:after="0" w:line="1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960" w:type="dxa"/>
            <w:vAlign w:val="bottom"/>
          </w:tcPr>
          <w:p>
            <w:pPr>
              <w:ind w:left="180"/>
              <w:spacing w:after="0"/>
              <w:rPr>
                <w:sz w:val="20"/>
                <w:szCs w:val="20"/>
                <w:color w:val="auto"/>
              </w:rPr>
            </w:pPr>
            <w:r>
              <w:rPr>
                <w:rFonts w:ascii="Arial" w:cs="Arial" w:eastAsia="Arial" w:hAnsi="Arial"/>
                <w:sz w:val="18"/>
                <w:szCs w:val="18"/>
                <w:color w:val="auto"/>
              </w:rPr>
              <w:t>Voting and conversion rights</w:t>
            </w:r>
          </w:p>
        </w:tc>
        <w:tc>
          <w:tcPr>
            <w:tcW w:w="7080" w:type="dxa"/>
            <w:vAlign w:val="bottom"/>
            <w:gridSpan w:val="3"/>
          </w:tcPr>
          <w:p>
            <w:pPr>
              <w:ind w:left="1880"/>
              <w:spacing w:after="0"/>
              <w:rPr>
                <w:sz w:val="20"/>
                <w:szCs w:val="20"/>
                <w:color w:val="auto"/>
              </w:rPr>
            </w:pPr>
            <w:r>
              <w:rPr>
                <w:rFonts w:ascii="Arial" w:cs="Arial" w:eastAsia="Arial" w:hAnsi="Arial"/>
                <w:sz w:val="18"/>
                <w:szCs w:val="18"/>
                <w:color w:val="auto"/>
              </w:rPr>
              <w:t>We have two classes of authorized common stock: Class 1</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common stock and Class 2 common stock. The rights of the</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holders of Class 1 common stock and Class 2 common stock</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are identical except with respect to voting and conversion</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rights. The holders of Class 1 common stock are entitled to</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three votes per share and the holders of Class 2 common</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stock are entitled to one vote per share on all matters that are</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subject to stockholder vote. Each share of Class 1 common</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stock may be converted into one share of Class 2 common</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stock at the option of its holder and will be automatically</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converted into one share of Class 2 common stock upon</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transfer thereof, subject to certain exceptions. In addition,</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upon the date on which the outstanding shares of Class 1</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common stock represent less than 10% of the aggregate</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number of Class 1 common stock and Class 2 common stock</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then outstanding, all outstanding shares of Class 1 common</w:t>
            </w:r>
          </w:p>
        </w:tc>
      </w:tr>
      <w:tr>
        <w:trPr>
          <w:trHeight w:val="185"/>
        </w:trPr>
        <w:tc>
          <w:tcPr>
            <w:tcW w:w="3960" w:type="dxa"/>
            <w:vAlign w:val="bottom"/>
          </w:tcPr>
          <w:p>
            <w:pPr>
              <w:spacing w:after="0"/>
              <w:rPr>
                <w:sz w:val="16"/>
                <w:szCs w:val="16"/>
                <w:color w:val="auto"/>
              </w:rPr>
            </w:pPr>
          </w:p>
        </w:tc>
        <w:tc>
          <w:tcPr>
            <w:tcW w:w="7080" w:type="dxa"/>
            <w:vAlign w:val="bottom"/>
            <w:gridSpan w:val="3"/>
          </w:tcPr>
          <w:p>
            <w:pPr>
              <w:ind w:left="1880"/>
              <w:spacing w:after="0" w:line="185" w:lineRule="exact"/>
              <w:rPr>
                <w:sz w:val="20"/>
                <w:szCs w:val="20"/>
                <w:color w:val="auto"/>
              </w:rPr>
            </w:pPr>
            <w:r>
              <w:rPr>
                <w:rFonts w:ascii="Arial" w:cs="Arial" w:eastAsia="Arial" w:hAnsi="Arial"/>
                <w:sz w:val="18"/>
                <w:szCs w:val="18"/>
                <w:color w:val="auto"/>
              </w:rPr>
              <w:t>stock shall convert automatically into Class 2 common stock.</w:t>
            </w:r>
          </w:p>
        </w:tc>
      </w:tr>
      <w:tr>
        <w:trPr>
          <w:trHeight w:val="221"/>
        </w:trPr>
        <w:tc>
          <w:tcPr>
            <w:tcW w:w="3960" w:type="dxa"/>
            <w:vAlign w:val="bottom"/>
          </w:tcPr>
          <w:p>
            <w:pPr>
              <w:spacing w:after="0"/>
              <w:rPr>
                <w:sz w:val="19"/>
                <w:szCs w:val="19"/>
                <w:color w:val="auto"/>
              </w:rPr>
            </w:pPr>
          </w:p>
        </w:tc>
        <w:tc>
          <w:tcPr>
            <w:tcW w:w="7080" w:type="dxa"/>
            <w:vAlign w:val="bottom"/>
            <w:gridSpan w:val="3"/>
          </w:tcPr>
          <w:p>
            <w:pPr>
              <w:ind w:left="188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 for</w:t>
            </w:r>
          </w:p>
        </w:tc>
      </w:tr>
      <w:tr>
        <w:trPr>
          <w:trHeight w:val="217"/>
        </w:trPr>
        <w:tc>
          <w:tcPr>
            <w:tcW w:w="3960" w:type="dxa"/>
            <w:vAlign w:val="bottom"/>
          </w:tcPr>
          <w:p>
            <w:pPr>
              <w:spacing w:after="0"/>
              <w:rPr>
                <w:sz w:val="18"/>
                <w:szCs w:val="18"/>
                <w:color w:val="auto"/>
              </w:rPr>
            </w:pP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additional information.</w:t>
            </w:r>
          </w:p>
        </w:tc>
        <w:tc>
          <w:tcPr>
            <w:tcW w:w="3220" w:type="dxa"/>
            <w:vAlign w:val="bottom"/>
          </w:tcPr>
          <w:p>
            <w:pPr>
              <w:spacing w:after="0"/>
              <w:rPr>
                <w:sz w:val="18"/>
                <w:szCs w:val="18"/>
                <w:color w:val="auto"/>
              </w:rPr>
            </w:pPr>
          </w:p>
        </w:tc>
      </w:tr>
      <w:tr>
        <w:trPr>
          <w:trHeight w:val="404"/>
        </w:trPr>
        <w:tc>
          <w:tcPr>
            <w:tcW w:w="39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7080" w:type="dxa"/>
            <w:vAlign w:val="bottom"/>
            <w:gridSpan w:val="3"/>
          </w:tcPr>
          <w:p>
            <w:pPr>
              <w:ind w:left="1880"/>
              <w:spacing w:after="0"/>
              <w:rPr>
                <w:sz w:val="20"/>
                <w:szCs w:val="20"/>
                <w:color w:val="auto"/>
              </w:rPr>
            </w:pPr>
            <w:r>
              <w:rPr>
                <w:rFonts w:ascii="Arial" w:cs="Arial" w:eastAsia="Arial" w:hAnsi="Arial"/>
                <w:sz w:val="18"/>
                <w:szCs w:val="18"/>
                <w:color w:val="auto"/>
              </w:rPr>
              <w:t>We estimate that the net proceeds to us from this offering will</w:t>
            </w:r>
          </w:p>
        </w:tc>
      </w:tr>
      <w:tr>
        <w:trPr>
          <w:trHeight w:val="203"/>
        </w:trPr>
        <w:tc>
          <w:tcPr>
            <w:tcW w:w="3960" w:type="dxa"/>
            <w:vAlign w:val="bottom"/>
          </w:tcPr>
          <w:p>
            <w:pPr>
              <w:spacing w:after="0"/>
              <w:rPr>
                <w:sz w:val="17"/>
                <w:szCs w:val="17"/>
                <w:color w:val="auto"/>
              </w:rPr>
            </w:pPr>
          </w:p>
        </w:tc>
        <w:tc>
          <w:tcPr>
            <w:tcW w:w="3860" w:type="dxa"/>
            <w:vAlign w:val="bottom"/>
            <w:gridSpan w:val="2"/>
          </w:tcPr>
          <w:p>
            <w:pPr>
              <w:ind w:left="1880"/>
              <w:spacing w:after="0" w:line="202" w:lineRule="exact"/>
              <w:rPr>
                <w:sz w:val="20"/>
                <w:szCs w:val="20"/>
                <w:color w:val="auto"/>
              </w:rPr>
            </w:pPr>
            <w:r>
              <w:rPr>
                <w:rFonts w:ascii="Arial" w:cs="Arial" w:eastAsia="Arial" w:hAnsi="Arial"/>
                <w:sz w:val="18"/>
                <w:szCs w:val="18"/>
                <w:color w:val="auto"/>
              </w:rPr>
              <w:t>be approximately $</w:t>
            </w:r>
          </w:p>
        </w:tc>
        <w:tc>
          <w:tcPr>
            <w:tcW w:w="3220" w:type="dxa"/>
            <w:vAlign w:val="bottom"/>
          </w:tcPr>
          <w:p>
            <w:pPr>
              <w:ind w:left="200"/>
              <w:spacing w:after="0" w:line="202" w:lineRule="exact"/>
              <w:rPr>
                <w:sz w:val="20"/>
                <w:szCs w:val="20"/>
                <w:color w:val="auto"/>
              </w:rPr>
            </w:pPr>
            <w:r>
              <w:rPr>
                <w:rFonts w:ascii="Arial" w:cs="Arial" w:eastAsia="Arial" w:hAnsi="Arial"/>
                <w:sz w:val="18"/>
                <w:szCs w:val="18"/>
                <w:color w:val="auto"/>
              </w:rPr>
              <w:t>million, or approximately $</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million if the underwriters exercise their over-allotment option</w:t>
            </w:r>
          </w:p>
        </w:tc>
      </w:tr>
      <w:tr>
        <w:trPr>
          <w:trHeight w:val="203"/>
        </w:trPr>
        <w:tc>
          <w:tcPr>
            <w:tcW w:w="3960" w:type="dxa"/>
            <w:vAlign w:val="bottom"/>
          </w:tcPr>
          <w:p>
            <w:pPr>
              <w:spacing w:after="0"/>
              <w:rPr>
                <w:sz w:val="17"/>
                <w:szCs w:val="17"/>
                <w:color w:val="auto"/>
              </w:rPr>
            </w:pPr>
          </w:p>
        </w:tc>
        <w:tc>
          <w:tcPr>
            <w:tcW w:w="7080" w:type="dxa"/>
            <w:vAlign w:val="bottom"/>
            <w:gridSpan w:val="3"/>
          </w:tcPr>
          <w:p>
            <w:pPr>
              <w:ind w:left="1880"/>
              <w:spacing w:after="0" w:line="202" w:lineRule="exact"/>
              <w:rPr>
                <w:sz w:val="20"/>
                <w:szCs w:val="20"/>
                <w:color w:val="auto"/>
              </w:rPr>
            </w:pPr>
            <w:r>
              <w:rPr>
                <w:rFonts w:ascii="Arial" w:cs="Arial" w:eastAsia="Arial" w:hAnsi="Arial"/>
                <w:sz w:val="18"/>
                <w:szCs w:val="18"/>
                <w:color w:val="auto"/>
              </w:rPr>
              <w:t>in full, based on an assumed initial public offering price of</w:t>
            </w:r>
          </w:p>
        </w:tc>
      </w:tr>
      <w:tr>
        <w:trPr>
          <w:trHeight w:val="203"/>
        </w:trPr>
        <w:tc>
          <w:tcPr>
            <w:tcW w:w="3960" w:type="dxa"/>
            <w:vAlign w:val="bottom"/>
          </w:tcPr>
          <w:p>
            <w:pPr>
              <w:spacing w:after="0"/>
              <w:rPr>
                <w:sz w:val="17"/>
                <w:szCs w:val="17"/>
                <w:color w:val="auto"/>
              </w:rPr>
            </w:pPr>
          </w:p>
        </w:tc>
        <w:tc>
          <w:tcPr>
            <w:tcW w:w="2300" w:type="dxa"/>
            <w:vAlign w:val="bottom"/>
          </w:tcPr>
          <w:p>
            <w:pPr>
              <w:ind w:left="1880"/>
              <w:spacing w:after="0" w:line="202" w:lineRule="exact"/>
              <w:rPr>
                <w:sz w:val="20"/>
                <w:szCs w:val="20"/>
                <w:color w:val="auto"/>
              </w:rPr>
            </w:pPr>
            <w:r>
              <w:rPr>
                <w:rFonts w:ascii="Arial" w:cs="Arial" w:eastAsia="Arial" w:hAnsi="Arial"/>
                <w:sz w:val="18"/>
                <w:szCs w:val="18"/>
                <w:color w:val="auto"/>
              </w:rPr>
              <w:t>$</w:t>
            </w:r>
          </w:p>
        </w:tc>
        <w:tc>
          <w:tcPr>
            <w:tcW w:w="478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per share, the midpoint of the price range set forth on</w:t>
            </w:r>
          </w:p>
        </w:tc>
      </w:tr>
      <w:tr>
        <w:trPr>
          <w:trHeight w:val="217"/>
        </w:trPr>
        <w:tc>
          <w:tcPr>
            <w:tcW w:w="3960" w:type="dxa"/>
            <w:vAlign w:val="bottom"/>
          </w:tcPr>
          <w:p>
            <w:pPr>
              <w:spacing w:after="0"/>
              <w:rPr>
                <w:sz w:val="18"/>
                <w:szCs w:val="18"/>
                <w:color w:val="auto"/>
              </w:rPr>
            </w:pPr>
          </w:p>
        </w:tc>
        <w:tc>
          <w:tcPr>
            <w:tcW w:w="3860" w:type="dxa"/>
            <w:vAlign w:val="bottom"/>
            <w:gridSpan w:val="2"/>
          </w:tcPr>
          <w:p>
            <w:pPr>
              <w:ind w:left="1880"/>
              <w:spacing w:after="0"/>
              <w:rPr>
                <w:sz w:val="20"/>
                <w:szCs w:val="20"/>
                <w:color w:val="auto"/>
              </w:rPr>
            </w:pPr>
            <w:r>
              <w:rPr>
                <w:rFonts w:ascii="Arial" w:cs="Arial" w:eastAsia="Arial" w:hAnsi="Arial"/>
                <w:sz w:val="18"/>
                <w:szCs w:val="18"/>
                <w:color w:val="auto"/>
              </w:rPr>
              <w:t>the cover page of</w:t>
            </w:r>
          </w:p>
        </w:tc>
        <w:tc>
          <w:tcPr>
            <w:tcW w:w="3220" w:type="dxa"/>
            <w:vAlign w:val="bottom"/>
          </w:tcPr>
          <w:p>
            <w:pPr>
              <w:spacing w:after="0"/>
              <w:rPr>
                <w:sz w:val="18"/>
                <w:szCs w:val="18"/>
                <w:color w:val="auto"/>
              </w:rPr>
            </w:pPr>
          </w:p>
        </w:tc>
      </w:tr>
      <w:tr>
        <w:trPr>
          <w:trHeight w:val="226"/>
        </w:trPr>
        <w:tc>
          <w:tcPr>
            <w:tcW w:w="39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r>
      <w:tr>
        <w:trPr>
          <w:trHeight w:val="604"/>
        </w:trPr>
        <w:tc>
          <w:tcPr>
            <w:tcW w:w="3960" w:type="dxa"/>
            <w:vAlign w:val="bottom"/>
          </w:tcPr>
          <w:p>
            <w:pPr>
              <w:spacing w:after="0"/>
              <w:rPr>
                <w:sz w:val="24"/>
                <w:szCs w:val="24"/>
                <w:color w:val="auto"/>
              </w:rPr>
            </w:pPr>
          </w:p>
        </w:tc>
        <w:tc>
          <w:tcPr>
            <w:tcW w:w="2300" w:type="dxa"/>
            <w:vAlign w:val="bottom"/>
          </w:tcPr>
          <w:p>
            <w:pPr>
              <w:ind w:left="1500"/>
              <w:spacing w:after="0"/>
              <w:rPr>
                <w:sz w:val="20"/>
                <w:szCs w:val="20"/>
                <w:color w:val="auto"/>
              </w:rPr>
            </w:pPr>
            <w:r>
              <w:rPr>
                <w:rFonts w:ascii="Arial" w:cs="Arial" w:eastAsia="Arial" w:hAnsi="Arial"/>
                <w:sz w:val="18"/>
                <w:szCs w:val="18"/>
                <w:color w:val="auto"/>
              </w:rPr>
              <w:t>8</w:t>
            </w:r>
          </w:p>
        </w:tc>
        <w:tc>
          <w:tcPr>
            <w:tcW w:w="156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132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513270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5920" w:type="dxa"/>
            <w:vAlign w:val="bottom"/>
            <w:gridSpan w:val="2"/>
          </w:tcPr>
          <w:p>
            <w:pPr>
              <w:ind w:left="940"/>
              <w:spacing w:after="0"/>
              <w:rPr>
                <w:sz w:val="20"/>
                <w:szCs w:val="20"/>
                <w:color w:val="auto"/>
              </w:rPr>
            </w:pPr>
            <w:r>
              <w:rPr>
                <w:rFonts w:ascii="Arial" w:cs="Arial" w:eastAsia="Arial" w:hAnsi="Arial"/>
                <w:sz w:val="18"/>
                <w:szCs w:val="18"/>
                <w:color w:val="auto"/>
              </w:rPr>
              <w:t>this prospectus, after deducting the estimated underwriting</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discount and estimated offering expenses payable by us. We</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are undertaking this offering in order to increase our liquidity</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and raise capital to further develop our cultivation and</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processing capacity. We intend to use the net proceeds of this</w:t>
            </w:r>
          </w:p>
        </w:tc>
      </w:tr>
      <w:tr>
        <w:trPr>
          <w:trHeight w:val="203"/>
        </w:trPr>
        <w:tc>
          <w:tcPr>
            <w:tcW w:w="4720" w:type="dxa"/>
            <w:vAlign w:val="bottom"/>
          </w:tcPr>
          <w:p>
            <w:pPr>
              <w:spacing w:after="0"/>
              <w:rPr>
                <w:sz w:val="17"/>
                <w:szCs w:val="17"/>
                <w:color w:val="auto"/>
              </w:rPr>
            </w:pPr>
          </w:p>
        </w:tc>
        <w:tc>
          <w:tcPr>
            <w:tcW w:w="4360" w:type="dxa"/>
            <w:vAlign w:val="bottom"/>
          </w:tcPr>
          <w:p>
            <w:pPr>
              <w:ind w:left="940"/>
              <w:spacing w:after="0" w:line="202" w:lineRule="exact"/>
              <w:rPr>
                <w:sz w:val="20"/>
                <w:szCs w:val="20"/>
                <w:color w:val="auto"/>
              </w:rPr>
            </w:pPr>
            <w:r>
              <w:rPr>
                <w:rFonts w:ascii="Arial" w:cs="Arial" w:eastAsia="Arial" w:hAnsi="Arial"/>
                <w:sz w:val="18"/>
                <w:szCs w:val="18"/>
                <w:color w:val="auto"/>
              </w:rPr>
              <w:t>offering as follows: (i) approximately $</w:t>
            </w:r>
          </w:p>
        </w:tc>
        <w:tc>
          <w:tcPr>
            <w:tcW w:w="1560" w:type="dxa"/>
            <w:vAlign w:val="bottom"/>
          </w:tcPr>
          <w:p>
            <w:pPr>
              <w:ind w:left="460"/>
              <w:spacing w:after="0" w:line="202" w:lineRule="exact"/>
              <w:rPr>
                <w:sz w:val="20"/>
                <w:szCs w:val="20"/>
                <w:color w:val="auto"/>
              </w:rPr>
            </w:pPr>
            <w:r>
              <w:rPr>
                <w:rFonts w:ascii="Arial" w:cs="Arial" w:eastAsia="Arial" w:hAnsi="Arial"/>
                <w:sz w:val="18"/>
                <w:szCs w:val="18"/>
                <w:color w:val="auto"/>
              </w:rPr>
              <w:t>to fund the</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build out of cultivation and processing capacity at our</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Enniskillen, Ontario, London, Ontario, and Cantanhede,</w:t>
            </w:r>
          </w:p>
        </w:tc>
      </w:tr>
      <w:tr>
        <w:trPr>
          <w:trHeight w:val="203"/>
        </w:trPr>
        <w:tc>
          <w:tcPr>
            <w:tcW w:w="4720" w:type="dxa"/>
            <w:vAlign w:val="bottom"/>
          </w:tcPr>
          <w:p>
            <w:pPr>
              <w:spacing w:after="0"/>
              <w:rPr>
                <w:sz w:val="17"/>
                <w:szCs w:val="17"/>
                <w:color w:val="auto"/>
              </w:rPr>
            </w:pPr>
          </w:p>
        </w:tc>
        <w:tc>
          <w:tcPr>
            <w:tcW w:w="4360" w:type="dxa"/>
            <w:vAlign w:val="bottom"/>
          </w:tcPr>
          <w:p>
            <w:pPr>
              <w:ind w:left="940"/>
              <w:spacing w:after="0" w:line="202" w:lineRule="exact"/>
              <w:rPr>
                <w:sz w:val="20"/>
                <w:szCs w:val="20"/>
                <w:color w:val="auto"/>
              </w:rPr>
            </w:pPr>
            <w:r>
              <w:rPr>
                <w:rFonts w:ascii="Arial" w:cs="Arial" w:eastAsia="Arial" w:hAnsi="Arial"/>
                <w:sz w:val="18"/>
                <w:szCs w:val="18"/>
                <w:color w:val="auto"/>
              </w:rPr>
              <w:t>Portugal facilities; (ii) approximately $</w:t>
            </w:r>
          </w:p>
        </w:tc>
        <w:tc>
          <w:tcPr>
            <w:tcW w:w="1560" w:type="dxa"/>
            <w:vAlign w:val="bottom"/>
          </w:tcPr>
          <w:p>
            <w:pPr>
              <w:ind w:left="420"/>
              <w:spacing w:after="0" w:line="202" w:lineRule="exact"/>
              <w:rPr>
                <w:sz w:val="20"/>
                <w:szCs w:val="20"/>
                <w:color w:val="auto"/>
              </w:rPr>
            </w:pPr>
            <w:r>
              <w:rPr>
                <w:rFonts w:ascii="Arial" w:cs="Arial" w:eastAsia="Arial" w:hAnsi="Arial"/>
                <w:sz w:val="18"/>
                <w:szCs w:val="18"/>
                <w:color w:val="auto"/>
              </w:rPr>
              <w:t>to repay</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w w:val="99"/>
              </w:rPr>
              <w:t>outstanding principal and interest under the Privateer Holdings</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debt facilities which we have used for working capital and</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general corporate purposes; and (iii) the remainder, if any, for</w:t>
            </w:r>
          </w:p>
        </w:tc>
      </w:tr>
      <w:tr>
        <w:trPr>
          <w:trHeight w:val="185"/>
        </w:trPr>
        <w:tc>
          <w:tcPr>
            <w:tcW w:w="4720" w:type="dxa"/>
            <w:vAlign w:val="bottom"/>
          </w:tcPr>
          <w:p>
            <w:pPr>
              <w:spacing w:after="0"/>
              <w:rPr>
                <w:sz w:val="16"/>
                <w:szCs w:val="16"/>
                <w:color w:val="auto"/>
              </w:rPr>
            </w:pPr>
          </w:p>
        </w:tc>
        <w:tc>
          <w:tcPr>
            <w:tcW w:w="5920" w:type="dxa"/>
            <w:vAlign w:val="bottom"/>
            <w:gridSpan w:val="2"/>
          </w:tcPr>
          <w:p>
            <w:pPr>
              <w:ind w:left="940"/>
              <w:spacing w:after="0" w:line="185" w:lineRule="exact"/>
              <w:rPr>
                <w:sz w:val="20"/>
                <w:szCs w:val="20"/>
                <w:color w:val="auto"/>
              </w:rPr>
            </w:pPr>
            <w:r>
              <w:rPr>
                <w:rFonts w:ascii="Arial" w:cs="Arial" w:eastAsia="Arial" w:hAnsi="Arial"/>
                <w:sz w:val="18"/>
                <w:szCs w:val="18"/>
                <w:color w:val="auto"/>
              </w:rPr>
              <w:t>working capital, future acquisitions and general corporate</w:t>
            </w:r>
          </w:p>
        </w:tc>
      </w:tr>
      <w:tr>
        <w:trPr>
          <w:trHeight w:val="221"/>
        </w:trPr>
        <w:tc>
          <w:tcPr>
            <w:tcW w:w="4720" w:type="dxa"/>
            <w:vAlign w:val="bottom"/>
          </w:tcPr>
          <w:p>
            <w:pPr>
              <w:spacing w:after="0"/>
              <w:rPr>
                <w:sz w:val="19"/>
                <w:szCs w:val="19"/>
                <w:color w:val="auto"/>
              </w:rPr>
            </w:pPr>
          </w:p>
        </w:tc>
        <w:tc>
          <w:tcPr>
            <w:tcW w:w="5920" w:type="dxa"/>
            <w:vAlign w:val="bottom"/>
            <w:gridSpan w:val="2"/>
          </w:tcPr>
          <w:p>
            <w:pPr>
              <w:ind w:left="940"/>
              <w:spacing w:after="0"/>
              <w:rPr>
                <w:sz w:val="20"/>
                <w:szCs w:val="20"/>
                <w:color w:val="auto"/>
              </w:rPr>
            </w:pPr>
            <w:r>
              <w:rPr>
                <w:rFonts w:ascii="Arial" w:cs="Arial" w:eastAsia="Arial" w:hAnsi="Arial"/>
                <w:sz w:val="18"/>
                <w:szCs w:val="18"/>
                <w:color w:val="auto"/>
              </w:rPr>
              <w:t>purposes. See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for</w:t>
            </w:r>
          </w:p>
        </w:tc>
      </w:tr>
      <w:tr>
        <w:trPr>
          <w:trHeight w:val="217"/>
        </w:trPr>
        <w:tc>
          <w:tcPr>
            <w:tcW w:w="4720" w:type="dxa"/>
            <w:vAlign w:val="bottom"/>
          </w:tcPr>
          <w:p>
            <w:pPr>
              <w:spacing w:after="0"/>
              <w:rPr>
                <w:sz w:val="18"/>
                <w:szCs w:val="18"/>
                <w:color w:val="auto"/>
              </w:rPr>
            </w:pPr>
          </w:p>
        </w:tc>
        <w:tc>
          <w:tcPr>
            <w:tcW w:w="4360" w:type="dxa"/>
            <w:vAlign w:val="bottom"/>
          </w:tcPr>
          <w:p>
            <w:pPr>
              <w:ind w:left="940"/>
              <w:spacing w:after="0"/>
              <w:rPr>
                <w:sz w:val="20"/>
                <w:szCs w:val="20"/>
                <w:color w:val="auto"/>
              </w:rPr>
            </w:pPr>
            <w:r>
              <w:rPr>
                <w:rFonts w:ascii="Arial" w:cs="Arial" w:eastAsia="Arial" w:hAnsi="Arial"/>
                <w:sz w:val="18"/>
                <w:szCs w:val="18"/>
                <w:color w:val="auto"/>
              </w:rPr>
              <w:t>additional information.</w:t>
            </w:r>
          </w:p>
        </w:tc>
        <w:tc>
          <w:tcPr>
            <w:tcW w:w="1560" w:type="dxa"/>
            <w:vAlign w:val="bottom"/>
          </w:tcPr>
          <w:p>
            <w:pPr>
              <w:spacing w:after="0"/>
              <w:rPr>
                <w:sz w:val="18"/>
                <w:szCs w:val="18"/>
                <w:color w:val="auto"/>
              </w:rPr>
            </w:pPr>
          </w:p>
        </w:tc>
      </w:tr>
      <w:tr>
        <w:trPr>
          <w:trHeight w:val="404"/>
        </w:trPr>
        <w:tc>
          <w:tcPr>
            <w:tcW w:w="4720" w:type="dxa"/>
            <w:vAlign w:val="bottom"/>
          </w:tcPr>
          <w:p>
            <w:pPr>
              <w:spacing w:after="0"/>
              <w:rPr>
                <w:sz w:val="20"/>
                <w:szCs w:val="20"/>
                <w:color w:val="auto"/>
              </w:rPr>
            </w:pPr>
            <w:r>
              <w:rPr>
                <w:rFonts w:ascii="Arial" w:cs="Arial" w:eastAsia="Arial" w:hAnsi="Arial"/>
                <w:sz w:val="18"/>
                <w:szCs w:val="18"/>
                <w:color w:val="auto"/>
              </w:rPr>
              <w:t>Controlled company</w:t>
            </w:r>
          </w:p>
        </w:tc>
        <w:tc>
          <w:tcPr>
            <w:tcW w:w="5920" w:type="dxa"/>
            <w:vAlign w:val="bottom"/>
            <w:gridSpan w:val="2"/>
          </w:tcPr>
          <w:p>
            <w:pPr>
              <w:ind w:left="940"/>
              <w:spacing w:after="0"/>
              <w:rPr>
                <w:sz w:val="20"/>
                <w:szCs w:val="20"/>
                <w:color w:val="auto"/>
              </w:rPr>
            </w:pPr>
            <w:r>
              <w:rPr>
                <w:rFonts w:ascii="Arial" w:cs="Arial" w:eastAsia="Arial" w:hAnsi="Arial"/>
                <w:sz w:val="18"/>
                <w:szCs w:val="18"/>
                <w:color w:val="auto"/>
              </w:rPr>
              <w:t>Upon the closing of this offering, Privateer Holdings will own</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w w:val="99"/>
              </w:rPr>
              <w:t>75,000,000 shares of Class 1 common stock, or approximately</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1340"/>
              <w:spacing w:after="0" w:line="202" w:lineRule="exact"/>
              <w:rPr>
                <w:sz w:val="20"/>
                <w:szCs w:val="20"/>
                <w:color w:val="auto"/>
              </w:rPr>
            </w:pPr>
            <w:r>
              <w:rPr>
                <w:rFonts w:ascii="Arial" w:cs="Arial" w:eastAsia="Arial" w:hAnsi="Arial"/>
                <w:sz w:val="18"/>
                <w:szCs w:val="18"/>
                <w:color w:val="auto"/>
              </w:rPr>
              <w:t>%, of the voting power of our capital stock. As a result,</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we will be a “controlled company” within the meaning of the</w:t>
            </w:r>
          </w:p>
        </w:tc>
      </w:tr>
      <w:tr>
        <w:trPr>
          <w:trHeight w:val="185"/>
        </w:trPr>
        <w:tc>
          <w:tcPr>
            <w:tcW w:w="4720" w:type="dxa"/>
            <w:vAlign w:val="bottom"/>
          </w:tcPr>
          <w:p>
            <w:pPr>
              <w:spacing w:after="0"/>
              <w:rPr>
                <w:sz w:val="16"/>
                <w:szCs w:val="16"/>
                <w:color w:val="auto"/>
              </w:rPr>
            </w:pPr>
          </w:p>
        </w:tc>
        <w:tc>
          <w:tcPr>
            <w:tcW w:w="5920" w:type="dxa"/>
            <w:vAlign w:val="bottom"/>
            <w:gridSpan w:val="2"/>
          </w:tcPr>
          <w:p>
            <w:pPr>
              <w:ind w:left="940"/>
              <w:spacing w:after="0" w:line="185" w:lineRule="exact"/>
              <w:rPr>
                <w:sz w:val="20"/>
                <w:szCs w:val="20"/>
                <w:color w:val="auto"/>
              </w:rPr>
            </w:pPr>
            <w:r>
              <w:rPr>
                <w:rFonts w:ascii="Arial" w:cs="Arial" w:eastAsia="Arial" w:hAnsi="Arial"/>
                <w:sz w:val="18"/>
                <w:szCs w:val="18"/>
                <w:color w:val="auto"/>
              </w:rPr>
              <w:t>listing rules of the Nasdaq Global Select Market. See the</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w w:val="99"/>
              </w:rPr>
              <w:t>sections titled “</w:t>
            </w:r>
            <w:r>
              <w:rPr>
                <w:rFonts w:ascii="Arial" w:cs="Arial" w:eastAsia="Arial" w:hAnsi="Arial"/>
                <w:sz w:val="18"/>
                <w:szCs w:val="18"/>
                <w:i w:val="1"/>
                <w:iCs w:val="1"/>
                <w:color w:val="auto"/>
                <w:w w:val="99"/>
              </w:rPr>
              <w:t>Management—Controlled Company Exception</w:t>
            </w:r>
            <w:r>
              <w:rPr>
                <w:rFonts w:ascii="Arial" w:cs="Arial" w:eastAsia="Arial" w:hAnsi="Arial"/>
                <w:sz w:val="18"/>
                <w:szCs w:val="18"/>
                <w:color w:val="auto"/>
                <w:w w:val="99"/>
              </w:rPr>
              <w:t>”</w:t>
            </w:r>
          </w:p>
        </w:tc>
      </w:tr>
      <w:tr>
        <w:trPr>
          <w:trHeight w:val="235"/>
        </w:trPr>
        <w:tc>
          <w:tcPr>
            <w:tcW w:w="4720" w:type="dxa"/>
            <w:vAlign w:val="bottom"/>
          </w:tcPr>
          <w:p>
            <w:pPr>
              <w:spacing w:after="0"/>
              <w:rPr>
                <w:sz w:val="20"/>
                <w:szCs w:val="20"/>
                <w:color w:val="auto"/>
              </w:rPr>
            </w:pPr>
          </w:p>
        </w:tc>
        <w:tc>
          <w:tcPr>
            <w:tcW w:w="4360" w:type="dxa"/>
            <w:vAlign w:val="bottom"/>
          </w:tcPr>
          <w:p>
            <w:pPr>
              <w:ind w:left="940"/>
              <w:spacing w:after="0"/>
              <w:rPr>
                <w:sz w:val="20"/>
                <w:szCs w:val="20"/>
                <w:color w:val="auto"/>
              </w:rPr>
            </w:pPr>
            <w:r>
              <w:rPr>
                <w:rFonts w:ascii="Arial" w:cs="Arial" w:eastAsia="Arial" w:hAnsi="Arial"/>
                <w:sz w:val="18"/>
                <w:szCs w:val="18"/>
                <w:color w:val="auto"/>
              </w:rPr>
              <w:t>and “</w:t>
            </w:r>
            <w:r>
              <w:rPr>
                <w:rFonts w:ascii="Arial" w:cs="Arial" w:eastAsia="Arial" w:hAnsi="Arial"/>
                <w:sz w:val="18"/>
                <w:szCs w:val="18"/>
                <w:i w:val="1"/>
                <w:iCs w:val="1"/>
                <w:color w:val="auto"/>
              </w:rPr>
              <w:t>Principal Stockholders</w:t>
            </w:r>
            <w:r>
              <w:rPr>
                <w:rFonts w:ascii="Arial" w:cs="Arial" w:eastAsia="Arial" w:hAnsi="Arial"/>
                <w:sz w:val="18"/>
                <w:szCs w:val="18"/>
                <w:color w:val="auto"/>
              </w:rPr>
              <w:t>.”</w:t>
            </w:r>
          </w:p>
        </w:tc>
        <w:tc>
          <w:tcPr>
            <w:tcW w:w="1560" w:type="dxa"/>
            <w:vAlign w:val="bottom"/>
          </w:tcPr>
          <w:p>
            <w:pPr>
              <w:spacing w:after="0"/>
              <w:rPr>
                <w:sz w:val="20"/>
                <w:szCs w:val="20"/>
                <w:color w:val="auto"/>
              </w:rPr>
            </w:pPr>
          </w:p>
        </w:tc>
      </w:tr>
      <w:tr>
        <w:trPr>
          <w:trHeight w:val="419"/>
        </w:trPr>
        <w:tc>
          <w:tcPr>
            <w:tcW w:w="4720" w:type="dxa"/>
            <w:vAlign w:val="bottom"/>
          </w:tcPr>
          <w:p>
            <w:pPr>
              <w:spacing w:after="0"/>
              <w:rPr>
                <w:sz w:val="20"/>
                <w:szCs w:val="20"/>
                <w:color w:val="auto"/>
              </w:rPr>
            </w:pPr>
            <w:r>
              <w:rPr>
                <w:rFonts w:ascii="Arial" w:cs="Arial" w:eastAsia="Arial" w:hAnsi="Arial"/>
                <w:sz w:val="18"/>
                <w:szCs w:val="18"/>
                <w:color w:val="auto"/>
              </w:rPr>
              <w:t>Proposed Nasdaq Global Select Market symbol</w:t>
            </w:r>
          </w:p>
        </w:tc>
        <w:tc>
          <w:tcPr>
            <w:tcW w:w="4360" w:type="dxa"/>
            <w:vAlign w:val="bottom"/>
          </w:tcPr>
          <w:p>
            <w:pPr>
              <w:ind w:left="940"/>
              <w:spacing w:after="0"/>
              <w:rPr>
                <w:sz w:val="20"/>
                <w:szCs w:val="20"/>
                <w:color w:val="auto"/>
              </w:rPr>
            </w:pPr>
            <w:r>
              <w:rPr>
                <w:rFonts w:ascii="Arial" w:cs="Arial" w:eastAsia="Arial" w:hAnsi="Arial"/>
                <w:sz w:val="18"/>
                <w:szCs w:val="18"/>
                <w:color w:val="auto"/>
              </w:rPr>
              <w:t>“TLRY”</w:t>
            </w:r>
          </w:p>
        </w:tc>
        <w:tc>
          <w:tcPr>
            <w:tcW w:w="1560" w:type="dxa"/>
            <w:vAlign w:val="bottom"/>
          </w:tcPr>
          <w:p>
            <w:pPr>
              <w:spacing w:after="0"/>
              <w:rPr>
                <w:sz w:val="24"/>
                <w:szCs w:val="24"/>
                <w:color w:val="auto"/>
              </w:rPr>
            </w:pPr>
          </w:p>
        </w:tc>
      </w:tr>
      <w:tr>
        <w:trPr>
          <w:trHeight w:val="404"/>
        </w:trPr>
        <w:tc>
          <w:tcPr>
            <w:tcW w:w="4720" w:type="dxa"/>
            <w:vAlign w:val="bottom"/>
          </w:tcPr>
          <w:p>
            <w:pPr>
              <w:spacing w:after="0"/>
              <w:rPr>
                <w:sz w:val="20"/>
                <w:szCs w:val="20"/>
                <w:color w:val="auto"/>
              </w:rPr>
            </w:pPr>
            <w:r>
              <w:rPr>
                <w:rFonts w:ascii="Arial" w:cs="Arial" w:eastAsia="Arial" w:hAnsi="Arial"/>
                <w:sz w:val="18"/>
                <w:szCs w:val="18"/>
                <w:color w:val="auto"/>
              </w:rPr>
              <w:t>Risk factors</w:t>
            </w:r>
          </w:p>
        </w:tc>
        <w:tc>
          <w:tcPr>
            <w:tcW w:w="5920" w:type="dxa"/>
            <w:vAlign w:val="bottom"/>
            <w:gridSpan w:val="2"/>
          </w:tcPr>
          <w:p>
            <w:pPr>
              <w:ind w:left="940"/>
              <w:spacing w:after="0"/>
              <w:rPr>
                <w:sz w:val="20"/>
                <w:szCs w:val="20"/>
                <w:color w:val="auto"/>
              </w:rPr>
            </w:pPr>
            <w:r>
              <w:rPr>
                <w:rFonts w:ascii="Arial" w:cs="Arial" w:eastAsia="Arial" w:hAnsi="Arial"/>
                <w:sz w:val="18"/>
                <w:szCs w:val="18"/>
                <w:color w:val="auto"/>
              </w:rPr>
              <w:t>You should carefully read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other information included in this prospectus for a discussion</w:t>
            </w:r>
          </w:p>
        </w:tc>
      </w:tr>
      <w:tr>
        <w:trPr>
          <w:trHeight w:val="203"/>
        </w:trPr>
        <w:tc>
          <w:tcPr>
            <w:tcW w:w="4720" w:type="dxa"/>
            <w:vAlign w:val="bottom"/>
          </w:tcPr>
          <w:p>
            <w:pPr>
              <w:spacing w:after="0"/>
              <w:rPr>
                <w:sz w:val="17"/>
                <w:szCs w:val="17"/>
                <w:color w:val="auto"/>
              </w:rPr>
            </w:pPr>
          </w:p>
        </w:tc>
        <w:tc>
          <w:tcPr>
            <w:tcW w:w="59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of factors that you should consider before deciding to invest in</w:t>
            </w:r>
          </w:p>
        </w:tc>
      </w:tr>
      <w:tr>
        <w:trPr>
          <w:trHeight w:val="217"/>
        </w:trPr>
        <w:tc>
          <w:tcPr>
            <w:tcW w:w="4720" w:type="dxa"/>
            <w:vAlign w:val="bottom"/>
          </w:tcPr>
          <w:p>
            <w:pPr>
              <w:spacing w:after="0"/>
              <w:rPr>
                <w:sz w:val="18"/>
                <w:szCs w:val="18"/>
                <w:color w:val="auto"/>
              </w:rPr>
            </w:pPr>
          </w:p>
        </w:tc>
        <w:tc>
          <w:tcPr>
            <w:tcW w:w="4360" w:type="dxa"/>
            <w:vAlign w:val="bottom"/>
          </w:tcPr>
          <w:p>
            <w:pPr>
              <w:ind w:left="940"/>
              <w:spacing w:after="0"/>
              <w:rPr>
                <w:sz w:val="20"/>
                <w:szCs w:val="20"/>
                <w:color w:val="auto"/>
              </w:rPr>
            </w:pPr>
            <w:r>
              <w:rPr>
                <w:rFonts w:ascii="Arial" w:cs="Arial" w:eastAsia="Arial" w:hAnsi="Arial"/>
                <w:sz w:val="18"/>
                <w:szCs w:val="18"/>
                <w:color w:val="auto"/>
              </w:rPr>
              <w:t>shares of our Class 2 common stock.</w:t>
            </w:r>
          </w:p>
        </w:tc>
        <w:tc>
          <w:tcPr>
            <w:tcW w:w="1560" w:type="dxa"/>
            <w:vAlign w:val="bottom"/>
          </w:tcPr>
          <w:p>
            <w:pPr>
              <w:spacing w:after="0"/>
              <w:rPr>
                <w:sz w:val="18"/>
                <w:szCs w:val="18"/>
                <w:color w:val="auto"/>
              </w:rPr>
            </w:pPr>
          </w:p>
        </w:tc>
      </w:tr>
    </w:tbl>
    <w:p>
      <w:pPr>
        <w:spacing w:after="0" w:line="202" w:lineRule="exact"/>
        <w:rPr>
          <w:sz w:val="20"/>
          <w:szCs w:val="20"/>
          <w:color w:val="auto"/>
        </w:rPr>
      </w:pPr>
    </w:p>
    <w:p>
      <w:pPr>
        <w:ind w:left="380" w:right="420" w:firstLine="320"/>
        <w:spacing w:after="0" w:line="246" w:lineRule="auto"/>
        <w:rPr>
          <w:sz w:val="20"/>
          <w:szCs w:val="20"/>
          <w:color w:val="auto"/>
        </w:rPr>
      </w:pPr>
      <w:r>
        <w:rPr>
          <w:rFonts w:ascii="Arial" w:cs="Arial" w:eastAsia="Arial" w:hAnsi="Arial"/>
          <w:sz w:val="18"/>
          <w:szCs w:val="18"/>
          <w:color w:val="auto"/>
        </w:rPr>
        <w:t>The number of shares of Class 2 common stock to be outstanding after this offering is based on 7,794,042 shares of Class 2 common stock outstanding as of March 31, 2018 and excludes:</w:t>
      </w:r>
    </w:p>
    <w:p>
      <w:pPr>
        <w:spacing w:after="0" w:line="224" w:lineRule="exact"/>
        <w:rPr>
          <w:sz w:val="20"/>
          <w:szCs w:val="20"/>
          <w:color w:val="auto"/>
        </w:rPr>
      </w:pPr>
    </w:p>
    <w:p>
      <w:pPr>
        <w:ind w:left="680" w:hanging="298"/>
        <w:spacing w:after="0"/>
        <w:tabs>
          <w:tab w:leader="none" w:pos="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zero shares of Class 2 common stock issuable upon the exercise of outstanding stock options as of March 31, 2018; and</w:t>
      </w:r>
    </w:p>
    <w:p>
      <w:pPr>
        <w:spacing w:after="0" w:line="36" w:lineRule="exact"/>
        <w:rPr>
          <w:rFonts w:ascii="Arial" w:cs="Arial" w:eastAsia="Arial" w:hAnsi="Arial"/>
          <w:sz w:val="15"/>
          <w:szCs w:val="15"/>
          <w:color w:val="auto"/>
        </w:rPr>
      </w:pPr>
    </w:p>
    <w:p>
      <w:pPr>
        <w:ind w:left="680" w:right="80" w:hanging="298"/>
        <w:spacing w:after="0" w:line="246" w:lineRule="auto"/>
        <w:tabs>
          <w:tab w:leader="none" w:pos="680" w:val="left"/>
        </w:tabs>
        <w:numPr>
          <w:ilvl w:val="0"/>
          <w:numId w:val="8"/>
        </w:numPr>
        <w:rPr>
          <w:rFonts w:ascii="Arial" w:cs="Arial" w:eastAsia="Arial" w:hAnsi="Arial"/>
          <w:sz w:val="15"/>
          <w:szCs w:val="15"/>
          <w:color w:val="auto"/>
        </w:rPr>
      </w:pPr>
      <w:r>
        <w:rPr>
          <w:rFonts w:ascii="Arial" w:cs="Arial" w:eastAsia="Arial" w:hAnsi="Arial"/>
          <w:sz w:val="18"/>
          <w:szCs w:val="18"/>
          <w:color w:val="auto"/>
        </w:rPr>
        <w:t>6,711,621 shares of Class 2 common stock reserved for future issuance under our Amended and Restated 2018 Equity Incentive Plan as of March 31, 2018.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262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32626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Subsequent to March 31, 2018 and through the date of this prospectus:</w:t>
      </w:r>
    </w:p>
    <w:p>
      <w:pPr>
        <w:spacing w:after="0" w:line="239" w:lineRule="exact"/>
        <w:rPr>
          <w:sz w:val="20"/>
          <w:szCs w:val="20"/>
          <w:color w:val="auto"/>
        </w:rPr>
      </w:pPr>
    </w:p>
    <w:p>
      <w:pPr>
        <w:ind w:left="680" w:right="480" w:hanging="298"/>
        <w:spacing w:after="0" w:line="246" w:lineRule="auto"/>
        <w:tabs>
          <w:tab w:leader="none" w:pos="680" w:val="left"/>
        </w:tabs>
        <w:numPr>
          <w:ilvl w:val="0"/>
          <w:numId w:val="9"/>
        </w:numPr>
        <w:rPr>
          <w:rFonts w:ascii="Arial" w:cs="Arial" w:eastAsia="Arial" w:hAnsi="Arial"/>
          <w:sz w:val="15"/>
          <w:szCs w:val="15"/>
          <w:color w:val="auto"/>
        </w:rPr>
      </w:pPr>
      <w:r>
        <w:rPr>
          <w:rFonts w:ascii="Arial" w:cs="Arial" w:eastAsia="Arial" w:hAnsi="Arial"/>
          <w:sz w:val="18"/>
          <w:szCs w:val="18"/>
          <w:color w:val="auto"/>
        </w:rPr>
        <w:t>we reserved an additional 2,487,717 shares of Class 2 common stock under our Amended and Restated 2018 Equity Incentive Plan; and</w:t>
      </w:r>
    </w:p>
    <w:p>
      <w:pPr>
        <w:spacing w:after="0" w:line="21" w:lineRule="exact"/>
        <w:rPr>
          <w:rFonts w:ascii="Arial" w:cs="Arial" w:eastAsia="Arial" w:hAnsi="Arial"/>
          <w:sz w:val="15"/>
          <w:szCs w:val="15"/>
          <w:color w:val="auto"/>
        </w:rPr>
      </w:pPr>
    </w:p>
    <w:p>
      <w:pPr>
        <w:ind w:left="680" w:right="660" w:hanging="298"/>
        <w:spacing w:after="0" w:line="246" w:lineRule="auto"/>
        <w:tabs>
          <w:tab w:leader="none" w:pos="680" w:val="left"/>
        </w:tabs>
        <w:numPr>
          <w:ilvl w:val="0"/>
          <w:numId w:val="9"/>
        </w:numPr>
        <w:rPr>
          <w:rFonts w:ascii="Arial" w:cs="Arial" w:eastAsia="Arial" w:hAnsi="Arial"/>
          <w:sz w:val="15"/>
          <w:szCs w:val="15"/>
          <w:color w:val="auto"/>
        </w:rPr>
      </w:pPr>
      <w:r>
        <w:rPr>
          <w:rFonts w:ascii="Arial" w:cs="Arial" w:eastAsia="Arial" w:hAnsi="Arial"/>
          <w:sz w:val="18"/>
          <w:szCs w:val="18"/>
          <w:color w:val="auto"/>
        </w:rPr>
        <w:t>we granted (i) stock options to purchase up to an aggregate of 6,094,019 shares of Class 2 common stock and (ii) 1,085,000 restricted stock units under our Amended and Restated 2018 Equity Incentive Plan.</w:t>
      </w:r>
    </w:p>
    <w:p>
      <w:pPr>
        <w:spacing w:after="0" w:line="197" w:lineRule="exact"/>
        <w:rPr>
          <w:sz w:val="20"/>
          <w:szCs w:val="20"/>
          <w:color w:val="auto"/>
        </w:rPr>
      </w:pPr>
    </w:p>
    <w:p>
      <w:pPr>
        <w:ind w:left="380" w:right="480" w:firstLine="320"/>
        <w:spacing w:after="0" w:line="248" w:lineRule="auto"/>
        <w:rPr>
          <w:sz w:val="20"/>
          <w:szCs w:val="20"/>
          <w:color w:val="auto"/>
        </w:rPr>
      </w:pPr>
      <w:r>
        <w:rPr>
          <w:rFonts w:ascii="Arial" w:cs="Arial" w:eastAsia="Arial" w:hAnsi="Arial"/>
          <w:sz w:val="17"/>
          <w:szCs w:val="17"/>
          <w:color w:val="auto"/>
        </w:rPr>
        <w:t>Additionally, the number of shares of our Class 2 common stock reserved for issuance under our Amended and Restated 2018 Equity Incentive Plan will automatically increase on January 1 of each calendar year for ten years, starting on January 1, 2019 and</w:t>
      </w:r>
    </w:p>
    <w:p>
      <w:pPr>
        <w:spacing w:after="0" w:line="1" w:lineRule="exact"/>
        <w:rPr>
          <w:sz w:val="20"/>
          <w:szCs w:val="20"/>
          <w:color w:val="auto"/>
        </w:rPr>
      </w:pPr>
    </w:p>
    <w:p>
      <w:pPr>
        <w:ind w:left="380" w:right="300"/>
        <w:spacing w:after="0" w:line="234" w:lineRule="auto"/>
        <w:rPr>
          <w:sz w:val="20"/>
          <w:szCs w:val="20"/>
          <w:color w:val="auto"/>
        </w:rPr>
      </w:pPr>
      <w:r>
        <w:rPr>
          <w:rFonts w:ascii="Arial" w:cs="Arial" w:eastAsia="Arial" w:hAnsi="Arial"/>
          <w:sz w:val="18"/>
          <w:szCs w:val="18"/>
          <w:color w:val="auto"/>
        </w:rPr>
        <w:t>ending on and including, 2028, in an amount equal to % of the total number of shares of our common stock outstanding on December 31 of the prior calendar year, or a lesser number of shares determined by our board of directors. The maximum number of shares of our common stock that may be issued upon the exercise of incentive stock options granted under our Amended and</w:t>
      </w:r>
    </w:p>
    <w:p>
      <w:pPr>
        <w:spacing w:after="0" w:line="2" w:lineRule="exact"/>
        <w:rPr>
          <w:sz w:val="20"/>
          <w:szCs w:val="20"/>
          <w:color w:val="auto"/>
        </w:rPr>
      </w:pPr>
    </w:p>
    <w:p>
      <w:pPr>
        <w:ind w:left="380"/>
        <w:spacing w:after="0"/>
        <w:tabs>
          <w:tab w:leader="none" w:pos="4780" w:val="left"/>
        </w:tabs>
        <w:rPr>
          <w:sz w:val="20"/>
          <w:szCs w:val="20"/>
          <w:color w:val="auto"/>
        </w:rPr>
      </w:pPr>
      <w:r>
        <w:rPr>
          <w:rFonts w:ascii="Arial" w:cs="Arial" w:eastAsia="Arial" w:hAnsi="Arial"/>
          <w:sz w:val="18"/>
          <w:szCs w:val="18"/>
          <w:color w:val="auto"/>
        </w:rPr>
        <w:t>Restated 2018 Equity Incentive Plan is equal to</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Further, unless we specifically state otherwise, all information in this prospectus assumes:</w:t>
      </w:r>
    </w:p>
    <w:p>
      <w:pPr>
        <w:spacing w:after="0" w:line="239" w:lineRule="exact"/>
        <w:rPr>
          <w:sz w:val="20"/>
          <w:szCs w:val="20"/>
          <w:color w:val="auto"/>
        </w:rPr>
      </w:pPr>
    </w:p>
    <w:p>
      <w:pPr>
        <w:ind w:left="680" w:right="220" w:hanging="298"/>
        <w:spacing w:after="0" w:line="246" w:lineRule="auto"/>
        <w:tabs>
          <w:tab w:leader="none" w:pos="6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filing and effectiveness of our amended and restated certificate of incorporation and the adoption of our amended and restated bylaws in connection with the closing of this offering;</w:t>
      </w:r>
    </w:p>
    <w:p>
      <w:pPr>
        <w:spacing w:after="0" w:line="21" w:lineRule="exact"/>
        <w:rPr>
          <w:rFonts w:ascii="Arial" w:cs="Arial" w:eastAsia="Arial" w:hAnsi="Arial"/>
          <w:sz w:val="15"/>
          <w:szCs w:val="15"/>
          <w:color w:val="auto"/>
        </w:rPr>
      </w:pPr>
    </w:p>
    <w:p>
      <w:pPr>
        <w:ind w:left="680" w:right="640" w:hanging="298"/>
        <w:spacing w:after="0" w:line="246" w:lineRule="auto"/>
        <w:tabs>
          <w:tab w:leader="none" w:pos="68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conversion of all outstanding shares of our Series A preferred stock into an aggregate of 7,794,042 shares of our Class 2 common stock immediately prior to the closing of this offering; and</w:t>
      </w:r>
    </w:p>
    <w:p>
      <w:pPr>
        <w:spacing w:after="0" w:line="1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7100" w:type="dxa"/>
            <w:vAlign w:val="bottom"/>
          </w:tcPr>
          <w:p>
            <w:pPr>
              <w:jc w:val="right"/>
              <w:ind w:right="254"/>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8"/>
                <w:szCs w:val="18"/>
                <w:color w:val="auto"/>
              </w:rPr>
              <w:t>no exercise by the underwriters of their over-allotment option to purchase up to</w:t>
            </w:r>
          </w:p>
        </w:tc>
        <w:tc>
          <w:tcPr>
            <w:tcW w:w="3940" w:type="dxa"/>
            <w:vAlign w:val="bottom"/>
          </w:tcPr>
          <w:p>
            <w:pPr>
              <w:ind w:left="360"/>
              <w:spacing w:after="0"/>
              <w:rPr>
                <w:sz w:val="20"/>
                <w:szCs w:val="20"/>
                <w:color w:val="auto"/>
              </w:rPr>
            </w:pPr>
            <w:r>
              <w:rPr>
                <w:rFonts w:ascii="Arial" w:cs="Arial" w:eastAsia="Arial" w:hAnsi="Arial"/>
                <w:sz w:val="18"/>
                <w:szCs w:val="18"/>
                <w:color w:val="auto"/>
              </w:rPr>
              <w:t>additional shares of Class 2 common</w:t>
            </w:r>
          </w:p>
        </w:tc>
      </w:tr>
      <w:tr>
        <w:trPr>
          <w:trHeight w:val="217"/>
        </w:trPr>
        <w:tc>
          <w:tcPr>
            <w:tcW w:w="7100" w:type="dxa"/>
            <w:vAlign w:val="bottom"/>
          </w:tcPr>
          <w:p>
            <w:pPr>
              <w:jc w:val="right"/>
              <w:ind w:right="5414"/>
              <w:spacing w:after="0"/>
              <w:rPr>
                <w:sz w:val="20"/>
                <w:szCs w:val="20"/>
                <w:color w:val="auto"/>
              </w:rPr>
            </w:pPr>
            <w:r>
              <w:rPr>
                <w:rFonts w:ascii="Arial" w:cs="Arial" w:eastAsia="Arial" w:hAnsi="Arial"/>
                <w:sz w:val="18"/>
                <w:szCs w:val="18"/>
                <w:color w:val="auto"/>
              </w:rPr>
              <w:t>stock from us.</w:t>
            </w:r>
          </w:p>
        </w:tc>
        <w:tc>
          <w:tcPr>
            <w:tcW w:w="3940" w:type="dxa"/>
            <w:vAlign w:val="bottom"/>
          </w:tcPr>
          <w:p>
            <w:pPr>
              <w:spacing w:after="0"/>
              <w:rPr>
                <w:sz w:val="18"/>
                <w:szCs w:val="18"/>
                <w:color w:val="auto"/>
              </w:rPr>
            </w:pPr>
          </w:p>
        </w:tc>
      </w:tr>
      <w:tr>
        <w:trPr>
          <w:trHeight w:val="226"/>
        </w:trPr>
        <w:tc>
          <w:tcPr>
            <w:tcW w:w="710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r>
      <w:tr>
        <w:trPr>
          <w:trHeight w:val="604"/>
        </w:trPr>
        <w:tc>
          <w:tcPr>
            <w:tcW w:w="7100" w:type="dxa"/>
            <w:vAlign w:val="bottom"/>
          </w:tcPr>
          <w:p>
            <w:pPr>
              <w:jc w:val="right"/>
              <w:ind w:right="1394"/>
              <w:spacing w:after="0"/>
              <w:rPr>
                <w:sz w:val="20"/>
                <w:szCs w:val="20"/>
                <w:color w:val="auto"/>
              </w:rPr>
            </w:pPr>
            <w:r>
              <w:rPr>
                <w:rFonts w:ascii="Arial" w:cs="Arial" w:eastAsia="Arial" w:hAnsi="Arial"/>
                <w:sz w:val="18"/>
                <w:szCs w:val="18"/>
                <w:color w:val="auto"/>
              </w:rPr>
              <w:t>10</w:t>
            </w:r>
          </w:p>
        </w:tc>
        <w:tc>
          <w:tcPr>
            <w:tcW w:w="39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38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62388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SUMMARY CONSOLIDATED FINANCIAL DATA</w:t>
      </w:r>
    </w:p>
    <w:p>
      <w:pPr>
        <w:spacing w:after="0" w:line="342"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The following tables summarize our consolidated financial data. The consolidated financial statements include the accounts of entities wholly owned by Tilray, Inc. The consolidated statements of net loss data for the years ended December 31, 2016 and 2017 and the consolidated balance sheet data as of December 31, 2017 are derived from our consolidated financial statements included elsewhere in this prospectus. The interim condensed consolidated balance sheet data as of March 31, 2018 and interim condensed consolidated statements of net loss data for the three months ended March 31, 2017 and 2018 are derived from our unaudited interim condensed consolidated financial statements included elsewhere in this prospectus. Our historical results are not necessarily indicative of the results that may be expected in any future period.</w:t>
      </w:r>
    </w:p>
    <w:p>
      <w:pPr>
        <w:spacing w:after="0" w:line="203" w:lineRule="exact"/>
        <w:rPr>
          <w:sz w:val="20"/>
          <w:szCs w:val="20"/>
          <w:color w:val="auto"/>
        </w:rPr>
      </w:pPr>
    </w:p>
    <w:p>
      <w:pPr>
        <w:ind w:left="380" w:right="220" w:firstLine="320"/>
        <w:spacing w:after="0"/>
        <w:rPr>
          <w:sz w:val="20"/>
          <w:szCs w:val="20"/>
          <w:color w:val="auto"/>
        </w:rPr>
      </w:pPr>
      <w:r>
        <w:rPr>
          <w:rFonts w:ascii="Arial" w:cs="Arial" w:eastAsia="Arial" w:hAnsi="Arial"/>
          <w:sz w:val="18"/>
          <w:szCs w:val="18"/>
          <w:color w:val="auto"/>
        </w:rPr>
        <w:t>You should read this data together with our consolidated financial statements and related notes included elsewhere in this prospectus and the sections titled “</w:t>
      </w:r>
      <w:r>
        <w:rPr>
          <w:rFonts w:ascii="Arial" w:cs="Arial" w:eastAsia="Arial" w:hAnsi="Arial"/>
          <w:sz w:val="18"/>
          <w:szCs w:val="18"/>
          <w:i w:val="1"/>
          <w:iCs w:val="1"/>
          <w:color w:val="auto"/>
        </w:rPr>
        <w:t>Selected Consolidated Financial Data</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17"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center"/>
              <w:ind w:right="3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center"/>
              <w:ind w:right="31"/>
              <w:spacing w:after="0" w:line="156"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10"/>
          </w:tcPr>
          <w:p>
            <w:pPr>
              <w:jc w:val="right"/>
              <w:ind w:right="331"/>
              <w:spacing w:after="0"/>
              <w:rPr>
                <w:sz w:val="20"/>
                <w:szCs w:val="20"/>
                <w:color w:val="auto"/>
              </w:rPr>
            </w:pPr>
            <w:r>
              <w:rPr>
                <w:rFonts w:ascii="Arial" w:cs="Arial" w:eastAsia="Arial" w:hAnsi="Arial"/>
                <w:sz w:val="14"/>
                <w:szCs w:val="14"/>
                <w:b w:val="1"/>
                <w:bCs w:val="1"/>
                <w:color w:val="auto"/>
              </w:rPr>
              <w:t>(dollars in thousands, except per share data)</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Net Loss Data: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8"/>
              </w:rPr>
              <w:t>12,644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8"/>
              </w:rPr>
              <w:t>20,538</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5,027</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9,974</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9,161</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97"/>
              </w:rPr>
              <w:t>2,259</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2,670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11,377</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2,768</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1,136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3,171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3,599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7,164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928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4,984</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8,540</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97"/>
              </w:rPr>
              <w:t>1,565</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318"/>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(3,740)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(gain) loss, net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1,686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202" w:lineRule="exact"/>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right="20" w:hanging="318"/>
        <w:spacing w:after="0" w:line="23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unaudited pro forma basic and diluted net loss per share were calculated to give effect to the automatic conversion of all outstanding shares of Series A preferred stock into Class 2 common stock in connection with a qualifying initial public offering. The liquidation and dividend rights are identical among Class 1 common stock and Class 2 common stock, and all classes of common stock share equally in our earnings and losses. Accordingly, net loss has been reallocated to Class 1 common stock and Class 2 common stock on a proportional basis. For calculating basic and diluted net loss per share, the number of shares was 82,794,042. Since we were in a loss position for all periods presented, basic net loss per share attributable to common stockholders is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92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60928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00" w:right="220"/>
        <w:spacing w:after="0" w:line="246" w:lineRule="auto"/>
        <w:rPr>
          <w:sz w:val="20"/>
          <w:szCs w:val="20"/>
          <w:color w:val="auto"/>
        </w:rPr>
      </w:pPr>
      <w:r>
        <w:rPr>
          <w:rFonts w:ascii="Arial" w:cs="Arial" w:eastAsia="Arial" w:hAnsi="Arial"/>
          <w:sz w:val="18"/>
          <w:szCs w:val="18"/>
          <w:color w:val="auto"/>
        </w:rPr>
        <w:t>the same as diluted net loss per share for all periods as the inclusion of all potential shares of common stock outstanding would have been anti-dilutive.</w:t>
      </w:r>
    </w:p>
    <w:p>
      <w:pPr>
        <w:spacing w:after="0" w:line="212"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rPr>
              <w:t>As of March 31, 2018</w:t>
            </w:r>
          </w:p>
        </w:tc>
        <w:tc>
          <w:tcPr>
            <w:tcW w:w="1320" w:type="dxa"/>
            <w:vAlign w:val="bottom"/>
            <w:tcBorders>
              <w:bottom w:val="single" w:sz="8" w:color="auto"/>
            </w:tcBorders>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20" w:type="dxa"/>
            <w:vAlign w:val="bottom"/>
          </w:tcPr>
          <w:p>
            <w:pPr>
              <w:jc w:val="center"/>
              <w:ind w:left="48"/>
              <w:spacing w:after="0" w:line="143" w:lineRule="exact"/>
              <w:rPr>
                <w:sz w:val="20"/>
                <w:szCs w:val="20"/>
                <w:color w:val="auto"/>
              </w:rPr>
            </w:pPr>
            <w:r>
              <w:rPr>
                <w:rFonts w:ascii="Arial" w:cs="Arial" w:eastAsia="Arial" w:hAnsi="Arial"/>
                <w:sz w:val="14"/>
                <w:szCs w:val="14"/>
                <w:b w:val="1"/>
                <w:bCs w:val="1"/>
                <w:color w:val="auto"/>
              </w:rPr>
              <w:t>Pro Forma</w:t>
            </w:r>
          </w:p>
        </w:tc>
      </w:tr>
      <w:tr>
        <w:trPr>
          <w:trHeight w:val="175"/>
        </w:trPr>
        <w:tc>
          <w:tcPr>
            <w:tcW w:w="5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Actual</w:t>
            </w:r>
          </w:p>
        </w:tc>
        <w:tc>
          <w:tcPr>
            <w:tcW w:w="196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Pro Forma(1)</w:t>
            </w:r>
          </w:p>
        </w:tc>
        <w:tc>
          <w:tcPr>
            <w:tcW w:w="132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As Adjusted(2)(3)</w:t>
            </w:r>
          </w:p>
        </w:tc>
      </w:tr>
      <w:tr>
        <w:trPr>
          <w:trHeight w:val="142"/>
        </w:trPr>
        <w:tc>
          <w:tcPr>
            <w:tcW w:w="5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60" w:type="dxa"/>
            <w:vAlign w:val="bottom"/>
          </w:tcPr>
          <w:p>
            <w:pPr>
              <w:jc w:val="center"/>
              <w:ind w:left="144"/>
              <w:spacing w:after="0" w:line="143" w:lineRule="exact"/>
              <w:rPr>
                <w:sz w:val="20"/>
                <w:szCs w:val="20"/>
                <w:color w:val="auto"/>
              </w:rPr>
            </w:pPr>
            <w:r>
              <w:rPr>
                <w:rFonts w:ascii="Arial" w:cs="Arial" w:eastAsia="Arial" w:hAnsi="Arial"/>
                <w:sz w:val="14"/>
                <w:szCs w:val="14"/>
                <w:b w:val="1"/>
                <w:bCs w:val="1"/>
                <w:color w:val="auto"/>
              </w:rPr>
              <w:t>(unaudited)</w:t>
            </w:r>
          </w:p>
        </w:tc>
        <w:tc>
          <w:tcPr>
            <w:tcW w:w="1320" w:type="dxa"/>
            <w:vAlign w:val="bottom"/>
          </w:tcPr>
          <w:p>
            <w:pPr>
              <w:spacing w:after="0"/>
              <w:rPr>
                <w:sz w:val="12"/>
                <w:szCs w:val="12"/>
                <w:color w:val="auto"/>
              </w:rPr>
            </w:pPr>
          </w:p>
        </w:tc>
      </w:tr>
      <w:tr>
        <w:trPr>
          <w:trHeight w:val="175"/>
        </w:trPr>
        <w:tc>
          <w:tcPr>
            <w:tcW w:w="5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60" w:type="dxa"/>
            <w:vAlign w:val="bottom"/>
          </w:tcPr>
          <w:p>
            <w:pPr>
              <w:jc w:val="center"/>
              <w:ind w:left="144"/>
              <w:spacing w:after="0"/>
              <w:rPr>
                <w:sz w:val="20"/>
                <w:szCs w:val="20"/>
                <w:color w:val="auto"/>
              </w:rPr>
            </w:pPr>
            <w:r>
              <w:rPr>
                <w:rFonts w:ascii="Arial" w:cs="Arial" w:eastAsia="Arial" w:hAnsi="Arial"/>
                <w:sz w:val="14"/>
                <w:szCs w:val="14"/>
                <w:b w:val="1"/>
                <w:bCs w:val="1"/>
                <w:color w:val="auto"/>
              </w:rPr>
              <w:t>(dollars in thousands)</w:t>
            </w:r>
          </w:p>
        </w:tc>
        <w:tc>
          <w:tcPr>
            <w:tcW w:w="1320" w:type="dxa"/>
            <w:vAlign w:val="bottom"/>
          </w:tcPr>
          <w:p>
            <w:pPr>
              <w:spacing w:after="0"/>
              <w:rPr>
                <w:sz w:val="15"/>
                <w:szCs w:val="15"/>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40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98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$ 12,140</w:t>
            </w:r>
          </w:p>
        </w:tc>
        <w:tc>
          <w:tcPr>
            <w:tcW w:w="1960" w:type="dxa"/>
            <w:vAlign w:val="bottom"/>
          </w:tcPr>
          <w:p>
            <w:pPr>
              <w:jc w:val="right"/>
              <w:ind w:right="1364"/>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7"/>
                <w:szCs w:val="17"/>
                <w:color w:val="auto"/>
              </w:rPr>
            </w:pPr>
          </w:p>
        </w:tc>
      </w:tr>
      <w:tr>
        <w:trPr>
          <w:trHeight w:val="203"/>
        </w:trPr>
        <w:tc>
          <w:tcPr>
            <w:tcW w:w="5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investments</w:t>
            </w:r>
          </w:p>
        </w:tc>
        <w:tc>
          <w:tcPr>
            <w:tcW w:w="198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29,506</w:t>
            </w:r>
          </w:p>
        </w:tc>
        <w:tc>
          <w:tcPr>
            <w:tcW w:w="1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400" w:type="dxa"/>
            <w:vAlign w:val="bottom"/>
          </w:tcPr>
          <w:p>
            <w:pPr>
              <w:ind w:left="360"/>
              <w:spacing w:after="0" w:line="202" w:lineRule="exact"/>
              <w:rPr>
                <w:sz w:val="20"/>
                <w:szCs w:val="20"/>
                <w:color w:val="auto"/>
              </w:rPr>
            </w:pPr>
            <w:r>
              <w:rPr>
                <w:rFonts w:ascii="Arial" w:cs="Arial" w:eastAsia="Arial" w:hAnsi="Arial"/>
                <w:sz w:val="18"/>
                <w:szCs w:val="18"/>
                <w:color w:val="auto"/>
              </w:rPr>
              <w:t>Inventory</w:t>
            </w:r>
          </w:p>
        </w:tc>
        <w:tc>
          <w:tcPr>
            <w:tcW w:w="198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7,537</w:t>
            </w:r>
          </w:p>
        </w:tc>
        <w:tc>
          <w:tcPr>
            <w:tcW w:w="1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198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106,646</w:t>
            </w:r>
          </w:p>
        </w:tc>
        <w:tc>
          <w:tcPr>
            <w:tcW w:w="1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400" w:type="dxa"/>
            <w:vAlign w:val="bottom"/>
          </w:tcPr>
          <w:p>
            <w:pPr>
              <w:ind w:left="360"/>
              <w:spacing w:after="0" w:line="202" w:lineRule="exact"/>
              <w:rPr>
                <w:sz w:val="20"/>
                <w:szCs w:val="20"/>
                <w:color w:val="auto"/>
              </w:rPr>
            </w:pPr>
            <w:r>
              <w:rPr>
                <w:rFonts w:ascii="Arial" w:cs="Arial" w:eastAsia="Arial" w:hAnsi="Arial"/>
                <w:sz w:val="18"/>
                <w:szCs w:val="18"/>
                <w:color w:val="auto"/>
              </w:rPr>
              <w:t>Current portion of long-term debt and long-term debt</w:t>
            </w:r>
          </w:p>
        </w:tc>
        <w:tc>
          <w:tcPr>
            <w:tcW w:w="198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9,259</w:t>
            </w:r>
          </w:p>
        </w:tc>
        <w:tc>
          <w:tcPr>
            <w:tcW w:w="1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198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64,001</w:t>
            </w:r>
          </w:p>
        </w:tc>
        <w:tc>
          <w:tcPr>
            <w:tcW w:w="1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400" w:type="dxa"/>
            <w:vAlign w:val="bottom"/>
          </w:tcPr>
          <w:p>
            <w:pPr>
              <w:ind w:left="360"/>
              <w:spacing w:after="0" w:line="202" w:lineRule="exact"/>
              <w:rPr>
                <w:sz w:val="20"/>
                <w:szCs w:val="20"/>
                <w:color w:val="auto"/>
              </w:rPr>
            </w:pPr>
            <w:r>
              <w:rPr>
                <w:rFonts w:ascii="Arial" w:cs="Arial" w:eastAsia="Arial" w:hAnsi="Arial"/>
                <w:sz w:val="18"/>
                <w:szCs w:val="18"/>
                <w:color w:val="auto"/>
              </w:rPr>
              <w:t>Preferred stock</w:t>
            </w:r>
          </w:p>
        </w:tc>
        <w:tc>
          <w:tcPr>
            <w:tcW w:w="1980" w:type="dxa"/>
            <w:vAlign w:val="bottom"/>
            <w:gridSpan w:val="2"/>
          </w:tcPr>
          <w:p>
            <w:pPr>
              <w:jc w:val="right"/>
              <w:ind w:right="268"/>
              <w:spacing w:after="0" w:line="202" w:lineRule="exact"/>
              <w:rPr>
                <w:sz w:val="20"/>
                <w:szCs w:val="20"/>
                <w:color w:val="auto"/>
              </w:rPr>
            </w:pPr>
            <w:r>
              <w:rPr>
                <w:rFonts w:ascii="Arial" w:cs="Arial" w:eastAsia="Arial" w:hAnsi="Arial"/>
                <w:sz w:val="18"/>
                <w:szCs w:val="18"/>
                <w:color w:val="auto"/>
              </w:rPr>
              <w:t>1</w:t>
            </w:r>
          </w:p>
        </w:tc>
        <w:tc>
          <w:tcPr>
            <w:tcW w:w="19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Stockholders’ equity</w:t>
            </w:r>
          </w:p>
        </w:tc>
        <w:tc>
          <w:tcPr>
            <w:tcW w:w="1980" w:type="dxa"/>
            <w:vAlign w:val="bottom"/>
            <w:gridSpan w:val="2"/>
            <w:shd w:val="clear" w:color="auto" w:fill="CCEEFF"/>
          </w:tcPr>
          <w:p>
            <w:pPr>
              <w:jc w:val="right"/>
              <w:ind w:right="268"/>
              <w:spacing w:after="0" w:line="202" w:lineRule="exact"/>
              <w:rPr>
                <w:sz w:val="20"/>
                <w:szCs w:val="20"/>
                <w:color w:val="auto"/>
              </w:rPr>
            </w:pPr>
            <w:r>
              <w:rPr>
                <w:rFonts w:ascii="Arial" w:cs="Arial" w:eastAsia="Arial" w:hAnsi="Arial"/>
                <w:sz w:val="18"/>
                <w:szCs w:val="18"/>
                <w:color w:val="auto"/>
              </w:rPr>
              <w:t>42,645</w:t>
            </w:r>
          </w:p>
        </w:tc>
        <w:tc>
          <w:tcPr>
            <w:tcW w:w="1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bl>
    <w:p>
      <w:pPr>
        <w:spacing w:after="0" w:line="175" w:lineRule="exact"/>
        <w:rPr>
          <w:sz w:val="20"/>
          <w:szCs w:val="20"/>
          <w:color w:val="auto"/>
        </w:rPr>
      </w:pPr>
    </w:p>
    <w:p>
      <w:pPr>
        <w:ind w:left="700" w:right="40" w:hanging="318"/>
        <w:spacing w:after="0" w:line="23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column reflects (a) the conversion of all outstanding shares of preferred stock into shares of our Class 2 common stock immediately prior to the closing of this offering and (b) the filing and effectiveness of our amended and restated certificate of incorporation upon the closing of this offering.</w:t>
      </w:r>
    </w:p>
    <w:p>
      <w:pPr>
        <w:spacing w:after="0" w:line="2" w:lineRule="exact"/>
        <w:rPr>
          <w:rFonts w:ascii="Arial" w:cs="Arial" w:eastAsia="Arial" w:hAnsi="Arial"/>
          <w:sz w:val="18"/>
          <w:szCs w:val="18"/>
          <w:color w:val="auto"/>
        </w:rPr>
      </w:pPr>
    </w:p>
    <w:p>
      <w:pPr>
        <w:ind w:left="700" w:hanging="318"/>
        <w:spacing w:after="0" w:line="23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as adjusted column reflects the sale of shares of our Class 2 common stock in this offering at an assumed initial</w:t>
      </w:r>
    </w:p>
    <w:p>
      <w:pPr>
        <w:ind w:left="700"/>
        <w:spacing w:after="0"/>
        <w:rPr>
          <w:rFonts w:ascii="Arial" w:cs="Arial" w:eastAsia="Arial" w:hAnsi="Arial"/>
          <w:sz w:val="18"/>
          <w:szCs w:val="18"/>
          <w:color w:val="auto"/>
        </w:rPr>
      </w:pPr>
      <w:r>
        <w:rPr>
          <w:rFonts w:ascii="Arial" w:cs="Arial" w:eastAsia="Arial" w:hAnsi="Arial"/>
          <w:sz w:val="18"/>
          <w:szCs w:val="18"/>
          <w:color w:val="auto"/>
        </w:rPr>
        <w:t>public offering price of $</w:t>
      </w:r>
      <w:r>
        <w:rPr>
          <w:rFonts w:ascii="Arial" w:cs="Arial" w:eastAsia="Arial" w:hAnsi="Arial"/>
          <w:sz w:val="17"/>
          <w:szCs w:val="17"/>
          <w:color w:val="auto"/>
        </w:rPr>
        <w:t>per share, the midpoint of the price range set forth on the cover page of this prospectus, after</w:t>
      </w:r>
    </w:p>
    <w:p>
      <w:pPr>
        <w:ind w:left="700"/>
        <w:spacing w:after="0" w:line="235" w:lineRule="auto"/>
        <w:rPr>
          <w:sz w:val="20"/>
          <w:szCs w:val="20"/>
          <w:color w:val="auto"/>
        </w:rPr>
      </w:pPr>
      <w:r>
        <w:rPr>
          <w:rFonts w:ascii="Arial" w:cs="Arial" w:eastAsia="Arial" w:hAnsi="Arial"/>
          <w:sz w:val="18"/>
          <w:szCs w:val="18"/>
          <w:color w:val="auto"/>
        </w:rPr>
        <w:t>deducting the estimated underwriting discount and estimated offering expenses payable by us.</w:t>
      </w:r>
    </w:p>
    <w:p>
      <w:pPr>
        <w:spacing w:after="0" w:line="1" w:lineRule="exact"/>
        <w:rPr>
          <w:sz w:val="20"/>
          <w:szCs w:val="20"/>
          <w:color w:val="auto"/>
        </w:rPr>
      </w:pPr>
    </w:p>
    <w:p>
      <w:pPr>
        <w:ind w:left="700" w:right="80" w:hanging="310"/>
        <w:spacing w:after="0" w:line="234" w:lineRule="auto"/>
        <w:rPr>
          <w:sz w:val="20"/>
          <w:szCs w:val="20"/>
          <w:color w:val="auto"/>
        </w:rPr>
      </w:pPr>
      <w:r>
        <w:rPr>
          <w:rFonts w:ascii="Arial" w:cs="Arial" w:eastAsia="Arial" w:hAnsi="Arial"/>
          <w:sz w:val="18"/>
          <w:szCs w:val="18"/>
          <w:color w:val="auto"/>
        </w:rPr>
        <w:t>(3) Each $1.00 increase (decrease) in the assumed initial public offering price of $</w:t>
      </w:r>
      <w:r>
        <w:rPr>
          <w:sz w:val="20"/>
          <w:szCs w:val="20"/>
          <w:color w:val="auto"/>
        </w:rPr>
        <w:t xml:space="preserve"> </w:t>
      </w:r>
      <w:r>
        <w:rPr>
          <w:rFonts w:ascii="Arial" w:cs="Arial" w:eastAsia="Arial" w:hAnsi="Arial"/>
          <w:sz w:val="18"/>
          <w:szCs w:val="18"/>
          <w:color w:val="auto"/>
        </w:rPr>
        <w:t>per share, the midpoint of the price range set forth on the cover page of this prospectus, would increase (decrease) each of cash, total assets and total stockholder’s equity</w:t>
      </w:r>
    </w:p>
    <w:p>
      <w:pPr>
        <w:spacing w:after="0" w:line="2" w:lineRule="exact"/>
        <w:rPr>
          <w:sz w:val="20"/>
          <w:szCs w:val="20"/>
          <w:color w:val="auto"/>
        </w:rPr>
      </w:pPr>
    </w:p>
    <w:p>
      <w:pPr>
        <w:ind w:left="700" w:right="20"/>
        <w:spacing w:after="0" w:line="237" w:lineRule="auto"/>
        <w:rPr>
          <w:sz w:val="20"/>
          <w:szCs w:val="20"/>
          <w:color w:val="auto"/>
        </w:rPr>
      </w:pPr>
      <w:r>
        <w:rPr>
          <w:rFonts w:ascii="Arial" w:cs="Arial" w:eastAsia="Arial" w:hAnsi="Arial"/>
          <w:sz w:val="18"/>
          <w:szCs w:val="18"/>
          <w:color w:val="auto"/>
        </w:rPr>
        <w:t>(deficit) on a pro forma as adjusted basis by $ million, assuming that the number of shares offered by us, as set forth on the cover page of this prospectus remains the same, after deducting the estimated underwriting discount and estimated offering expenses payable by us. Similarly, each increase (decrease) by 1,000,000 shares in the number of shares offered by us would increase (decrease) each of cash, total assets and total stockholders’ equity (deficit) on a pro forma as adjusted basis by $ million, assuming that the assumed initial public offering price remains the same, after deducting the estimated underwriting discount. The pro forma as adjusted information discussed above is illustrative only and will be adjusted based on the actual initial public offering price and other terms of this offering determined at pricing.</w:t>
      </w:r>
    </w:p>
    <w:p>
      <w:pPr>
        <w:spacing w:after="0" w:line="299" w:lineRule="exact"/>
        <w:rPr>
          <w:sz w:val="20"/>
          <w:szCs w:val="20"/>
          <w:color w:val="auto"/>
        </w:rPr>
      </w:pPr>
    </w:p>
    <w:tbl>
      <w:tblPr>
        <w:tblLayout w:type="fixed"/>
        <w:tblInd w:w="700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7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Year Ended</w:t>
            </w: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5"/>
                <w:szCs w:val="15"/>
                <w:color w:val="auto"/>
              </w:rPr>
            </w:pPr>
          </w:p>
        </w:tc>
        <w:tc>
          <w:tcPr>
            <w:tcW w:w="1240" w:type="dxa"/>
            <w:vAlign w:val="bottom"/>
          </w:tcPr>
          <w:p>
            <w:pPr>
              <w:jc w:val="right"/>
              <w:ind w:right="488"/>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3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2017</w:t>
            </w:r>
          </w:p>
        </w:tc>
        <w:tc>
          <w:tcPr>
            <w:tcW w:w="12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2018</w:t>
            </w:r>
          </w:p>
        </w:tc>
      </w:tr>
      <w:tr>
        <w:trPr>
          <w:trHeight w:val="168"/>
        </w:trPr>
        <w:tc>
          <w:tcPr>
            <w:tcW w:w="520" w:type="dxa"/>
            <w:vAlign w:val="bottom"/>
          </w:tcPr>
          <w:p>
            <w:pPr>
              <w:spacing w:after="0"/>
              <w:rPr>
                <w:sz w:val="14"/>
                <w:szCs w:val="14"/>
                <w:color w:val="auto"/>
              </w:rPr>
            </w:pPr>
          </w:p>
        </w:tc>
        <w:tc>
          <w:tcPr>
            <w:tcW w:w="2280" w:type="dxa"/>
            <w:vAlign w:val="bottom"/>
            <w:gridSpan w:val="3"/>
          </w:tcPr>
          <w:p>
            <w:pPr>
              <w:ind w:left="740"/>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00"/>
        </w:trPr>
        <w:tc>
          <w:tcPr>
            <w:tcW w:w="4280" w:type="dxa"/>
            <w:vAlign w:val="bottom"/>
          </w:tcPr>
          <w:p>
            <w:pPr>
              <w:spacing w:after="0" w:line="200" w:lineRule="exact"/>
              <w:rPr>
                <w:sz w:val="20"/>
                <w:szCs w:val="20"/>
                <w:color w:val="auto"/>
              </w:rPr>
            </w:pPr>
            <w:r>
              <w:rPr>
                <w:rFonts w:ascii="Arial" w:cs="Arial" w:eastAsia="Arial" w:hAnsi="Arial"/>
                <w:sz w:val="18"/>
                <w:szCs w:val="18"/>
                <w:b w:val="1"/>
                <w:bCs w:val="1"/>
                <w:color w:val="auto"/>
              </w:rPr>
              <w:t>Adjusted EBITDA:</w:t>
            </w:r>
          </w:p>
        </w:tc>
        <w:tc>
          <w:tcPr>
            <w:tcW w:w="3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4280" w:type="dxa"/>
            <w:vAlign w:val="bottom"/>
          </w:tcPr>
          <w:p>
            <w:pPr>
              <w:ind w:left="36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3240" w:type="dxa"/>
            <w:vAlign w:val="bottom"/>
          </w:tcPr>
          <w:p>
            <w:pPr>
              <w:jc w:val="right"/>
              <w:ind w:right="130"/>
              <w:spacing w:after="0"/>
              <w:rPr>
                <w:sz w:val="20"/>
                <w:szCs w:val="20"/>
                <w:color w:val="auto"/>
              </w:rPr>
            </w:pPr>
            <w:r>
              <w:rPr>
                <w:rFonts w:ascii="Arial" w:cs="Arial" w:eastAsia="Arial" w:hAnsi="Arial"/>
                <w:sz w:val="18"/>
                <w:szCs w:val="18"/>
                <w:color w:val="auto"/>
              </w:rPr>
              <w:t>$(5,002)</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$(5,506)</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  192</w:t>
            </w:r>
          </w:p>
        </w:tc>
        <w:tc>
          <w:tcPr>
            <w:tcW w:w="920" w:type="dxa"/>
            <w:vAlign w:val="bottom"/>
          </w:tcPr>
          <w:p>
            <w:pPr>
              <w:jc w:val="right"/>
              <w:spacing w:after="0"/>
              <w:rPr>
                <w:sz w:val="20"/>
                <w:szCs w:val="20"/>
                <w:color w:val="auto"/>
              </w:rPr>
            </w:pPr>
            <w:r>
              <w:rPr>
                <w:rFonts w:ascii="Arial" w:cs="Arial" w:eastAsia="Arial" w:hAnsi="Arial"/>
                <w:sz w:val="18"/>
                <w:szCs w:val="18"/>
                <w:color w:val="auto"/>
              </w:rPr>
              <w:t>$(3,230)</w:t>
            </w:r>
          </w:p>
        </w:tc>
      </w:tr>
    </w:tbl>
    <w:p>
      <w:pPr>
        <w:spacing w:after="0" w:line="175" w:lineRule="exact"/>
        <w:rPr>
          <w:sz w:val="20"/>
          <w:szCs w:val="20"/>
          <w:color w:val="auto"/>
        </w:rPr>
      </w:pPr>
    </w:p>
    <w:p>
      <w:pPr>
        <w:ind w:left="700" w:right="160" w:hanging="318"/>
        <w:spacing w:after="0" w:line="23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supplement our consolidated financial statements, which are prepared and presented in accordance with GAAP, we use Adjusted EBITDA, as described below, to understand and evaluate our operating performance. Adjusted EBITDA, which may be different than similarly titled measures used by other companies, is presented to help investors’ overall understanding of our financial performance and should not be considered a substitute for, or superior to, the financial information prepared and presented in accordance with GAAP. We use the non-GAAP financial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948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43948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700" w:right="680"/>
        <w:spacing w:after="0" w:line="246" w:lineRule="auto"/>
        <w:rPr>
          <w:sz w:val="20"/>
          <w:szCs w:val="20"/>
          <w:color w:val="auto"/>
        </w:rPr>
      </w:pPr>
      <w:r>
        <w:rPr>
          <w:rFonts w:ascii="Arial" w:cs="Arial" w:eastAsia="Arial" w:hAnsi="Arial"/>
          <w:sz w:val="18"/>
          <w:szCs w:val="18"/>
          <w:color w:val="auto"/>
        </w:rPr>
        <w:t>measure of Adjusted EBITDA, which is defined as net loss, excluding interest expense; other (income) expense, net; foreign exchange gain, net; depreciation and amortization; and stock-based compensation expense.</w:t>
      </w:r>
    </w:p>
    <w:p>
      <w:pPr>
        <w:spacing w:after="0" w:line="197" w:lineRule="exact"/>
        <w:rPr>
          <w:sz w:val="20"/>
          <w:szCs w:val="20"/>
          <w:color w:val="auto"/>
        </w:rPr>
      </w:pPr>
    </w:p>
    <w:p>
      <w:pPr>
        <w:jc w:val="both"/>
        <w:ind w:left="380" w:right="400" w:firstLine="320"/>
        <w:spacing w:after="0"/>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GAAP. There are a number of limitations related to the use of Adjusted EBITDA as compared to the closest comparable GAAP measure. Some of these limitations are that:</w:t>
      </w:r>
    </w:p>
    <w:p>
      <w:pPr>
        <w:spacing w:after="0" w:line="230" w:lineRule="exact"/>
        <w:rPr>
          <w:sz w:val="20"/>
          <w:szCs w:val="20"/>
          <w:color w:val="auto"/>
        </w:rPr>
      </w:pPr>
    </w:p>
    <w:p>
      <w:pPr>
        <w:ind w:left="680" w:right="500" w:hanging="298"/>
        <w:spacing w:after="0" w:line="246" w:lineRule="auto"/>
        <w:tabs>
          <w:tab w:leader="none" w:pos="6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Adjusted EBITDA excludes certain recurring, non-cash charges such as depreciation and amortization and, although these are non-cash charges, the assets being depreciated and amortized may have to be replaced in the future;</w:t>
      </w:r>
    </w:p>
    <w:p>
      <w:pPr>
        <w:spacing w:after="0" w:line="102" w:lineRule="exact"/>
        <w:rPr>
          <w:rFonts w:ascii="Arial" w:cs="Arial" w:eastAsia="Arial" w:hAnsi="Arial"/>
          <w:sz w:val="15"/>
          <w:szCs w:val="15"/>
          <w:color w:val="auto"/>
        </w:rPr>
      </w:pPr>
    </w:p>
    <w:p>
      <w:pPr>
        <w:ind w:left="680" w:right="800" w:hanging="298"/>
        <w:spacing w:after="0"/>
        <w:tabs>
          <w:tab w:leader="none" w:pos="6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Adjusted EBITDA excludes foreign exchange gains or losses, net, which includes the effect of both realized and unrealized foreign exchange transactions. Unrealized gains or losses represent foreign exchange revaluation of foreign denominated monetary assets and liabilities;</w:t>
      </w:r>
    </w:p>
    <w:p>
      <w:pPr>
        <w:spacing w:after="0" w:line="108" w:lineRule="exact"/>
        <w:rPr>
          <w:rFonts w:ascii="Arial" w:cs="Arial" w:eastAsia="Arial" w:hAnsi="Arial"/>
          <w:sz w:val="15"/>
          <w:szCs w:val="15"/>
          <w:color w:val="auto"/>
        </w:rPr>
      </w:pPr>
    </w:p>
    <w:p>
      <w:pPr>
        <w:ind w:left="680" w:right="700" w:hanging="298"/>
        <w:spacing w:after="0" w:line="246" w:lineRule="auto"/>
        <w:tabs>
          <w:tab w:leader="none" w:pos="6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Adjusted EBITDA excludes stock-based compensation expense, which has been, and will continue to be for the foreseeable future, a significant recurring expense in our business and an important part of our compensation strategy; and</w:t>
      </w:r>
    </w:p>
    <w:p>
      <w:pPr>
        <w:spacing w:after="0" w:line="102" w:lineRule="exact"/>
        <w:rPr>
          <w:rFonts w:ascii="Arial" w:cs="Arial" w:eastAsia="Arial" w:hAnsi="Arial"/>
          <w:sz w:val="15"/>
          <w:szCs w:val="15"/>
          <w:color w:val="auto"/>
        </w:rPr>
      </w:pPr>
    </w:p>
    <w:p>
      <w:pPr>
        <w:ind w:left="680" w:right="1020" w:hanging="298"/>
        <w:spacing w:after="0" w:line="246" w:lineRule="auto"/>
        <w:tabs>
          <w:tab w:leader="none" w:pos="68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Adjusted EBITDA does not reflect interest expense, which has been, and will continue to be for the foreseeable future, a significant recurring expense in our business and reduce cash available to 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0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2016</w:t>
            </w:r>
          </w:p>
        </w:tc>
        <w:tc>
          <w:tcPr>
            <w:tcW w:w="1040" w:type="dxa"/>
            <w:vAlign w:val="bottom"/>
            <w:tcBorders>
              <w:top w:val="single" w:sz="8" w:color="auto"/>
              <w:bottom w:val="single" w:sz="8" w:color="auto"/>
            </w:tcBorders>
            <w:gridSpan w:val="2"/>
          </w:tcPr>
          <w:p>
            <w:pPr>
              <w:jc w:val="right"/>
              <w:ind w:right="139"/>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64"/>
              <w:spacing w:after="0" w:line="155" w:lineRule="exact"/>
              <w:rPr>
                <w:sz w:val="20"/>
                <w:szCs w:val="20"/>
                <w:color w:val="auto"/>
              </w:rPr>
            </w:pPr>
            <w:r>
              <w:rPr>
                <w:rFonts w:ascii="Arial" w:cs="Arial" w:eastAsia="Arial" w:hAnsi="Arial"/>
                <w:sz w:val="14"/>
                <w:szCs w:val="14"/>
                <w:b w:val="1"/>
                <w:bCs w:val="1"/>
                <w:color w:val="auto"/>
              </w:rPr>
              <w:t>2017</w:t>
            </w:r>
          </w:p>
        </w:tc>
        <w:tc>
          <w:tcPr>
            <w:tcW w:w="1080" w:type="dxa"/>
            <w:vAlign w:val="bottom"/>
            <w:tcBorders>
              <w:top w:val="single" w:sz="8" w:color="auto"/>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80" w:type="dxa"/>
            <w:vAlign w:val="bottom"/>
            <w:vMerge w:val="restart"/>
          </w:tcPr>
          <w:p>
            <w:pPr>
              <w:spacing w:after="0"/>
              <w:rPr>
                <w:sz w:val="13"/>
                <w:szCs w:val="13"/>
                <w:color w:val="auto"/>
              </w:rPr>
            </w:pPr>
          </w:p>
        </w:tc>
        <w:tc>
          <w:tcPr>
            <w:tcW w:w="42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 reconciliation:</w:t>
            </w:r>
          </w:p>
        </w:tc>
        <w:tc>
          <w:tcPr>
            <w:tcW w:w="2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26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34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$(7,883)</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$(7,809)</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$(679)</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(5,181)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3400" w:type="dxa"/>
            <w:vAlign w:val="bottom"/>
            <w:gridSpan w:val="2"/>
            <w:shd w:val="clear" w:color="auto" w:fill="CCEEFF"/>
          </w:tcPr>
          <w:p>
            <w:pPr>
              <w:jc w:val="right"/>
              <w:ind w:right="64"/>
              <w:spacing w:after="0" w:line="202" w:lineRule="exact"/>
              <w:rPr>
                <w:sz w:val="20"/>
                <w:szCs w:val="20"/>
                <w:color w:val="auto"/>
              </w:rPr>
            </w:pPr>
            <w:r>
              <w:rPr>
                <w:rFonts w:ascii="Arial" w:cs="Arial" w:eastAsia="Arial" w:hAnsi="Arial"/>
                <w:sz w:val="18"/>
                <w:szCs w:val="18"/>
                <w:color w:val="auto"/>
              </w:rPr>
              <w:t>1,019</w:t>
            </w:r>
          </w:p>
        </w:tc>
        <w:tc>
          <w:tcPr>
            <w:tcW w:w="1040" w:type="dxa"/>
            <w:vAlign w:val="bottom"/>
            <w:gridSpan w:val="2"/>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1,686</w:t>
            </w:r>
          </w:p>
        </w:tc>
        <w:tc>
          <w:tcPr>
            <w:tcW w:w="880" w:type="dxa"/>
            <w:vAlign w:val="bottom"/>
            <w:gridSpan w:val="2"/>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496</w:t>
            </w:r>
          </w:p>
        </w:tc>
        <w:tc>
          <w:tcPr>
            <w:tcW w:w="10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26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3400" w:type="dxa"/>
            <w:vAlign w:val="bottom"/>
            <w:gridSpan w:val="2"/>
          </w:tcPr>
          <w:p>
            <w:pPr>
              <w:jc w:val="right"/>
              <w:ind w:right="64"/>
              <w:spacing w:after="0" w:line="202" w:lineRule="exact"/>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14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Foreign exchange loss (gain), net</w:t>
            </w:r>
          </w:p>
        </w:tc>
        <w:tc>
          <w:tcPr>
            <w:tcW w:w="3400" w:type="dxa"/>
            <w:vAlign w:val="bottom"/>
            <w:gridSpan w:val="2"/>
            <w:shd w:val="clear" w:color="auto" w:fill="CCEEFF"/>
          </w:tcPr>
          <w:p>
            <w:pPr>
              <w:jc w:val="right"/>
              <w:ind w:right="4"/>
              <w:spacing w:after="0" w:line="202" w:lineRule="exact"/>
              <w:rPr>
                <w:sz w:val="20"/>
                <w:szCs w:val="20"/>
                <w:color w:val="auto"/>
              </w:rPr>
            </w:pPr>
            <w:r>
              <w:rPr>
                <w:rFonts w:ascii="Arial" w:cs="Arial" w:eastAsia="Arial" w:hAnsi="Arial"/>
                <w:sz w:val="18"/>
                <w:szCs w:val="18"/>
                <w:color w:val="auto"/>
              </w:rPr>
              <w:t>(186)</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(1,363)</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0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1,146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26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3400" w:type="dxa"/>
            <w:vAlign w:val="bottom"/>
            <w:gridSpan w:val="2"/>
          </w:tcPr>
          <w:p>
            <w:pPr>
              <w:jc w:val="right"/>
              <w:ind w:right="64"/>
              <w:spacing w:after="0" w:line="202" w:lineRule="exact"/>
              <w:rPr>
                <w:sz w:val="20"/>
                <w:szCs w:val="20"/>
                <w:color w:val="auto"/>
              </w:rPr>
            </w:pPr>
            <w:r>
              <w:rPr>
                <w:rFonts w:ascii="Arial" w:cs="Arial" w:eastAsia="Arial" w:hAnsi="Arial"/>
                <w:sz w:val="18"/>
                <w:szCs w:val="18"/>
                <w:color w:val="auto"/>
              </w:rPr>
              <w:t>1,953</w:t>
            </w:r>
          </w:p>
        </w:tc>
        <w:tc>
          <w:tcPr>
            <w:tcW w:w="104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1,853</w:t>
            </w:r>
          </w:p>
        </w:tc>
        <w:tc>
          <w:tcPr>
            <w:tcW w:w="88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545</w:t>
            </w:r>
          </w:p>
        </w:tc>
        <w:tc>
          <w:tcPr>
            <w:tcW w:w="10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479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2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26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64"/>
              <w:spacing w:after="0" w:line="202" w:lineRule="exact"/>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9"/>
              <w:spacing w:after="0" w:line="202" w:lineRule="exact"/>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3400" w:type="dxa"/>
            <w:vAlign w:val="bottom"/>
            <w:gridSpan w:val="2"/>
          </w:tcPr>
          <w:p>
            <w:pPr>
              <w:jc w:val="right"/>
              <w:ind w:right="4"/>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(5,002)</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(5,506)</w:t>
            </w:r>
          </w:p>
        </w:tc>
        <w:tc>
          <w:tcPr>
            <w:tcW w:w="880" w:type="dxa"/>
            <w:vAlign w:val="bottom"/>
            <w:gridSpan w:val="2"/>
          </w:tcPr>
          <w:p>
            <w:pPr>
              <w:jc w:val="right"/>
              <w:ind w:right="44"/>
              <w:spacing w:after="0"/>
              <w:rPr>
                <w:sz w:val="20"/>
                <w:szCs w:val="20"/>
                <w:color w:val="auto"/>
              </w:rPr>
            </w:pPr>
            <w:r>
              <w:rPr>
                <w:rFonts w:ascii="Arial" w:cs="Arial" w:eastAsia="Arial" w:hAnsi="Arial"/>
                <w:sz w:val="18"/>
                <w:szCs w:val="18"/>
                <w:color w:val="auto"/>
              </w:rPr>
              <w:t>$ 192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(3,230)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40" w:type="dxa"/>
            <w:vAlign w:val="bottom"/>
          </w:tcPr>
          <w:p>
            <w:pPr>
              <w:jc w:val="right"/>
              <w:ind w:right="1370"/>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firstLine="331"/>
        <w:spacing w:after="0"/>
        <w:rPr>
          <w:sz w:val="20"/>
          <w:szCs w:val="20"/>
          <w:color w:val="auto"/>
        </w:rPr>
      </w:pPr>
      <w:r>
        <w:rPr>
          <w:rFonts w:ascii="Arial" w:cs="Arial" w:eastAsia="Arial" w:hAnsi="Arial"/>
          <w:sz w:val="18"/>
          <w:szCs w:val="18"/>
          <w:i w:val="1"/>
          <w:iCs w:val="1"/>
          <w:color w:val="auto"/>
        </w:rPr>
        <w:t>Investing in our Class 2 common stock is speculative and involves a high degree of risk. In addition to all other information set out in this prospectus, including our consolidated financial statements and the related notes included elsewhere in this prospectus, the following specific factors could materially adversely affect us and should be considered when deciding whether to make an investment in our Class 2 common stock. Other risks and uncertainties that we do not presently consider to be material, or of which we are not presently aware, may become important factors that affect our future financial condition and results of operations. If any of the risks discussed below actually occur, our business, financial condition, results of operations and prospects could be materially adversely affected, the value of our Class 2 common stock could decline and you may lose all or part of your investment.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our Medical Cannabis Business and the Medical Cannabis Industry</w:t>
      </w:r>
    </w:p>
    <w:p>
      <w:pPr>
        <w:spacing w:after="0" w:line="212" w:lineRule="exact"/>
        <w:rPr>
          <w:sz w:val="20"/>
          <w:szCs w:val="20"/>
          <w:color w:val="auto"/>
        </w:rPr>
      </w:pPr>
    </w:p>
    <w:p>
      <w:pPr>
        <w:ind w:left="200" w:right="440"/>
        <w:spacing w:after="0" w:line="253" w:lineRule="auto"/>
        <w:rPr>
          <w:sz w:val="20"/>
          <w:szCs w:val="20"/>
          <w:color w:val="auto"/>
        </w:rPr>
      </w:pPr>
      <w:r>
        <w:rPr>
          <w:rFonts w:ascii="Arial" w:cs="Arial" w:eastAsia="Arial" w:hAnsi="Arial"/>
          <w:sz w:val="18"/>
          <w:szCs w:val="18"/>
          <w:b w:val="1"/>
          <w:bCs w:val="1"/>
          <w:i w:val="1"/>
          <w:iCs w:val="1"/>
          <w:color w:val="auto"/>
        </w:rPr>
        <w:t>We are dependent upon regulatory approvals and licenses for our ability to grow, process, package, store, sell and export medical cannabis and other products derived therefrom, and these regulatory approvals are subject to ongoing compliance requirements, reporting obligations and fixed terms requiring renewal.</w:t>
      </w:r>
    </w:p>
    <w:p>
      <w:pPr>
        <w:spacing w:after="0" w:line="56"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Our ability to grow, process, package, store and sell dried cannabis and cannabis extracts, including both bottled oil and capsules, for medical purposes in Canada is dependent on our current Health Canada license under the ACMPR covering our production facility at our Tilray North America Campus in Nanaimo, British Columbia, or Tilray Nanaimo. This license allows us to produce dried cannabis and certain cannabis extracts for medical purposes at Tilray Nanaimo and to sell and distribute, for medical purposes, dried cannabis, bottled cannabis oil and encapsulated cannabis oil in Canada. Our ACMPR license for Tilray Nanaimo is valid until September 2019 and will need to be renewed at that time.</w:t>
      </w:r>
    </w:p>
    <w:p>
      <w:pPr>
        <w:spacing w:after="0" w:line="205"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We also hold a license under the ACMPR covering our facility in Enniskillen, Ontario, or High Park Farms. This license allows us to cultivate cannabis plants, which we intend to use to service the adult-use market. This license is valid until April 2021 and will need to be renewed at that time; it will also need to be amended prior to that time to include additional activities, including processing and sale of dried cannabis.</w:t>
      </w:r>
    </w:p>
    <w:p>
      <w:pPr>
        <w:spacing w:after="0" w:line="20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are also dependent on our license under Canada’s Narcotic Control Regulations, or NCR, for our ability to import and export medical cannabis products to and from specified jurisdictions around the world, subject to obtaining, for each specific shipment, an export approval from Health Canada and an import approval from the applicable regulatory authority in the country to which the export is being made. Our license under the NCR is valid until December 2018 and will need to be renewed at that time. Our ability to operate in our proposed facility at our Tilray European Union Campus located in Cantanhede, Portugal, or Tilray Portugal, is dependent on our current authorization for the cultivation, import and export of cannabis, and in the future will be dependent on our pending authorization for the manufacture of cannabis products, by the Portuguese National Authority of Medicines and Health Products, or INFARMED. All licenses are subject to ongoing compliance and reporting requirements and renewal. This license is valid for a single growing season at a time and notification to INFARMED is needed to renew the license for subsequent growing seasons.</w:t>
      </w:r>
    </w:p>
    <w:p>
      <w:pPr>
        <w:spacing w:after="0" w:line="207"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In February 2018, we submitted an ACMPR license application for our proposed facility in London, Ontario, or the High Park Processing Facility. This application has not yet been approved. Any future medical cannabis production facilities that we operate in Canada will also be subject to separate licensing requirements under the ACMPR and, if necessary for the activities we propose to conduct at those facilities, the NCR. Although we believe that we will meet the requirements of the ACMPR and NCR for future renewals of our existing licenses, and grants of permits under such licenses, and to obtain corresponding licenses for future facilities in Canada, there can be no assurance that existing</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licenses will be renewed or new licenses obtained on the same or similar terms as our existing Tilray Nanaimo licenses, nor can there be any assurance that Health Canada will continue to issue export permits on the same terms, or that other countries will allow, or continue to allow, imports.</w:t>
      </w:r>
    </w:p>
    <w:p>
      <w:pPr>
        <w:spacing w:after="0" w:line="203"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Further, we are subject to ongoing inspections by Health Canada to monitor our compliance with its licensing requirements. Our existing licenses and any new licenses that we may obtain in the future in Canada or other jurisdictions may be revoked or restricted at any time in the event that we are found not to be in compliance. Should we fail to comply with the applicable regulatory requirements or with conditions set out under our licenses, should our licenses not be renewed when required, or be renewed on different terms, or should our licenses be revoked, we may not be able to continue producing or distributing medical cannabis in Canada or other jurisdictions or export medical cannabis outside of Canada or Portugal.</w:t>
      </w:r>
    </w:p>
    <w:p>
      <w:pPr>
        <w:spacing w:after="0" w:line="20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addition, we may be subject to enforcement proceedings resulting from a failure to comply with applicable regulatory requirements in Canada or other jurisdictions, which could result in damage awards, a suspension of our existing approvals, a withdrawal of our existing approvals, the denial of the renewal of our existing approvals or any future approvals, recalls of products, product seizures, the imposition of future operating restrictions on our business or operations or the imposition of civil or criminal fines or penalties against us, our officers and directors and other parties. These enforcement actions could delay or entirely prevent us from continuing the production, testing, marketing, sale or distribution of our medical products and divert management’s attention and resources away from our business operations.</w:t>
      </w:r>
    </w:p>
    <w:p>
      <w:pPr>
        <w:spacing w:after="0" w:line="181"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The laws, regulations and guidelines generally applicable to the medical cannabis industry in Canada and other countries may change in ways that impact our ability to continue our business as currently conducted or proposed to be conducted.</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successful execution of our medical cannabis business objectives is contingent upon compliance with all applicable laws and regulatory requirements in Canada and other jurisdictions, including the requirements of the ACMPR and the NCR in Canada, and obtaining all other required regulatory approvals for the sale, import and export of our medical cannabis products. The commercial medical cannabis industry is a relatively new industry in Canada and the ACMPR is a regime that has only been in effect in its current form since 2016. The effect of Health Canada’s administration, application and enforcement of the regime established by the ACMPR and the NCR on us and our business in Canada, or the administration, application and enforcement of the laws of other countries by the appropriate regulators in those countries, may significantly delay or impact our ability to participate in the Canadian medical cannabis market or medical cannabis markets outside Canada, to develop medical cannabis products and produce and sell these medical cannabis products.</w:t>
      </w:r>
    </w:p>
    <w:p>
      <w:pPr>
        <w:spacing w:after="0" w:line="208"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Further, Health Canada or the regulatory authorities in other countries in which we operate or to which we export our medical cannabis products may change their administration, interpretation or application of the applicable regulations or their compliance or enforcement procedures at any time. Any such changes could require us to revise our ongoing compliance procedures, requiring us to incur increased compliance costs and expend additional resources. There is no assurance that we will be able to comply or continue to comply with applicable regulations.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failure on our part to comply with applicable regulations could prevent us from being able to carry on our business.</w:t>
      </w:r>
    </w:p>
    <w:p>
      <w:pPr>
        <w:spacing w:after="0" w:line="85" w:lineRule="exact"/>
        <w:rPr>
          <w:sz w:val="20"/>
          <w:szCs w:val="20"/>
          <w:color w:val="auto"/>
        </w:rPr>
      </w:pPr>
    </w:p>
    <w:p>
      <w:pPr>
        <w:jc w:val="both"/>
        <w:ind w:left="200" w:right="260" w:firstLine="441"/>
        <w:spacing w:after="0"/>
        <w:rPr>
          <w:sz w:val="20"/>
          <w:szCs w:val="20"/>
          <w:color w:val="auto"/>
        </w:rPr>
      </w:pPr>
      <w:r>
        <w:rPr>
          <w:rFonts w:ascii="Arial" w:cs="Arial" w:eastAsia="Arial" w:hAnsi="Arial"/>
          <w:sz w:val="18"/>
          <w:szCs w:val="18"/>
          <w:color w:val="auto"/>
        </w:rPr>
        <w:t>Health Canada inspectors routinely assess Tilray Nanaimo for compliance with applicable regulatory requirements. Our High Park Farms and the High Park Processing Facility will both also be inspected by Health Canada and Tilray Portugal will also be inspected for compliance by applicable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regulators once construction is complete and will be subject to certain ongoing inspections and audits once we begin operations at this facility. Furthermore, the import of our products into other jurisdictions, such as Germany and Australia, is subject to the regulatory requirements of the respective jurisdiction. Any failure by us to comply with the applicable regulatory requirements could require extensive changes to our operations; result in regulatory or agency proceedings or investigations, increased compliance costs, damage awards, civil or criminal fines or penalties or restrictions on our operations; harm our reputation or give rise to material liabilities or a revocation of our licenses and other permits. There can be no assurance that any pending or future regulatory or agency proceedings, investigations or audits will not result in substantial costs, a diversion of management’s attention and resources or other adverse consequences to us and our business.</w:t>
      </w:r>
    </w:p>
    <w:p>
      <w:pPr>
        <w:spacing w:after="0" w:line="186" w:lineRule="exact"/>
        <w:rPr>
          <w:sz w:val="20"/>
          <w:szCs w:val="20"/>
          <w:color w:val="auto"/>
        </w:rPr>
      </w:pPr>
    </w:p>
    <w:p>
      <w:pPr>
        <w:ind w:left="200" w:right="640"/>
        <w:spacing w:after="0" w:line="271" w:lineRule="auto"/>
        <w:rPr>
          <w:sz w:val="20"/>
          <w:szCs w:val="20"/>
          <w:color w:val="auto"/>
        </w:rPr>
      </w:pPr>
      <w:r>
        <w:rPr>
          <w:rFonts w:ascii="Arial" w:cs="Arial" w:eastAsia="Arial" w:hAnsi="Arial"/>
          <w:sz w:val="18"/>
          <w:szCs w:val="18"/>
          <w:b w:val="1"/>
          <w:bCs w:val="1"/>
          <w:i w:val="1"/>
          <w:iCs w:val="1"/>
          <w:color w:val="auto"/>
        </w:rPr>
        <w:t>Our ability to produce and sell our medical products in, and export our medical products to, other jurisdictions outside of Canada is dependent on compliance with additional regulatory and other requirements.</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required to obtain and maintain certain permits, licenses or other approvals from regulatory agencies in countries and markets outside of Canada in which we operate, or to which we export, in order to produce or export to, and sell our medical products in, these countries, including, in the case of certain countries, the ability to demonstrate compliance with GMP standards. Our current certification of compliance with GMP standards for production at Tilray Nanaimo and any other GMP certification that we may receive in the future, subject us to extensive ongoing compliance reviews to ensure that we continue to maintain compliance with GMP standards. There can be no assurance that we will be able to continue to comply with these standards.</w:t>
      </w:r>
    </w:p>
    <w:p>
      <w:pPr>
        <w:spacing w:after="0" w:line="205"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The continuation or expansion of our international operations depends on our ability to renew or secure the necessary permits, licenses or other approvals. An agency’s denial of or delay in issuing or renewing a permit, license or other approval, or revocation or substantial modification of an existing permit or approval, could prevent us from continuing our operations in or exports to countries other than Canada. For example, Tilray Nanaimo’s current certification of GMP compliance must be renewed via re-inspection prior to October 2020, and our failure to maintain such certification, or to comply with applicable industry quality assurance standards or receive similar regulatory certifications at any of our other facilities, may prevent us from continuing the expansion of our international operations. In addition, the export and import of medical cannabis is subject to United Nations treaties establishing country-by-country quotas and our export and import permits are subject to these quotas which could limit the amount of medical cannabis we can export to any particular country.</w:t>
      </w:r>
    </w:p>
    <w:p>
      <w:pPr>
        <w:spacing w:after="0" w:line="185" w:lineRule="exact"/>
        <w:rPr>
          <w:sz w:val="20"/>
          <w:szCs w:val="20"/>
          <w:color w:val="auto"/>
        </w:rPr>
      </w:pPr>
    </w:p>
    <w:p>
      <w:pPr>
        <w:ind w:left="200" w:right="400"/>
        <w:spacing w:after="0" w:line="253" w:lineRule="auto"/>
        <w:rPr>
          <w:sz w:val="20"/>
          <w:szCs w:val="20"/>
          <w:color w:val="auto"/>
        </w:rPr>
      </w:pPr>
      <w:r>
        <w:rPr>
          <w:rFonts w:ascii="Arial" w:cs="Arial" w:eastAsia="Arial" w:hAnsi="Arial"/>
          <w:sz w:val="18"/>
          <w:szCs w:val="18"/>
          <w:b w:val="1"/>
          <w:bCs w:val="1"/>
          <w:i w:val="1"/>
          <w:iCs w:val="1"/>
          <w:color w:val="auto"/>
        </w:rPr>
        <w:t>The effect of the legalization of adult-use cannabis in Canada on the medical cannabis industry is unknown, and may have a significant negative effect upon our medical cannabis business if our existing or future medical use customers decide to purchase products available in the proposed adult-use market instead of purchasing medical use products from us.</w:t>
      </w:r>
    </w:p>
    <w:p>
      <w:pPr>
        <w:spacing w:after="0" w:line="4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Bill C-45, or the Cannabis Act, is proposed Canadian federal legislation to allow individuals over the age of 18 to legally purchase, process and cultivate limited amounts of cannabis for adult use in Canada. As a result, individuals who currently rely upon the medical cannabis market to supply their medical cannabis and cannabis-based products may cease this reliance, and instead turn to the adult-use cannabis market to supply their cannabis and cannabis-based products. Factors that will influence this decision include the price of medical cannabis products in relation to similar adult-use cannabis products, the amount of active ingredients in medical cannabis products in relation to similar adult-use cannabis products, the types of cannabis products available to adult users and limitations on access to adult-use cannabis products imposed by the regulations under the Cannabis Act and the legislation governing distribution of cannabis that is expected to be enacted by the individual provinces and territories of Canada. These factors will not be ascertainable by us until after the regulations under the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Cannabis Act and the individual provincial and territorial legislation providing for the legalization of adult-use cannabis are implemented.</w:t>
      </w:r>
    </w:p>
    <w:p>
      <w:pPr>
        <w:spacing w:after="0" w:line="212" w:lineRule="exact"/>
        <w:rPr>
          <w:sz w:val="20"/>
          <w:szCs w:val="20"/>
          <w:color w:val="auto"/>
        </w:rPr>
      </w:pPr>
    </w:p>
    <w:p>
      <w:pPr>
        <w:jc w:val="both"/>
        <w:ind w:left="200" w:right="180" w:firstLine="331"/>
        <w:spacing w:after="0" w:line="239" w:lineRule="auto"/>
        <w:rPr>
          <w:sz w:val="20"/>
          <w:szCs w:val="20"/>
          <w:color w:val="auto"/>
        </w:rPr>
      </w:pPr>
      <w:r>
        <w:rPr>
          <w:rFonts w:ascii="Arial" w:cs="Arial" w:eastAsia="Arial" w:hAnsi="Arial"/>
          <w:sz w:val="18"/>
          <w:szCs w:val="18"/>
          <w:color w:val="auto"/>
        </w:rPr>
        <w:t>A decrease in the overall size of the medical cannabis market as a result of the adoption of the Cannabis Act and the legal adult-use market in Canada may reduce our medical sales and revenue prospects in Canada. Moreover, in conjunction with the implementation of the Cannabis Act, the ACMPR regulation of cannabis for medical purposes is expected to be reviewed. The effect on our business, and the medical cannabis market in general, of such a review is uncertain.</w:t>
      </w:r>
    </w:p>
    <w:p>
      <w:pPr>
        <w:spacing w:after="0" w:line="180" w:lineRule="exact"/>
        <w:rPr>
          <w:sz w:val="20"/>
          <w:szCs w:val="20"/>
          <w:color w:val="auto"/>
        </w:rPr>
      </w:pPr>
    </w:p>
    <w:p>
      <w:pPr>
        <w:jc w:val="both"/>
        <w:ind w:left="200" w:right="280"/>
        <w:spacing w:after="0" w:line="253" w:lineRule="auto"/>
        <w:rPr>
          <w:sz w:val="20"/>
          <w:szCs w:val="20"/>
          <w:color w:val="auto"/>
        </w:rPr>
      </w:pPr>
      <w:r>
        <w:rPr>
          <w:rFonts w:ascii="Arial" w:cs="Arial" w:eastAsia="Arial" w:hAnsi="Arial"/>
          <w:sz w:val="18"/>
          <w:szCs w:val="18"/>
          <w:b w:val="1"/>
          <w:bCs w:val="1"/>
          <w:i w:val="1"/>
          <w:iCs w:val="1"/>
          <w:color w:val="auto"/>
        </w:rPr>
        <w:t>There has been limited study on the effects of medical cannabis and future clinical research studies may lead to conclusions that dispute or conflict with our understanding and belief regarding the medical benefits, viability, safety, efficacy, dosing and social acceptance of cannabis.</w:t>
      </w:r>
    </w:p>
    <w:p>
      <w:pPr>
        <w:spacing w:after="0" w:line="56"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Research in Canada, the United States and internationally regarding the medical benefits, viability, safety, efficacy and dosing of cannabis or isolated cannabinoids (such as cannabidiol, or CBD, and tetrahydrocannabinol, or THC) remains in relatively early stages. There have been few clinical trials on the benefits of cannabis or isolated cannabinoids conducted by us or by others.</w:t>
      </w:r>
    </w:p>
    <w:p>
      <w:pPr>
        <w:spacing w:after="0" w:line="203" w:lineRule="exact"/>
        <w:rPr>
          <w:sz w:val="20"/>
          <w:szCs w:val="20"/>
          <w:color w:val="auto"/>
        </w:rPr>
      </w:pPr>
    </w:p>
    <w:p>
      <w:pPr>
        <w:ind w:left="200" w:right="360" w:firstLine="331"/>
        <w:spacing w:after="0" w:line="239" w:lineRule="auto"/>
        <w:rPr>
          <w:sz w:val="20"/>
          <w:szCs w:val="20"/>
          <w:color w:val="auto"/>
        </w:rPr>
      </w:pPr>
      <w:r>
        <w:rPr>
          <w:rFonts w:ascii="Arial" w:cs="Arial" w:eastAsia="Arial" w:hAnsi="Arial"/>
          <w:sz w:val="18"/>
          <w:szCs w:val="18"/>
          <w:color w:val="auto"/>
        </w:rPr>
        <w:t>Future research and clinical trials may draw opposing conclusions to statements contained in the articles, reports and studies referenced in this prospectus, or could reach different or negative conclusions regarding the medical benefits, viability, safety, efficacy, dosing or other facts and perceptions related to medical cannabis, which could adversely affect social acceptance of cannabis and the demand for our products.</w:t>
      </w:r>
    </w:p>
    <w:p>
      <w:pPr>
        <w:spacing w:after="0" w:line="180"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Tilray Nanaimo is, and our High Park Farms, High Park Processing Facility and Tilray Portugal are expected to become, integral to our business and adverse changes or developments affecting any of these facilities may have an adverse impact on us.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Currently, our activities and resources are focused on the operation of Tilray Nanaimo, and our current licenses under the ACMPR and the NCR are specific to Tilray Nanaimo. Adverse changes or developments affecting Tilray Nanaimo, including, but not limited to, disease or infestation of our crops, a fire, an explosion, a power failure, a natural disaster or a material failure of our security infrastructure, could reduce or require us to entirely suspend our production of medical cannabis. A significant failure of our site security measures and other facility requirements, including any failure to comply with regulatory requirements under the ACMPR or the NCR, could have an impact on our ability to continue operating under our Health Canada licenses or our prospects of renewing our Health Canada licenses, and could also result in a suspension or revocation of the Health Canada licenses. As we currently produce our medical cannabis products only at Tilray Nanaimo any event impacting our ability to continue production at Tilray Nanaimo, or requiring us to delay production, would prevent us from continuing to operate our business until operations at Tilray Nanaimo could be resumed, or until we were able to commence production at another facility.</w:t>
      </w:r>
    </w:p>
    <w:p>
      <w:pPr>
        <w:spacing w:after="0" w:line="207"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expect to expand Tilray Nanaimo, to construct greenhouses in our High Park Farms and Tilray Portugal and to build a processing center at our High Park Processing Facility. We expect that these expanded and additional facilities will significantly increase our cultivation, growing, processing and distribution capacity; however, development impediments such as construction delays or cost over-runs in respect to the development of these facilities, howsoever caused, could delay or prevent our ability to produce cannabis at these facilities. It is also possible that the final costs of the major equipment contemplated by our capital expenditure program relating to the development of our High Park Farms, our High Park Processing Facility and Tilray Portugal may be significantly greater than anticipated, in which circumstance we may be required to curtail, or extend the timeframes for completing, such capital expenditure plans which would reduce our production capacity.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The medical cannabis industry and market are relatively new in Canada, and this industry and market may not continue to exist or develop as anticipated or we may ultimately be unable to succeed in this industry and market.</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operating our current business in a relatively new medical cannabis industry and market, and our success depends on our ability to attract and retain patients. In addition to being subject to general business risks applicable to a business involving an agricultural product and a regulated consumer product, we need to continue to build brand awareness of our Tilray brand in the medical cannabis industry and make significant investments in our business strategy and production capacity. These investments include introducing new products into the markets in which we operate, adopting quality assurance protocols and procedures, building our international presence and undertaking regulatory compliance efforts. These activities may not promote our medical products as effectively as intended, or at all, and we expect that our competitors will undertake similar investments to compete with us for market share. Competitive conditions, consumer preferences, patient requirements and spending patterns in this industry and market are relatively unknown and may have unique circumstances that differ from other existing industries and markets and that cause our efforts to further our business to be unsuccessful or to have undesired consequences for us. As a result, we may not be successful in our efforts to attract and retain patients or to develop new medical cannabis products and produce and distribute these medical cannabis products to the markets in which we operate or to which we export in time to be effectively commercialized, or these activities may require significantly more resources than we currently anticipate in order to be successful.</w:t>
      </w:r>
    </w:p>
    <w:p>
      <w:pPr>
        <w:spacing w:after="0" w:line="182"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We compete for market share with other companies, including other producers licensed by Health Canada, some of which have longer operating histories and more financial resources and manufacturing and marketing experience than we have.</w:t>
      </w:r>
    </w:p>
    <w:p>
      <w:pPr>
        <w:spacing w:after="0" w:line="2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face, and we expect to continue to face, intense competition from other Licensed Producers and other potential competitors, some of which have longer operating histories and more financial resources and manufacturing and marketing experience than we have. In addition, it is possible that the medical cannabis industry will undergo consolidation, creating larger companies with financial resources, manufacturing and marketing capabilities and product offerings that are greater than ours. As a result of this competition, we may be unable to maintain our operations or develop them as currently proposed, on terms we consider acceptable, or at all.</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There are currently hundreds of applications for Licensed Producer status being processed by Health Canada. The number of licenses granted and the number of Licensed Producers ultimately authorized by Health Canada could have an adverse impact on our ability to compete for market share in Canada’s medical cannabis industry. We expect to face additional competition from new market entrants that are granted licenses under the ACMPR or existing license holders that are not yet active in the industry. If a significant number of new licenses are granted by Health Canada, we may experience increased competition for market share and may experience downward price pressure on our medical cannabis products as new entrants increase production.</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also face competition from unlicensed and unregulated market participants, including individuals or groups that are able to produce cannabis without a license similar to that under which we currently produce and illegal dispensaries and black market participants selling cannabis and cannabis-based products in Canada. These competitors may be able to offer products with higher concentrations of active ingredients than we are authorized to produce and sell and using delivery methods, including edibles, concentrates and extract vaporizers, that we are currently prohibited from offering to individuals in Canada. The competition presented by these participants, and any unwillingness by consumers currently utilizing these unlicensed distribution channels to begin purchasing from Licensed Producers for any reason, or any inability of law enforcement authorities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to enforce existing laws prohibiting the unlicensed cultivation and sale of cannabis and cannabis-based products, could adversely affect our market share, result in increased competition through the black market for cannabis or have an adverse impact on the public perception of cannabis use and licensed cannabis producers and dealers.</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In addition, the ACMPR permits patients in Canada to produce a limited amount of cannabis for their own medical purposes or to designate a person to produce a limited amount of cannabis on their behalf for such purposes. Widespread reliance upon this allowance could reduce the current or future consumer demand for our medical cannabis products.</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the number of users of cannabis for medical purposes in Canada increases, the demand for products will increase. This could result in the competition in the medical cannabis industry becoming more intense as current and future competitors begin to offer an increasing number of diversified medical cannabis products. Conversely, if there is a contraction in the medical market for cannabis in Canada, resulting from the legalization of adult-use cannabis or otherwise, competition for market share may increase. To remain competitive, we intend to continue to invest in research and development and sales and patient support; however, we may not have sufficient resources to maintain research and development and sales and patient support efforts on a competitive basis.</w:t>
      </w:r>
    </w:p>
    <w:p>
      <w:pPr>
        <w:spacing w:after="0" w:line="20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addition to the foregoing, the legal landscape for medical cannabis use is changing internationally. We have operations outside of Canada, which may be affected as other countries develop, adopt and change their medical cannabis laws. Increased international competition, including competition from suppliers in other countries who may be able to produce at lower cost, and limitations placed on us by Canadian or other regulations, might lower the demand for our medical cannabis products on a global scale.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our Potential Adult-Use Cannabis Business and the Proposed Adult-Use Cannabis Industry in Canada</w:t>
      </w:r>
    </w:p>
    <w:p>
      <w:pPr>
        <w:spacing w:after="0" w:line="212" w:lineRule="exact"/>
        <w:rPr>
          <w:sz w:val="20"/>
          <w:szCs w:val="20"/>
          <w:color w:val="auto"/>
        </w:rPr>
      </w:pPr>
    </w:p>
    <w:p>
      <w:pPr>
        <w:ind w:left="200" w:right="540"/>
        <w:spacing w:after="0" w:line="271" w:lineRule="auto"/>
        <w:rPr>
          <w:sz w:val="20"/>
          <w:szCs w:val="20"/>
          <w:color w:val="auto"/>
        </w:rPr>
      </w:pPr>
      <w:r>
        <w:rPr>
          <w:rFonts w:ascii="Arial" w:cs="Arial" w:eastAsia="Arial" w:hAnsi="Arial"/>
          <w:sz w:val="18"/>
          <w:szCs w:val="18"/>
          <w:b w:val="1"/>
          <w:bCs w:val="1"/>
          <w:i w:val="1"/>
          <w:iCs w:val="1"/>
          <w:color w:val="auto"/>
        </w:rPr>
        <w:t>The Cannabis Act may not be implemented, or may be implemented in a way that is significantly different from our current expectations, resulting in our decreased ability, or inability, to compete in this market and industry.</w:t>
      </w:r>
    </w:p>
    <w:p>
      <w:pPr>
        <w:spacing w:after="0" w:line="4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Government of Canada has introduced the Cannabis Act which, subject to Parliamentary approval and Royal Assent, is expected to allow for regulated and restricted access to cannabis for recreational adult use in Canada in 2018. If legalized, we may expect to operate a part of our business in the adult-use cannabis industry and market.</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There is no assurance that the legalization of cannabis for adult use by the Government of Canada will occur as anticipated or at all. If it does occur, there may be significant restrictions on the marketing, branding, product formats and/or distribution channels allowed under the law, which may reduce the value of certain of our products and brands or negatively impact our ability to compete with other companies in the adult-use cannabis market. It is currently anticipated that adult-use legislation will include a requirement for health warnings on product packaging, the limited ability to use logos and branding (only one logo and one brand name per package), and restrictions on types and avenues of marketing. Additional restrictions may be imposed at the provincial level. While we are reasonably certain that we will be able to adapt our licensed brands and products to satisfy these restrictions and to package and successfully distinguish these brands in the marketplace while remaining compliant with the proposed legislation (including all provincial legislation) that has been proposed or passed to date, the final implemented version of the Cannabis Act and provincial legislation may contain additional restrictions, such as a complete ban on marketing or the introduction of plain packaging, that impact our ability to do so. Such additional restrictions may impair our ability to develop our adult-use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brands, and plain packaging requirements and/or a complete ban on marketing may make it uneconomic or unfeasible for us to introduce our entire portfolio of brands and products into the Canadian market, which means that we will be unable to reap the full benefit of the exclusive rights we have secured to such brands and products. Further, each province and territory of Canada is expected to have the ability to separately regulate the distribution of cannabis within such province or territory, and any rules adopted by these provinces or territories may vary significantly. Such variance may make participation in the adult-use cannabis market uneconomic or of limited economic benefit for us and could result in significant additional compliance or other costs and limitations on our ability to compete successfully in each such market.</w:t>
      </w:r>
    </w:p>
    <w:p>
      <w:pPr>
        <w:spacing w:after="0" w:line="18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The proposed adult-use cannabis industry and market in Canada, if legalized, will be subject to many of the same risks as the medical cannabis industry and market, including risks related to our need for regulatory approvals, the early status and uncertain growth of this industry and the competition we expect to face in this industry, if legalized.</w:t>
      </w:r>
    </w:p>
    <w:p>
      <w:pPr>
        <w:spacing w:after="0" w:line="56"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If legalized, the proposed adult-use cannabis industry and market in Canada will be subject to certain risks that will be unique to this industry, as well as the risks that are currently applicable to the medical cannabis industry, which are described under the heading above titled “</w:t>
      </w:r>
      <w:r>
        <w:rPr>
          <w:rFonts w:ascii="Arial" w:cs="Arial" w:eastAsia="Arial" w:hAnsi="Arial"/>
          <w:sz w:val="18"/>
          <w:szCs w:val="18"/>
          <w:i w:val="1"/>
          <w:iCs w:val="1"/>
          <w:color w:val="auto"/>
        </w:rPr>
        <w:t>Risk Factors—Risks Related to our Medical Cannabis Business and the Medical Cannabis Industry.”</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If any of these shared risks occur, our business, financial condition, results of operations and prospects could be adversely affected in a number of ways, including by not being able to successfully compete in the adult-use cannabis industry, if legalized, and by being subject to fines, damage awards and other penalties as a result of regulatory infractions or other claims brought against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unsuccessful in entering into and competing in the legal adult-use cannabis market in Canada upon legalization.</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Upon the implementation of the Cannabis Act, any potential Canadian adult-use business that we may engage in could face enhanced competition from other Licensed Producers and those individuals and corporations who are licensed under the Cannabis Act to participate in the adult-use cannabis industry. The Cannabis Act proposes to establish a licensing regime for the production, testing, packaging, labelling, delivery, transportation, sale, possession and disposal of cannabis for adult use. While it is currently proposed that existing holders of licenses relating to medical cannabis under the ACMPR, including us, will be automatically licensed under the Cannabis Act for these activities, other individuals and corporations would be able to apply for such licenses if the Cannabis Act becomes law.</w:t>
      </w:r>
    </w:p>
    <w:p>
      <w:pPr>
        <w:spacing w:after="0" w:line="20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Moreover, the Cannabis Act proposes to allow individuals to cultivate, propagate, harvest and distribute up to four cannabis plants per household, provided that each plant meets certain requirements. If we are unable to effectively compete with other suppliers to the adult-use cannabis market, or a significant number of individuals take advantage of the ability to cultivate and use their own cannabis, our success in the adult-use business may be limited and may not fulfill the expectations of management.</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will face competition from existing Licensed Producers and other producers licensed under the Cannabis Act. Certain of these competitors may have significantly greater financial, production, marketing, research and development and technical and human resources than we do. As a result, our competitors may be more successful than us in gaining market penetration and market share. Our commercial opportunity in the adult-use market could be reduced or eliminated if our competitors produce and commercialize products for the adult-use market that, among other things, are safer, more effective, more convenient or less expensive than the products that we may produce, have greater sales, marketing and distribution support than our products, enjoy enhanced timing of market</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introduction and perceived effectiveness advantages over our products and receive more favorable publicity than our products. If, after the legalization of cannabis for adult use, our adult-use products do not achieve an adequate level of acceptance by the adult-use market, we may not generate sufficient revenue from these products, and our proposed adult-use business may not become profitable.</w:t>
      </w:r>
    </w:p>
    <w:p>
      <w:pPr>
        <w:spacing w:after="0" w:line="181" w:lineRule="exact"/>
        <w:rPr>
          <w:sz w:val="20"/>
          <w:szCs w:val="20"/>
          <w:color w:val="auto"/>
        </w:rPr>
      </w:pPr>
    </w:p>
    <w:p>
      <w:pPr>
        <w:ind w:left="200" w:right="800"/>
        <w:spacing w:after="0" w:line="271" w:lineRule="auto"/>
        <w:rPr>
          <w:sz w:val="20"/>
          <w:szCs w:val="20"/>
          <w:color w:val="auto"/>
        </w:rPr>
      </w:pPr>
      <w:r>
        <w:rPr>
          <w:rFonts w:ascii="Arial" w:cs="Arial" w:eastAsia="Arial" w:hAnsi="Arial"/>
          <w:sz w:val="18"/>
          <w:szCs w:val="18"/>
          <w:b w:val="1"/>
          <w:bCs w:val="1"/>
          <w:i w:val="1"/>
          <w:iCs w:val="1"/>
          <w:color w:val="auto"/>
        </w:rPr>
        <w:t>The adult-use cannabis market in Canada may become oversupplied in anticipation of, or following the adoption of, the Cannabis Act and the proposed legalization of cannabis for adult use.</w:t>
      </w:r>
    </w:p>
    <w:p>
      <w:pPr>
        <w:spacing w:after="0" w:line="41"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In anticipation of a surge in demand for cannabis as a result of the expected implementation of the Cannabis Act and the legalization of adult cannabis use, we and other cannabis producers in Canada may produce more cannabis than is needed to satisfy the collective demand of the Canadian medical and proposed adult-use markets, and we may be unable to export that oversupply into other markets where cannabis use is fully legal under all federal and state or provincial laws. As a result, the available supply of cannabis could exceed demand, resulting in a significant decline in the market price for cannabis. If this were to occur, there is no assurance that we would be able to generate sufficient revenue from the sale of adult-use cannabis to result in profitability.</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Moreover, the current draft of the Cannabis Act would impose further packaging, labelling and advertising restrictions on producers in the adult-use market, if legalized. If we are unable to effectively market our products and compete for market share, or if the costs of compliance with government legislation and regulation cannot be absorbed through increased selling prices for our products, then our sales and operating results could be adversely affected. Further, if we fail to comply with the anticipated packaging, labelling and advertising restrictions, we will be subject to monetary penalties, required to suspend sale of noncompliant products and/or be disqualified as a vendor by government-run provincial distributors. See ”—</w:t>
      </w:r>
      <w:r>
        <w:rPr>
          <w:rFonts w:ascii="Arial" w:cs="Arial" w:eastAsia="Arial" w:hAnsi="Arial"/>
          <w:sz w:val="18"/>
          <w:szCs w:val="18"/>
          <w:i w:val="1"/>
          <w:iCs w:val="1"/>
          <w:color w:val="auto"/>
        </w:rPr>
        <w:t>The Cannabis Act may not be implemented, or may be implemented in a</w:t>
      </w:r>
      <w:r>
        <w:rPr>
          <w:rFonts w:ascii="Arial" w:cs="Arial" w:eastAsia="Arial" w:hAnsi="Arial"/>
          <w:sz w:val="18"/>
          <w:szCs w:val="18"/>
          <w:color w:val="auto"/>
        </w:rPr>
        <w:t xml:space="preserve"> </w:t>
      </w:r>
      <w:r>
        <w:rPr>
          <w:rFonts w:ascii="Arial" w:cs="Arial" w:eastAsia="Arial" w:hAnsi="Arial"/>
          <w:sz w:val="18"/>
          <w:szCs w:val="18"/>
          <w:i w:val="1"/>
          <w:iCs w:val="1"/>
          <w:color w:val="auto"/>
        </w:rPr>
        <w:t>way that is significantly different from our current expectations, resulting in our decreased ability, or inability, to compete in this market and industry</w:t>
      </w:r>
      <w:r>
        <w:rPr>
          <w:rFonts w:ascii="Arial" w:cs="Arial" w:eastAsia="Arial" w:hAnsi="Arial"/>
          <w:sz w:val="18"/>
          <w:szCs w:val="18"/>
          <w:color w:val="auto"/>
        </w:rPr>
        <w:t>” above and the section titled “</w:t>
      </w:r>
      <w:r>
        <w:rPr>
          <w:rFonts w:ascii="Arial" w:cs="Arial" w:eastAsia="Arial" w:hAnsi="Arial"/>
          <w:sz w:val="18"/>
          <w:szCs w:val="18"/>
          <w:i w:val="1"/>
          <w:iCs w:val="1"/>
          <w:color w:val="auto"/>
        </w:rPr>
        <w:t>Business—Our Industry—Adult Use</w:t>
      </w:r>
      <w:r>
        <w:rPr>
          <w:rFonts w:ascii="Arial" w:cs="Arial" w:eastAsia="Arial" w:hAnsi="Arial"/>
          <w:sz w:val="18"/>
          <w:szCs w:val="18"/>
          <w:color w:val="auto"/>
        </w:rPr>
        <w: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General Business Risks and Risks Related to Our Financial Condition and Operations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and a history of net losses, and we may not achieve or maintain profitability in the future.</w:t>
      </w:r>
    </w:p>
    <w:p>
      <w:pPr>
        <w:spacing w:after="0" w:line="8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We began operating in 2014 through Decatur and our wholly owned subsidiaries and have yet to generate a profit. We generated a net loss of $7.9 million and $7.8 million for the years ended December 31, 2016 and 2017, respectively, and $0.7 million and $5.2 million in the three months ended March 31, 2017 and 2018, respectively. Our accumulated deficit as of March 31, 2018 was $45.6 million. We intend to continue to expend significant funds to increase our growing capacity, invest in research and development and expand our marketing and sales operations to increase our registered patients and to meet the increased compliance requirements associated with our transition to and operation as a public company. As we continue to grow, we expect the aggregate amount of these expenses will also continue to grow.</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2 common stock may significantly decrease and our ability to raise capital, expand our business or continue our operations may be impaired. A decline in our value may also cause you to lose all or part of your investment.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exposed to risks relating to the laws of various countries as a result of our international operations.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currently conduct operations in multiple countries and plan to expand these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cannabis and cannabis-based products, political instability,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Changes, if any, in the laws, regulations and policies relating to the advertising, production, sale and use of cannabis and cannabis-based products or in the general economic policies in these jurisdictions, or shifts in political attitude related thereto, may adversely affect the operations or profitability of our international operations in these countries.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20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Furthermore, although we plan to begin production at Tilray Portugal with a view toward facilitating exports of our cannabis products to countries in the European Union from Portugal rather than from Canada, there is no assurance that these EU countries will authorize the import of our cannabis products from Portugal, or that Portugal will authorize or continue to authorize such exports, or that such exports will provide us with advantages over our current EU export strategy. Each country in the European Union (or elsewhere) may impose restrictions or limitations on imports that require the use of, or confer significant advantages upon, producers within that particular country. As a result, we may be required to establish production facilities similar to Tilray Portugal in one or more countries in the European Union where we wish to distribute our cannabis products in order to take advantage of the favorable legislation offered to producers in these countries.</w:t>
      </w:r>
    </w:p>
    <w:p>
      <w:pPr>
        <w:spacing w:after="0" w:line="186" w:lineRule="exact"/>
        <w:rPr>
          <w:sz w:val="20"/>
          <w:szCs w:val="20"/>
          <w:color w:val="auto"/>
        </w:rPr>
      </w:pPr>
    </w:p>
    <w:p>
      <w:pPr>
        <w:ind w:left="200" w:right="760"/>
        <w:spacing w:after="0" w:line="271" w:lineRule="auto"/>
        <w:rPr>
          <w:sz w:val="20"/>
          <w:szCs w:val="20"/>
          <w:color w:val="auto"/>
        </w:rPr>
      </w:pPr>
      <w:r>
        <w:rPr>
          <w:rFonts w:ascii="Arial" w:cs="Arial" w:eastAsia="Arial" w:hAnsi="Arial"/>
          <w:sz w:val="18"/>
          <w:szCs w:val="18"/>
          <w:b w:val="1"/>
          <w:bCs w:val="1"/>
          <w:i w:val="1"/>
          <w:iCs w:val="1"/>
          <w:color w:val="auto"/>
        </w:rPr>
        <w:t>We plan to expand our business and operations into jurisdictions outside of the current jurisdictions where we conduct business, and there are risks associated with doing so.</w:t>
      </w:r>
    </w:p>
    <w:p>
      <w:pPr>
        <w:spacing w:after="0" w:line="27" w:lineRule="exact"/>
        <w:rPr>
          <w:sz w:val="20"/>
          <w:szCs w:val="20"/>
          <w:color w:val="auto"/>
        </w:rPr>
      </w:pPr>
    </w:p>
    <w:p>
      <w:pPr>
        <w:jc w:val="both"/>
        <w:ind w:left="200" w:right="140" w:firstLine="331"/>
        <w:spacing w:after="0"/>
        <w:rPr>
          <w:sz w:val="20"/>
          <w:szCs w:val="20"/>
          <w:color w:val="auto"/>
        </w:rPr>
      </w:pPr>
      <w:r>
        <w:rPr>
          <w:rFonts w:ascii="Arial" w:cs="Arial" w:eastAsia="Arial" w:hAnsi="Arial"/>
          <w:sz w:val="18"/>
          <w:szCs w:val="18"/>
          <w:color w:val="auto"/>
        </w:rPr>
        <w:t>We plan in the future to expand our operations and business into jurisdictions outside of the jurisdictions where we currently carry on business. There can be no assurance that any market for our products will develop in any such foreign jurisdiction. We may face new or unexpected risks or significantly increase our exposure to one or more existing risk factors, including economic instability,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40"/>
        <w:spacing w:after="0"/>
        <w:rPr>
          <w:sz w:val="20"/>
          <w:szCs w:val="20"/>
          <w:color w:val="auto"/>
        </w:rPr>
      </w:pPr>
      <w:r>
        <w:rPr>
          <w:rFonts w:ascii="Arial" w:cs="Arial" w:eastAsia="Arial" w:hAnsi="Arial"/>
          <w:sz w:val="18"/>
          <w:szCs w:val="18"/>
          <w:color w:val="auto"/>
        </w:rPr>
        <w:t>changes in laws and regulations, including the possibility that we could be in violation of these laws and regulations as a result of such changes, and the effects of competition. These factors may limit our capability to successfully expand our operations in, or export our products to, those other jurisdictions.</w:t>
      </w:r>
    </w:p>
    <w:p>
      <w:pPr>
        <w:spacing w:after="0" w:line="181"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Our business is subject to a variety of U.S. and foreign laws, many of which are unsettled and still developing and which could subject us to claims or otherwise harm our business.</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subject to a variety of laws in the United States, Canada and elsewhere. In the United States, despite cannabis having been legalized at the state level for medical use in many states and for adult use in a number of states, cannabis continues to be categorized as a Schedule I controlled substance under the federal Controlled Substances Act, or the CSA, and subject to the Controlled Substances Import and Export Act, or the CSIEA. Our activity in the United States is limited to certain corporate and administrative services, including accounting, legal and creative services, and we do not produce or distribute cannabis products in the United States. Therefore, we believe that we are not subject to the CSA or CSIEA. Nonetheless, violations of any U.S. federal laws and regulations, such as the CSA and the CSIEA, could result in significant fines, penalties, administrative sanctions, convictions or settlements arising from civil proceedings initiated by either the U.S. federal government or private citizens or criminal charges, including, but not limited to, disgorgement of profits, cessation of business activities or divestiture.</w:t>
      </w:r>
    </w:p>
    <w:p>
      <w:pPr>
        <w:spacing w:after="0" w:line="20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subject to a variety of laws and regulations in the United States, Canada and elsewhere that prohibit money laundering, including the Proceeds of Crime and Terrorist Financing Act (Canada) and the Money Laundering Control Act (United States),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Although we believe that none of our activities implicate any applicable money laundering statutes, in the event that any of our business activities, any dividends or distributions therefrom, or any profits or revenue accruing thereby are found to be in violation of money laundering statutes, such transactions may be viewed as proceeds of crime under one or more of the statutes described above or any other applicable legislation, and any persons, including such U.S.-based investors, found to be aiding and abetting us in such violations could be subject to liability. Any violations of these laws, or allegations of such violations, could disrupt our operations, involve significant management distraction and involve significant costs and expenses, including legal fees. We could also suffer severe penalties, including criminal and civil penalties, disgorgement and other remedial measures.</w:t>
      </w:r>
    </w:p>
    <w:p>
      <w:pPr>
        <w:spacing w:after="0" w:line="184"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We are required to comply concurrently with federal, state or provincial, and local laws in each jurisdiction where we operate or to which we export our products.</w:t>
      </w:r>
    </w:p>
    <w:p>
      <w:pPr>
        <w:spacing w:after="0" w:line="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Various federal, state or provincial and local laws govern our business in the jurisdictions in which we operate or propose to operate, or to which we export or propose to export our products, including laws and regulations relating to health and safety, conduct of operations and the production, management, transportation, storage and disposal of our products and of certain material used in our operations. Compliance with these laws and regulations requires concurrent compliance with complex federal, provincial or state and local laws. These laws change frequently and may be difficult to interpret and apply. Compliance with these laws and regulations requires the investment of significant financial and managerial resources, and a determination that we are not in compliance with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80"/>
        <w:spacing w:after="0" w:line="253" w:lineRule="auto"/>
        <w:rPr>
          <w:sz w:val="20"/>
          <w:szCs w:val="20"/>
          <w:color w:val="auto"/>
        </w:rPr>
      </w:pPr>
      <w:r>
        <w:rPr>
          <w:rFonts w:ascii="Arial" w:cs="Arial" w:eastAsia="Arial" w:hAnsi="Arial"/>
          <w:sz w:val="18"/>
          <w:szCs w:val="18"/>
          <w:b w:val="1"/>
          <w:bCs w:val="1"/>
          <w:i w:val="1"/>
          <w:iCs w:val="1"/>
          <w:color w:val="auto"/>
        </w:rPr>
        <w:t>We may seek to enter into strategic alliances, or expand the scope of currently existing relationships, with third parties that we believe will have a beneficial impact on us, and there are risks that such strategic alliances or expansions of our currently existing relationships may not enhance our business in the desired manner.</w:t>
      </w:r>
    </w:p>
    <w:p>
      <w:pPr>
        <w:spacing w:after="0" w:line="5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currently have, and may expand the scope of, and may in the future enter into, strategic alliances with third parties that we believe will complement or augment our existing business. Our ability to complete further such strategic alliances is dependent upon, and may be limited by, among other things, the availability of suitable candidates and capital. In addition, strategic alliances could present unforeseen integration obstacles or costs, may not enhance our business and may involve risks that could adversely affect us, including the investment of significant amounts of management time that may be diverted from operations in order to pursue and complete such transactions or maintain such strategic alliances. Future strategic alliances could result in the incurrence of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spacing w:after="0" w:line="185"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We may not be able to successfully identify and execute future acquisitions or dispositions or to successfully manage the impacts of such transactions on our operations.</w:t>
      </w:r>
    </w:p>
    <w:p>
      <w:pPr>
        <w:spacing w:after="0" w:line="27"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Material 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and (vi) the loss or reduction of control over certain of our assets.</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spacing w:after="0" w:line="180"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We are subject to risks inherent in an agricultural business, including the risk of crop failure, and these risks are especially significant as we currently operate only one production facility, meaning that we will be unable to continue any production if our operations at Tilray Nanaimo are interrupted.</w:t>
      </w:r>
    </w:p>
    <w:p>
      <w:pPr>
        <w:spacing w:after="0" w:line="43"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We grow cannabis which is an agricultural process. As such, our business is subject to the risks inherent in the agricultural business, including risks of crop failure presented by weather, insects, plant diseases and similar agricultural risks. Although we currently grow our products indoors under climate controlled conditions, there can be no assurance that natural elements, such as insects and plant diseases, will not entirely interrupt our production activities or have an adverse effect on our business. As we currently operate only one production facility, the occurrence of such events at Tilray Nanaimo could preclude us from continuing any production of cannabis unless and until we are able to remedy such event at Tilray Nanaimo or commence production at another facility.</w:t>
      </w:r>
    </w:p>
    <w:p>
      <w:pPr>
        <w:spacing w:after="0" w:line="183"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We may be unable to attract or retain key personnel with sufficient experience in the cannabis industry, and we may be unable to attract, develop and retain additional employees required for our development and future success.</w:t>
      </w:r>
    </w:p>
    <w:p>
      <w:pPr>
        <w:spacing w:after="0" w:line="41"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retain them. The loss of the services of any key personnel, or an inability to attract other suitably qualified persons when needed, could prevent us from executing on our business plan and strategy, and we may be unable to find adequate replacements on a timely basis, or at all. We do not currently maintain key-person insurance on the lives of any of our key personnel.</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 each director and officer of a company that holds a license is subject to the requirement to obtain and maintain a security clearance from Health Canada. Moreover, under current regulations, an individual with security clearance must be physically present in any space where other individuals are conducting activities with cannabis. Under the ACMPR, a security clearance cannot be valid for more than five years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ACMPR in a timely manner, or at all, we may not be able to conduct our operations at planned production volume levels or at all. In addition, the NCR requires us to designate a qualified individual in charge who is responsible for supervising transactions with cannabis, which individual must meet certain educational and security clearance requirements. If our current designated qualified person in charge fails to maintain his security clearance, or if our current designated qualified person in charge leaves us and we are unable to find a suitable replacement who meets these requirements, we may no longer be able to conduct our imports and exports.</w:t>
      </w:r>
    </w:p>
    <w:p>
      <w:pPr>
        <w:spacing w:after="0" w:line="182"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i w:val="1"/>
          <w:iCs w:val="1"/>
          <w:color w:val="auto"/>
        </w:rPr>
        <w:t>Significant interruptions in our access to certain key inputs such as raw materials, electricity, water and other utilities may impair our cannabis growing operations.</w:t>
      </w:r>
    </w:p>
    <w:p>
      <w:pPr>
        <w:spacing w:after="0" w:line="4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Our business is dependent on a number of key inputs and their related costs, including raw materials, supplies and equipment related to our operations, as well as electricity, water and other utilities. Any significant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spacing w:after="0" w:line="202"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Our ability to compete and grow cannabis is dependent on us having access, at a reasonable cost and in a timely manner, to skilled labor, equipment, parts and components. No assurances can be given that we will be successful in maintaining our required supply of labor, equipment, parts and components.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transport our cannabis products to patients in a safe and efficient manner.</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Due to our direct-to-patient shipping model, we depend on fast and efficient third-party transportation services to distribute our medical cannabis products. In addition, we anticipate that Canadian adult-use distribution will take various forms on a province-by-province basis. Any prolonged disruption of third-party transportation services could have a material adverse effect on our sales volumes or our end users’ satisfaction with our services. Rising costs associated with third-party transportation services used by us to ship our products may also adversely impact our profitability, and more generally our business, financial condition and results of operations.</w:t>
      </w:r>
    </w:p>
    <w:p>
      <w:pPr>
        <w:spacing w:after="0" w:line="203"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The security of our products during transportation to and from our facilities is of the utmost concern. A breach of security during transport or delivery could result in the loss of high-value product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40"/>
        <w:spacing w:after="0"/>
        <w:rPr>
          <w:sz w:val="20"/>
          <w:szCs w:val="20"/>
          <w:color w:val="auto"/>
        </w:rPr>
      </w:pPr>
      <w:r>
        <w:rPr>
          <w:rFonts w:ascii="Arial" w:cs="Arial" w:eastAsia="Arial" w:hAnsi="Arial"/>
          <w:sz w:val="18"/>
          <w:szCs w:val="18"/>
          <w:color w:val="auto"/>
        </w:rPr>
        <w:t>and forfeiture of import and export approvals, since such approvals are shipment specific. Any failure to take steps necessary to ensure the safekeeping of our cannabis could also have an impact on our ability to continue operating under our existing licenses, to renew or receive amendments to our existing licenses or to receive required new licenses.</w:t>
      </w:r>
    </w:p>
    <w:p>
      <w:pPr>
        <w:spacing w:after="0" w:line="181" w:lineRule="exact"/>
        <w:rPr>
          <w:sz w:val="20"/>
          <w:szCs w:val="20"/>
          <w:color w:val="auto"/>
        </w:rPr>
      </w:pPr>
    </w:p>
    <w:p>
      <w:pPr>
        <w:ind w:left="200" w:right="900"/>
        <w:spacing w:after="0" w:line="271" w:lineRule="auto"/>
        <w:rPr>
          <w:sz w:val="20"/>
          <w:szCs w:val="20"/>
          <w:color w:val="auto"/>
        </w:rPr>
      </w:pPr>
      <w:r>
        <w:rPr>
          <w:rFonts w:ascii="Arial" w:cs="Arial" w:eastAsia="Arial" w:hAnsi="Arial"/>
          <w:sz w:val="18"/>
          <w:szCs w:val="18"/>
          <w:b w:val="1"/>
          <w:bCs w:val="1"/>
          <w:i w:val="1"/>
          <w:iCs w:val="1"/>
          <w:color w:val="auto"/>
        </w:rPr>
        <w:t>Our cannabis products may be subject to recalls for a variety of reasons, which could require us to expend significant management and capital resources.</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Manufacturers and distributors of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cannabis products, there can be no assurance that any quality, potency or contamination problems will be detected in time to avoid unforeseen product recalls, regulatory action or lawsuits, whether frivolous or otherwise. If any of the cannabis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margin or at all. In addition, a product recall may require significant management attention or damage our reputation and goodwill or that of our products or brands.</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March 2015, we voluntarily recalled certain lots of our milled House Blend as a result of the microbial level of this product falling outside of acceptable limits during secondary testing. In August 2016, we withdrew cannabis oil capsules supplied to Croatia for pharmacy distribution because certain capsules suffered damage during transport. In both of these cases, we were able to complete the recall and withdrawal successfully; however, there is no assurance that any similar future incidents will not result in regulatory action or civil lawsuits, whether frivolous or otherwise, or an adverse effect on our reputation or goodwill, or that of our products or brands.</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Additionally, product recalls may lead to increased scrutiny of our operations by Health Canada or other regulatory agencies, requiring further management attention, increased compliance costs and potential legal fees, fines, penalties and other expenses. Any product recall affecting the medical cannabis industry more broadly, whether or not involving us, could also lead consumers to lose confidence in the safety and security of the products sold by Licensed Producers generally, including products sold by us.</w:t>
      </w:r>
    </w:p>
    <w:p>
      <w:pPr>
        <w:spacing w:after="0" w:line="180"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We may be subject to product liability claims or regulatory action if our products are alleged to have caused significant loss or injury. This risk is exacerbated by the fact that cannabis use may increase the risk of serious adverse side effects.</w:t>
      </w:r>
    </w:p>
    <w:p>
      <w:pPr>
        <w:spacing w:after="0" w:line="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As a manufacturer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Previously unknown adverse reactions resulting from human consumption of cannabis products alone or in combination with other medications or substances could also occur. In addition, the manufacture and sale of cannabis products, like the manufacture and sale of any ingested product, involves a risk of injury to consumers due to tampering by unauthorized third parties or product contamination. We have in the past recalled, and may again in the future have to recall, certain of our cannabis products as a result of potential contamination and quality assurance concerns. A product liability claim or regulatory action against us could result in increased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costs and could adversely affect our reputation and goodwill with our patients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also could adversely affect our commercial arrangements with third parties.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rely on third-party distributors to distribute our products, and those distributors may not perform their obligations.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rely on third-party distributors, including pharmaceutical distributors and other courier services, and may in the future rely on other third parties, to distribute our products. If these distributors do not successfully carry out their contractual duties, if there is a delay or interruption in the distribution of our products or if these third parties damage our products, it could negatively impact our revenue from product sales. Any damage to our products, such as product spoilage, could expose us to potential product liability, damage our reputation and the reputation of our brands or otherwise harm our business.</w:t>
      </w:r>
    </w:p>
    <w:p>
      <w:pPr>
        <w:spacing w:after="0" w:line="181"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We, or the cannabis industry more generally, may receive unfavorable publicity or become subject to negative consumer or investor perception.</w:t>
      </w:r>
    </w:p>
    <w:p>
      <w:pPr>
        <w:spacing w:after="0" w:line="27"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believe that the cannabis industry is highly dependent upon positive consumer and investor perception regarding the benefits, safety, efficacy and quality of the cannabis distributed to consumers.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medical cannabis market or any particular medical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cannabis products. Further, adverse publicity reports or other media attention regarding the safety, efficacy and quality of cannabis for medical purposes, or our current or future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Certain events or developments in the cannabis industry more generally may impact our reputation.</w:t>
      </w:r>
    </w:p>
    <w:p>
      <w:pPr>
        <w:spacing w:after="0" w:line="85" w:lineRule="exact"/>
        <w:rPr>
          <w:sz w:val="20"/>
          <w:szCs w:val="20"/>
          <w:color w:val="auto"/>
        </w:rPr>
      </w:pPr>
    </w:p>
    <w:p>
      <w:pPr>
        <w:ind w:left="200" w:right="300" w:firstLine="331"/>
        <w:spacing w:after="0" w:line="236" w:lineRule="auto"/>
        <w:rPr>
          <w:sz w:val="20"/>
          <w:szCs w:val="20"/>
          <w:color w:val="auto"/>
        </w:rPr>
      </w:pPr>
      <w:r>
        <w:rPr>
          <w:rFonts w:ascii="Arial" w:cs="Arial" w:eastAsia="Arial" w:hAnsi="Arial"/>
          <w:sz w:val="18"/>
          <w:szCs w:val="18"/>
          <w:color w:val="auto"/>
        </w:rPr>
        <w:t>Damage to our reputation can result from the actual or perceived occurrence of any number of events, including any negative publicity, whether true or not. As a producer and distributor of cannabis, which is a controlled substance in Canada that has previously been commonly associated with various other narcotics, violence and criminal activities, there is a risk that our business might attract negative publicity. There is also a risk that the actions of other Licensed Producers or of other companies and service providers in the medical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medical cannabis industry in general, whether true or not.</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Licensed Producers, including us, are constrained by law in their ability to market their products in Canada.</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development of our business and operating results may be hindered by applicable restrictions on sales and marketing activities imposed by Health Canada. The regulatory environment in Canada limits our ability to compete for market share in a manner similar to other industries. All products we distribute into the Canadian adult-use market would need to comply with requirements under Canadian legislation, including with respect to product formats, product packaging, and marketing activities around such products. As such, our portfolio of brands and products would be specifically adapted, and our marketing activities carefully structured, to enable us to develop our brands in an effective and compliant manner. If we are unable to effectively market our cannabis products and compete for market share, or if the costs of compliance with government legislation and regulation cannot be absorbed through increased selling prices for our cannabis products, then our sales and operating results could be adversely affected.</w:t>
      </w:r>
    </w:p>
    <w:p>
      <w:pPr>
        <w:spacing w:after="0" w:line="186" w:lineRule="exact"/>
        <w:rPr>
          <w:sz w:val="20"/>
          <w:szCs w:val="20"/>
          <w:color w:val="auto"/>
        </w:rPr>
      </w:pPr>
    </w:p>
    <w:p>
      <w:pPr>
        <w:ind w:left="200" w:right="200"/>
        <w:spacing w:after="0" w:line="253" w:lineRule="auto"/>
        <w:rPr>
          <w:sz w:val="20"/>
          <w:szCs w:val="20"/>
          <w:color w:val="auto"/>
        </w:rPr>
      </w:pPr>
      <w:r>
        <w:rPr>
          <w:rFonts w:ascii="Arial" w:cs="Arial" w:eastAsia="Arial" w:hAnsi="Arial"/>
          <w:sz w:val="18"/>
          <w:szCs w:val="18"/>
          <w:b w:val="1"/>
          <w:bCs w:val="1"/>
          <w:i w:val="1"/>
          <w:iCs w:val="1"/>
          <w:color w:val="auto"/>
        </w:rPr>
        <w:t>We may not be able to obtain adequate insurance coverage in respect of the risks we and our business face, the premiums for such insurance may not continue to be commercially justifiable or there may be coverage limitations and other exclusions which may result in such insurance not being sufficient to cover potential liabilities that we face.</w:t>
      </w:r>
    </w:p>
    <w:p>
      <w:pPr>
        <w:spacing w:after="0" w:line="4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currently have insurance coverage protecting our assets and operations, including product liability insurance. Our insurance coverage is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183"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If we are not able to comply with all safety, health and environmental regulations applicable to our operations and industry, we may be held liable for any breaches of those regulations.</w:t>
      </w:r>
    </w:p>
    <w:p>
      <w:pPr>
        <w:spacing w:after="0" w:line="27"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Safety, health and environmental laws and regulations affect nearly all aspects of our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Continuing to meet GMP standards, which we follow voluntarily, requires satisfying additional standards for the conduct of our operations and subjects us to ongoing compliance inspections in respect of these standards.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may in the future be closed or sold to third parties.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spacing w:after="0" w:line="185"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We may become subject to liability arising from any fraudulent or illegal activity by our employees, contractors, consultants and others.</w:t>
      </w:r>
    </w:p>
    <w:p>
      <w:pPr>
        <w:spacing w:after="0" w:line="41" w:lineRule="exact"/>
        <w:rPr>
          <w:sz w:val="20"/>
          <w:szCs w:val="20"/>
          <w:color w:val="auto"/>
        </w:rPr>
      </w:pPr>
    </w:p>
    <w:p>
      <w:pPr>
        <w:ind w:left="200" w:right="60" w:firstLine="331"/>
        <w:spacing w:after="0" w:line="248" w:lineRule="auto"/>
        <w:rPr>
          <w:sz w:val="20"/>
          <w:szCs w:val="20"/>
          <w:color w:val="auto"/>
        </w:rPr>
      </w:pPr>
      <w:r>
        <w:rPr>
          <w:rFonts w:ascii="Arial" w:cs="Arial" w:eastAsia="Arial" w:hAnsi="Arial"/>
          <w:sz w:val="17"/>
          <w:szCs w:val="17"/>
          <w:color w:val="auto"/>
        </w:rPr>
        <w:t>We are exposed to the risk that our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our behalf or in our service that violate: (i) government regulations, specifically Health Canada regulations; (ii) manufacturing standards; (iii) Canadian federal and provincial healthcare laws and regulations;</w:t>
      </w:r>
    </w:p>
    <w:p>
      <w:pPr>
        <w:spacing w:after="0" w:line="2" w:lineRule="exact"/>
        <w:rPr>
          <w:sz w:val="20"/>
          <w:szCs w:val="20"/>
          <w:color w:val="auto"/>
        </w:rPr>
      </w:pPr>
    </w:p>
    <w:p>
      <w:pPr>
        <w:ind w:left="200" w:right="140" w:firstLine="4"/>
        <w:spacing w:after="0" w:line="23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 (v) U.S. federal laws banning the possession, sale or importation of cannabis into the United States and prohibiting the financing of activities outside the United States that are unlawful under Canadian or other foreign laws or (vi) the terms of our agreements with insurers. In particular, we could be exposed to class action and other litigation, increased Health Canada inspections and related sanctions, the loss of current GMP compliance certifications or the inability to obtain future GMP compliance certifications, lost sales and revenue or reputational damage as a result of prohibited activities that are undertaken in the growing or production process of our products without our knowledge or permission and contrary to our internal policies, procedures and operating requirements.</w:t>
      </w:r>
    </w:p>
    <w:p>
      <w:pPr>
        <w:spacing w:after="0" w:line="20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We cannot always identify and prevent misconduct by our employees and other third parties, including service providers and licensors, and the precautions taken by us to detect and prevent this activity may not be effective in controlling unknown, unanticipated or unmanaged risks or losses or in protecting us from governmental investigations or other actions or lawsuits stemming from such misconduct. If any such actions are instituted against us, and we are not successful in defending ourselves or asserting our rights, those actions could have a significant impact on our business, including the imposition of civil, criminal or administrative penalties, damages, monetary fines and contractual damages, reputational harm, diminished profits and future earnings or curtailment of our operations.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experience breaches of security at our facilities or loss as a result of theft of our products.</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Because of the nature of our products and the limited legal channels for distribution, as well as the concentration of inventory in our facilities, we are subject to the risk of theft of our product and other security breaches. A security breach at Tilray Nanaimo or, once completed, one of our future facilities could result in a significant loss of available product,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80"/>
        <w:spacing w:after="0" w:line="271" w:lineRule="auto"/>
        <w:rPr>
          <w:sz w:val="20"/>
          <w:szCs w:val="20"/>
          <w:color w:val="auto"/>
        </w:rPr>
      </w:pPr>
      <w:r>
        <w:rPr>
          <w:rFonts w:ascii="Arial" w:cs="Arial" w:eastAsia="Arial" w:hAnsi="Arial"/>
          <w:sz w:val="18"/>
          <w:szCs w:val="18"/>
          <w:b w:val="1"/>
          <w:bCs w:val="1"/>
          <w:i w:val="1"/>
          <w:iCs w:val="1"/>
          <w:color w:val="auto"/>
        </w:rPr>
        <w:t>We may be subject to risks related to our information technology systems, including the risk that we may be the subject of a cyber attack and the risk that we may be in non-compliance with applicable privacy laws.</w:t>
      </w:r>
    </w:p>
    <w:p>
      <w:pPr>
        <w:spacing w:after="0" w:line="41"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We have entered into agreements with third parties for hardware, software, telecommunications and other information technology, or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or theft. Our operations also depend on the timely maintenance, upgrade and replacement of networks, equipment and IT systems and software, as well as preemptive expenses to mitigate the risks of failures. Any of these and other events could result in information system failures, delays or increases in capital expenses. The failure of information systems or a component of information systems could, depending on the nature of any such failure, adversely impact our reputation and results of operations.</w:t>
      </w:r>
    </w:p>
    <w:p>
      <w:pPr>
        <w:spacing w:after="0" w:line="208" w:lineRule="exact"/>
        <w:rPr>
          <w:sz w:val="20"/>
          <w:szCs w:val="20"/>
          <w:color w:val="auto"/>
        </w:rPr>
      </w:pPr>
    </w:p>
    <w:p>
      <w:pPr>
        <w:ind w:left="200" w:right="40" w:firstLine="331"/>
        <w:spacing w:after="0" w:line="251" w:lineRule="auto"/>
        <w:rPr>
          <w:sz w:val="20"/>
          <w:szCs w:val="20"/>
          <w:color w:val="auto"/>
        </w:rPr>
      </w:pPr>
      <w:r>
        <w:rPr>
          <w:rFonts w:ascii="Arial" w:cs="Arial" w:eastAsia="Arial" w:hAnsi="Arial"/>
          <w:sz w:val="17"/>
          <w:szCs w:val="17"/>
          <w:color w:val="auto"/>
        </w:rPr>
        <w:t>There are a number of laws protecting the confidentiality of certain patient health information, including patient records, and restricting the use and disclosure of that protected information. In particular, the privacy rules under the Personal Information Protection and Electronics Documents Act (Canada), or the PIPEDA, and similar laws in other jurisdictions, protect medical records and other personal health information by limiting their use and the disclosure of health information to the minimum level reasonably necessary to accomplish the intended purpose. We collect and store personal information about our patients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 attack. Moreover, if we are found to be in violation of the privacy or security rules under PIPEDA or other laws protecting the confidentiality of patient health information, including as a result of data theft and privacy breaches, we could be subject to sanctions and civil or criminal penalties, which could increase our liabilities and harm our reputation.</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unable to sustain our revenue growth and development.</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revenue has grown in recent years. Our ability to sustain this growth will depend on a number of factors, many of which are beyond our control, including, but not limited to, the availability of sufficient capital on suitable terms, changes in laws and regulations respecting the production of cannabis products, competition from other Licensed Producers, the size of the black market and the proposed legal adult-use market, and our ability to produce sufficient volumes of our cannabis-based pharmaceutical products to meet patient demand. In addition, we are subject to a variety of business risks generally associated with developing companies. Future development and expansion could place significant strain on our management personnel and likely will require us to recruit additional management personnel, and there is no assurance that we will be able to do so.</w:t>
      </w:r>
    </w:p>
    <w:p>
      <w:pPr>
        <w:spacing w:after="0" w:line="181"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We may be unable to expand our operations quickly enough to meet demand or manage our operations beyond their current scale.</w:t>
      </w:r>
    </w:p>
    <w:p>
      <w:pPr>
        <w:spacing w:after="0" w:line="27" w:lineRule="exact"/>
        <w:rPr>
          <w:sz w:val="20"/>
          <w:szCs w:val="20"/>
          <w:color w:val="auto"/>
        </w:rPr>
      </w:pPr>
    </w:p>
    <w:p>
      <w:pPr>
        <w:jc w:val="both"/>
        <w:ind w:left="200" w:right="200" w:firstLine="331"/>
        <w:spacing w:after="0" w:line="239" w:lineRule="auto"/>
        <w:rPr>
          <w:sz w:val="20"/>
          <w:szCs w:val="20"/>
          <w:color w:val="auto"/>
        </w:rPr>
      </w:pPr>
      <w:r>
        <w:rPr>
          <w:rFonts w:ascii="Arial" w:cs="Arial" w:eastAsia="Arial" w:hAnsi="Arial"/>
          <w:sz w:val="18"/>
          <w:szCs w:val="18"/>
          <w:color w:val="auto"/>
        </w:rPr>
        <w:t>There can be no assurance that we will be able to manage our expanding operations, including any acquisitions, effectively, that we will be able to sustain or accelerate our growth or that such growth, if achieved, will result in profitable operations, that we will be able to attract and retain sufficient management personnel necessary for continued growth or that we will be able to successfully make strategic investments or acquisitions.</w:t>
      </w:r>
    </w:p>
    <w:p>
      <w:pPr>
        <w:spacing w:after="0" w:line="20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Demand for cannabis-based products is dependent on a number of social, political and economic factors that are beyond our control. There is no assurance that an increase in existing demand will</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occur, that we will benefit from any such demand increase or that our business will remain profitable even in the event of such an increase in demand. If we are unable to sustain profitability, the value of our Class 2 common stock may significantly decrease.</w:t>
      </w:r>
    </w:p>
    <w:p>
      <w:pPr>
        <w:spacing w:after="0" w:line="175" w:lineRule="exact"/>
        <w:rPr>
          <w:sz w:val="20"/>
          <w:szCs w:val="20"/>
          <w:color w:val="auto"/>
        </w:rPr>
      </w:pPr>
    </w:p>
    <w:p>
      <w:pPr>
        <w:ind w:left="200" w:right="840"/>
        <w:spacing w:after="0" w:line="271" w:lineRule="auto"/>
        <w:rPr>
          <w:sz w:val="20"/>
          <w:szCs w:val="20"/>
          <w:color w:val="auto"/>
        </w:rPr>
      </w:pPr>
      <w:r>
        <w:rPr>
          <w:rFonts w:ascii="Arial" w:cs="Arial" w:eastAsia="Arial" w:hAnsi="Arial"/>
          <w:sz w:val="18"/>
          <w:szCs w:val="18"/>
          <w:b w:val="1"/>
          <w:bCs w:val="1"/>
          <w:i w:val="1"/>
          <w:iCs w:val="1"/>
          <w:color w:val="auto"/>
        </w:rPr>
        <w:t>We may not be able to secure adequate or reliable sources of funding required to operate our business or increase our production to meet consumer demand for our products.</w:t>
      </w:r>
    </w:p>
    <w:p>
      <w:pPr>
        <w:spacing w:after="0" w:line="4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continued development of our business will require additional financing following the closing of this offering, and there is no assurance that we will obtain the financing necessary to be able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in our inability to continue to carry on our business. There can be no assurance that additional capital or other types of financing will be available if needed or that, if available, the terms of such financing will be favorable to us.</w:t>
      </w:r>
    </w:p>
    <w:p>
      <w:pPr>
        <w:spacing w:after="0" w:line="20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In addition, from time to time, we may enter into transactions to acquire assets or the capital stock or other equity interests of other entities. Our continued growth may be financed, wholly or partially, with debt, which may increase our debt levels above industry standards.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 Debt financings may also contain provisions that, if breached, may entitle lenders or their agents to accelerate repayment of loans or realize upon security over our assets, and there is no assurance that we would be able to repay such loans in such an event or prevent the enforcement of security granted pursuant to any such debt financing.</w:t>
      </w:r>
    </w:p>
    <w:p>
      <w:pPr>
        <w:spacing w:after="0" w:line="181" w:lineRule="exact"/>
        <w:rPr>
          <w:sz w:val="20"/>
          <w:szCs w:val="20"/>
          <w:color w:val="auto"/>
        </w:rPr>
      </w:pPr>
    </w:p>
    <w:p>
      <w:pPr>
        <w:ind w:left="200" w:right="54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27" w:lineRule="exact"/>
        <w:rPr>
          <w:sz w:val="20"/>
          <w:szCs w:val="20"/>
          <w:color w:val="auto"/>
        </w:rPr>
      </w:pPr>
    </w:p>
    <w:p>
      <w:pPr>
        <w:ind w:left="200" w:right="20" w:firstLine="331"/>
        <w:spacing w:after="0" w:line="251" w:lineRule="auto"/>
        <w:rPr>
          <w:sz w:val="20"/>
          <w:szCs w:val="20"/>
          <w:color w:val="auto"/>
        </w:rPr>
      </w:pPr>
      <w:r>
        <w:rPr>
          <w:rFonts w:ascii="Arial" w:cs="Arial" w:eastAsia="Arial" w:hAnsi="Arial"/>
          <w:sz w:val="17"/>
          <w:szCs w:val="17"/>
          <w:color w:val="auto"/>
        </w:rPr>
        <w:t>Historically, we have operated as a private company. As a public company, particularly after we are no longer an emerging growth company, we will incur significant legal, accounting and other expenses that we did not incur as a private company. In addition, the Sarbanes-Oxley Act of 2002, or the Sarbanes-Oxley Act, and rules implemented by the U.S. Securities and Exchange Commission, or the SEC, and the Nasdaq Global Select Market, impose various requirements on public companies, including requirements to file annual, quarterly and event-driven reports with respect to our business and financial condition and operations and establish and maintain effective disclosure and financial controls and corporate governance practices. Our management and other personnel have limited experience operating a public company, which may result in operational inefficiencies or errors, or a failure to improve or maintain effective internal controls over financial reporting, or ICFR, and disclosure controls and procedures, or DCP, necessary to ensure timely and accurate reporting of operational and financial results. Our existing management team will need to devote a substantial amount of time to these compliance initiatives, and we may need to hire additional personnel to assist us with complying with these requirements. Moreover, these rules and regulations will increase our legal and financial compliance costs and will make some activities more time consuming and costly.</w:t>
      </w:r>
    </w:p>
    <w:p>
      <w:pPr>
        <w:spacing w:after="0" w:line="19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Pursuant to Section 404 of the Sarbanes-Oxley Act, or Section 404, we will be required to furnish a report by our management on our ICFR, which, after we are no longer an emerging growth company, must be accompanied by an attestation report on ICFR issued by our independent registered public accounting firm. To achieve compliance with Section 404 within the prescribed period, we will document and evaluate our ICFR, which is both costly and challenging. In this regard, we will need to continue to dedicate internal resources, potentially engage outside consultants and adopt a detailed work plan to assess and document the adequacy of our ICFR, continue steps to improve control</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processes as appropriate, validate through testing that controls are functioning as documented and implement a continuous reporting and improvement process for ICFR. Despite our efforts, there is a risk that neither we nor our independent registered public accounting firm will be able to conclude within the prescribed timeframe that our ICFR is effective as required by Section 404. This could result in a determination that there are one or more material weaknesses in our ICFR, which could cause an adverse reaction in the financial markets due to a loss of confidence in the reliability of our consolidated financial statements.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public company required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divert management’s time and attention from revenue 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20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that is currently in place. These factors could also make it more difficult for us to attract and retain qualified executive officers and members of our board of directors.</w:t>
      </w:r>
    </w:p>
    <w:p>
      <w:pPr>
        <w:spacing w:after="0" w:line="202"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There is no assurance that our management’s past experience will be sufficient to enable us to operate successfully as a public company.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 may not be able to successfully implement adequate internal controls over financial reporting.</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Proper systems of ICFR and disclosure are critical to the operation of a public company. However, we do not expect that our DCP or ICFR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such controls must be considered relative to their costs. Because of the inherent limitations in all control systems, no evaluation of controls can provide absolute assurance that all control issues and instances of fraud, if any, have been detected. Due to the inherent limitations in a cost-effective control system, misstatements due to error or fraud may occur and may not be detected in a timely manner or at all. If we cannot provide reliable financial reports or prevent fraud, our reputation and operating results could be materially adversely affected, which could cause investors to lose confidence in us and our reported financial information, which in turn could result in a reduction in the value of our Class 2 common stock.</w:t>
      </w:r>
    </w:p>
    <w:p>
      <w:pPr>
        <w:spacing w:after="0" w:line="185"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intend to take advantage of reduced disclosure requirements applicable to emerging growth companies, which could make our common stock less attractive to investors.</w:t>
      </w:r>
    </w:p>
    <w:p>
      <w:pPr>
        <w:spacing w:after="0" w:line="2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We are an “emerging growth company” as defined in the JOBS Act. We will remain an emerging growth company until the earliest to occur of (i) the last day of the fiscal year in which we have total</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annual gross revenue of $ 1.07 billion or more; (ii) December 31, 2023 (the last day of the fiscal year ending after the fifth anniversary of the date of the completion of the offering of our Class 2 common stock); (iii) the date on which we have issued more than $1.0 billion in non-convertible debt securities during the prior three-year period or (iv) the date we qualify as a “large accelerated filer” under the rules of the SEC, which means the market value of our common stock held by non-affiliates exceeds $700 million as of the last business day of our most recently completed second fiscal quarter after we have been a reporting company for at least 12 months. For so long as we remain an emerging growth company, we are permitted to and intend to rely upon exemptions from certain disclosure requirements that are applicable to other public companies that are not emerging growth companies. These exemptions include:</w:t>
      </w:r>
    </w:p>
    <w:p>
      <w:pPr>
        <w:spacing w:after="0" w:line="230" w:lineRule="exact"/>
        <w:rPr>
          <w:sz w:val="20"/>
          <w:szCs w:val="20"/>
          <w:color w:val="auto"/>
        </w:rPr>
      </w:pPr>
    </w:p>
    <w:p>
      <w:pPr>
        <w:ind w:left="520" w:hanging="316"/>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not being required to comply with the auditor attestation requirements of Section 404;</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w:t>
      </w:r>
    </w:p>
    <w:p>
      <w:pPr>
        <w:spacing w:after="0" w:line="27" w:lineRule="exact"/>
        <w:rPr>
          <w:rFonts w:ascii="Arial" w:cs="Arial" w:eastAsia="Arial" w:hAnsi="Arial"/>
          <w:sz w:val="15"/>
          <w:szCs w:val="15"/>
          <w:color w:val="auto"/>
        </w:rPr>
      </w:pPr>
    </w:p>
    <w:p>
      <w:pPr>
        <w:ind w:left="520" w:right="160" w:hanging="316"/>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7" w:lineRule="exact"/>
        <w:rPr>
          <w:rFonts w:ascii="Arial" w:cs="Arial" w:eastAsia="Arial" w:hAnsi="Arial"/>
          <w:sz w:val="15"/>
          <w:szCs w:val="15"/>
          <w:color w:val="auto"/>
        </w:rPr>
      </w:pPr>
    </w:p>
    <w:p>
      <w:pPr>
        <w:ind w:left="520" w:hanging="316"/>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reduced disclosure about executive compensation arrangements;</w:t>
      </w:r>
    </w:p>
    <w:p>
      <w:pPr>
        <w:spacing w:after="0" w:line="36" w:lineRule="exact"/>
        <w:rPr>
          <w:rFonts w:ascii="Arial" w:cs="Arial" w:eastAsia="Arial" w:hAnsi="Arial"/>
          <w:sz w:val="15"/>
          <w:szCs w:val="15"/>
          <w:color w:val="auto"/>
        </w:rPr>
      </w:pPr>
    </w:p>
    <w:p>
      <w:pPr>
        <w:ind w:left="520" w:right="140" w:hanging="316"/>
        <w:spacing w:after="0" w:line="246" w:lineRule="auto"/>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exemptions from the requirements to obtain a non-binding advisory vote on executive compensation and stockholder approval of any golden parachute arrangements not previously approved; and</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an extended transition period for complying with new or revised accounting standards, which we have elected to take advantage of.</w:t>
      </w:r>
    </w:p>
    <w:p>
      <w:pPr>
        <w:spacing w:after="0" w:line="212"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We may take advantage of some, but not all, of the available exemptions described above. We have taken advantage of reduced reporting burdens in this prospectus. In particular, we have not included all of the executive compensation information that would be required if we were not an emerging growth company. We cannot predict whether investors will find our common stock less attractive if we rely on these exemptions. If some investors find our Class 2 common stock less attractive as a result, there may be a less active trading market for our Class 2 common stock and our stock price may be more volatile.</w:t>
      </w:r>
    </w:p>
    <w:p>
      <w:pPr>
        <w:spacing w:after="0" w:line="181"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Conflicts of interest may arise between us and our directors and officers as a result of other business activities undertaken by such individuals, including continuing involvement by these individuals in Privateer Holdings.</w:t>
      </w:r>
    </w:p>
    <w:p>
      <w:pPr>
        <w:spacing w:after="0" w:line="41"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We may be subject to various potential conflicts of interest because some of our directors and executive officers may be engaged in a range of business activities. In addition, our directors and executive officers are permitted under their employment agreements with us to devote time to their outside business interests, so long as such activities do not materially or adversely interfere with their duties to us and subject to any contractual restrictions restricting such activities.These business interests could require the investment of significant time and attention by our executive officers and directors. In some cases, our executive officers and directors may have fiduciary obligations associated with business interests that interfere with their ability to devote time to our business and affairs, such as business obligations related to the employment or involvement of these persons with Privateer Holdings, which could adversely affect our operations.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Third parties with whom we do business may perceive themselves as being exposed to reputational risk as a result of their relationship with us.</w:t>
      </w:r>
    </w:p>
    <w:p>
      <w:pPr>
        <w:spacing w:after="0" w:line="4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parties with whom we do business, or would like to do business with, may perceive that they are exposed to reputational risk as a result of our business activities relating to cannabis, which could hinder our ability to establish or maintain business relationships. These perceptions relating to the cannabis industry may interfere with our relationship with service providers in Canada and other countries, particularly in the financial services industry.</w:t>
      </w:r>
    </w:p>
    <w:p>
      <w:pPr>
        <w:spacing w:after="0" w:line="180"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i w:val="1"/>
          <w:iCs w:val="1"/>
          <w:color w:val="auto"/>
        </w:rPr>
        <w:t>Tax and accounting requirements may change in ways that are unforeseen to us and we may face difficulty or be unable to implement or comply with any such changes.</w:t>
      </w:r>
    </w:p>
    <w:p>
      <w:pPr>
        <w:spacing w:after="0" w:line="2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have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were to fail to comply.</w:t>
      </w:r>
    </w:p>
    <w:p>
      <w:pPr>
        <w:spacing w:after="0" w:line="183"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Because a significant portion of our sales are generated in Canada, fluctuations in foreign currency exchange rates could harm our results of operations.</w:t>
      </w:r>
    </w:p>
    <w:p>
      <w:pPr>
        <w:spacing w:after="0" w:line="68" w:lineRule="exact"/>
        <w:rPr>
          <w:sz w:val="20"/>
          <w:szCs w:val="20"/>
          <w:color w:val="auto"/>
        </w:rPr>
      </w:pPr>
    </w:p>
    <w:p>
      <w:pPr>
        <w:ind w:left="200" w:right="160" w:firstLine="331"/>
        <w:spacing w:after="0" w:line="234" w:lineRule="auto"/>
        <w:rPr>
          <w:sz w:val="20"/>
          <w:szCs w:val="20"/>
          <w:color w:val="auto"/>
        </w:rPr>
      </w:pPr>
      <w:r>
        <w:rPr>
          <w:rFonts w:ascii="Arial" w:cs="Arial" w:eastAsia="Arial" w:hAnsi="Arial"/>
          <w:sz w:val="18"/>
          <w:szCs w:val="18"/>
          <w:color w:val="auto"/>
        </w:rPr>
        <w:t>The reporting currency for our consolidated financial statements is the U.S. dollar. We derive a significant portion of our revenue and incur a significant portion of our operating costs in Canada, and changes in exchange rates between the Canadian dollar and the</w:t>
      </w:r>
    </w:p>
    <w:p>
      <w:pPr>
        <w:spacing w:after="0" w:line="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U.S. dollar may have a significant, and potentially adverse, effect on our results of operations. In addition, our obligations under our credit facilities with Privateer Holdings are denominated in U.S. dollars. Our primary risk of loss regarding foreign currency exchange rate risk is caused by fluctuations in the exchange rates between the U.S. dollar and Canadian dollar, although as we expand internationally we will be subject to additional foreign currency exchange risks. Because we recognize revenue in Canada in Canadian dollars, if the Canadian dollar weakens against the U.S. dollar it would have a negative impact on our Canadian operating results upon translation of those results into U.S. dollars for the purposes of consolidation. In addition, a weakening of the Canadian dollar against the U.S. dollar would make it more difficult for us to meet our obligations under our credit facilities with Privateer Holdings.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seriously harm our business.</w:t>
      </w:r>
    </w:p>
    <w:p>
      <w:pPr>
        <w:spacing w:after="0" w:line="12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income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which could increase our worldwide effective tax rate and the amount of taxes we pay and seriously harm our business. Taxing authorities may also determine that the manner in which we operate our business is not consistent with how we report our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income, which could increase our effective tax rate and the amount of taxes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 We are subject to regular review and audit by U.S. federal and state and foreign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effect of recent U.S. tax reform on us is uncertain and could adversely affect our business and financial condition.</w:t>
      </w:r>
    </w:p>
    <w:p>
      <w:pPr>
        <w:spacing w:after="0" w:line="126"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On December 22, 2017, the legislation commonly referred to as the Tax Cuts and Jobs Act was enacted, which contains significant changes to U.S. tax law, including, but not limited to, a reduction in the corporate tax rate, limitation of the tax deduction for interest expense (with certain exceptions), limitation of the deduction for net operating losses arising after 2017 to 80% of current year taxable income and elimination of carryback of such net operating losses, one-time taxation of offshore earnings at reduced rates regardless of whether they are repatriated, immediate deductions for certain new investments instead of deductions for depreciation expense over time, modifying or repealing many business deductions and credits, deemed repatriation of certain intangible related income and a transition to a new quasi-territorial system of taxation. The effect of the changes made in the Tax Cuts and Jobs Act is highly uncertain, both in terms of their direct effect on the taxation of an investment in our common stock and their indirect effect on our financial condition or market conditions generally, and our business and financial condition could be adversely affected. Furthermore, many of the provisions of the Tax Cuts and Jobs Act will require guidance through the issuance of treasury regulations in order to assess their effect. There may be a substantial delay before such regulations are promulgated, increasing the uncertainty as to the ultimate effect of the statutory amendments on us or our stockholders. There may also be technical corrections legislation proposed with respect to the Tax Cuts and Jobs Act, the effect and timing of which cannot be predicted and may be adverse to us or our stockholders. In addition, it is uncertain how various states will respond to the newly enacted federal tax law. We will continue to examine and assess the impact this tax reform legislation may have on our business. This prospectus does not discuss any such tax legislation or the manner in which it might affect purchasers of our Class 2 common stock. We urge our stockholders to consult with their legal and tax advisors with respect to any such legislation and the potential tax consequences of investing in our Class 2 common stock.</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12" w:lineRule="exact"/>
        <w:rPr>
          <w:sz w:val="20"/>
          <w:szCs w:val="20"/>
          <w:color w:val="auto"/>
        </w:rPr>
      </w:pPr>
    </w:p>
    <w:p>
      <w:pPr>
        <w:jc w:val="both"/>
        <w:ind w:left="200" w:right="160"/>
        <w:spacing w:after="0" w:line="253" w:lineRule="auto"/>
        <w:rPr>
          <w:sz w:val="20"/>
          <w:szCs w:val="20"/>
          <w:color w:val="auto"/>
        </w:rPr>
      </w:pPr>
      <w:r>
        <w:rPr>
          <w:rFonts w:ascii="Arial" w:cs="Arial" w:eastAsia="Arial" w:hAnsi="Arial"/>
          <w:sz w:val="18"/>
          <w:szCs w:val="18"/>
          <w:b w:val="1"/>
          <w:bCs w:val="1"/>
          <w:i w:val="1"/>
          <w:iCs w:val="1"/>
          <w:color w:val="auto"/>
        </w:rPr>
        <w:t>We may be subject to risks related to the protection and enforcement of our intellectual property rights, or intellectual property we license from others, and may become subject to allegations that we or our licensors are in violation of intellectual property rights of third parties.</w:t>
      </w:r>
    </w:p>
    <w:p>
      <w:pPr>
        <w:spacing w:after="0" w:line="56" w:lineRule="exact"/>
        <w:rPr>
          <w:sz w:val="20"/>
          <w:szCs w:val="20"/>
          <w:color w:val="auto"/>
        </w:rPr>
      </w:pPr>
    </w:p>
    <w:p>
      <w:pPr>
        <w:ind w:left="200" w:right="360" w:firstLine="331"/>
        <w:spacing w:after="0" w:line="239" w:lineRule="auto"/>
        <w:rPr>
          <w:sz w:val="20"/>
          <w:szCs w:val="20"/>
          <w:color w:val="auto"/>
        </w:rPr>
      </w:pPr>
      <w:r>
        <w:rPr>
          <w:rFonts w:ascii="Arial" w:cs="Arial" w:eastAsia="Arial" w:hAnsi="Arial"/>
          <w:sz w:val="18"/>
          <w:szCs w:val="18"/>
          <w:color w:val="auto"/>
        </w:rPr>
        <w:t>The ownership, licensing and protection of trademarks, patents and intellectual property rights are significant aspects of our future success. Unauthorized parties may attempt to replicate or otherwise obtain and use our products and technology. Policing the unauthorized use of our current or future trademarks, patents or other intellectual property rights could be difficult, expensive, time consuming and unpredictable, as may be enforcing these rights against unauthorized use by others. Identifying the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unauthorized use of intellectual property rights is difficult as we may be unable to effectively monitor and evaluate the products being distributed by our competitors, including parties such as unlicensed dispensaries and black market participants, and the processes used to produce such products. In addition, in any infringement proceeding, some or all of our trademarks, patents or other intellectual property rights or other proprietary know-how, or those we license from others, or arrangements or agreements seeking to protect the same for our benefit, may be found invalid, unenforceable, anti-competitive or not infringed; may be interpreted narrowly; or could put existing intellectual property applications at risk of not being issued.</w:t>
      </w:r>
    </w:p>
    <w:p>
      <w:pPr>
        <w:spacing w:after="0" w:line="20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addition, other parties may claim that our products, or those we license from others, infringe on their proprietary or patent protected rights. Such claims, whether or not meritorious, may result in the expenditure of significant financial and managerial resources and legal fees, result in injunctions or temporary restraining orders or require the payment of damages. As well, we may need to obtain licenses from third parties who allege that we have infringed on their lawful rights. Such licenses may not be available on terms acceptable to us, or at all. In addition, we may not be able to obtain or utilize on terms that are favorable to us, or at all, licenses or other rights with respect to intellectual property that we do not own.</w:t>
      </w:r>
    </w:p>
    <w:p>
      <w:pPr>
        <w:spacing w:after="0" w:line="205"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We also rely on certain trade secrets, technical know-how and proprietary information that are not protected by patents to maintain our competitive position. Our trade secrets, technical know-how and proprietary information, which are not protected by patents, may become known to or be independently developed by competitors, which could adversely affect us.</w:t>
      </w:r>
    </w:p>
    <w:p>
      <w:pPr>
        <w:spacing w:after="0" w:line="181" w:lineRule="exact"/>
        <w:rPr>
          <w:sz w:val="20"/>
          <w:szCs w:val="20"/>
          <w:color w:val="auto"/>
        </w:rPr>
      </w:pPr>
    </w:p>
    <w:p>
      <w:pPr>
        <w:ind w:left="200" w:right="320"/>
        <w:spacing w:after="0" w:line="253" w:lineRule="auto"/>
        <w:rPr>
          <w:sz w:val="20"/>
          <w:szCs w:val="20"/>
          <w:color w:val="auto"/>
        </w:rPr>
      </w:pPr>
      <w:r>
        <w:rPr>
          <w:rFonts w:ascii="Arial" w:cs="Arial" w:eastAsia="Arial" w:hAnsi="Arial"/>
          <w:sz w:val="18"/>
          <w:szCs w:val="18"/>
          <w:b w:val="1"/>
          <w:bCs w:val="1"/>
          <w:i w:val="1"/>
          <w:iCs w:val="1"/>
          <w:color w:val="auto"/>
        </w:rPr>
        <w:t>We license some intellectual property rights, and the failure of the owner of such intellectual property to properly maintain or enforce the intellectual property underlying such licenses could have a material adverse effect on our business, financial condition and performance.</w:t>
      </w:r>
    </w:p>
    <w:p>
      <w:pPr>
        <w:spacing w:after="0" w:line="56"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We are party to a number of licenses, including with Privateer Holdings, that give us rights to use third-party intellectual property that is necessary or useful to our business. Our success will depend, in part, on the ability of the licensor to maintain and enforce its licensed intellectual property, in particular, those intellectual property rights to which we have secured exclusive rights. Without protection for the intellectual property we have licensed, other companies might be able to offer substantially similar products for sale or utilize substantially similar processes, which could have a material adverse effect on us.</w:t>
      </w:r>
    </w:p>
    <w:p>
      <w:pPr>
        <w:spacing w:after="0" w:line="203"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Any of our licensors may allege that we have breached our license agreement, whether with or without merit, and accordingly seek to terminate our license. If successful, this could result in our loss of the right to use the licensed intellectual property, which could adversely affect our ability to commercialize our products or services, as well as have a material adverse effect on us.</w:t>
      </w:r>
    </w:p>
    <w:p>
      <w:pPr>
        <w:spacing w:after="0" w:line="181" w:lineRule="exact"/>
        <w:rPr>
          <w:sz w:val="20"/>
          <w:szCs w:val="20"/>
          <w:color w:val="auto"/>
        </w:rPr>
      </w:pPr>
    </w:p>
    <w:p>
      <w:pPr>
        <w:ind w:left="200" w:right="260"/>
        <w:spacing w:after="0" w:line="247" w:lineRule="auto"/>
        <w:rPr>
          <w:sz w:val="20"/>
          <w:szCs w:val="20"/>
          <w:color w:val="auto"/>
        </w:rPr>
      </w:pPr>
      <w:r>
        <w:rPr>
          <w:rFonts w:ascii="Arial" w:cs="Arial" w:eastAsia="Arial" w:hAnsi="Arial"/>
          <w:sz w:val="18"/>
          <w:szCs w:val="18"/>
          <w:b w:val="1"/>
          <w:bCs w:val="1"/>
          <w:i w:val="1"/>
          <w:iCs w:val="1"/>
          <w:color w:val="auto"/>
        </w:rPr>
        <w:t>We may not realize the full benefit of the clinical trials or studies that we participate in because the terms of some of our agreements to participate do not give us full rights to the resulting intellectual property, the ability to acquire full rights to that intellectual property on commercially reasonable terms or the ability to prevent other parties from using that intellectual property.</w:t>
      </w:r>
    </w:p>
    <w:p>
      <w:pPr>
        <w:spacing w:after="0" w:line="48"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Although we have participated in several clinical trials, we are not the sponsor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line="242" w:lineRule="auto"/>
        <w:rPr>
          <w:sz w:val="20"/>
          <w:szCs w:val="20"/>
          <w:color w:val="auto"/>
        </w:rPr>
      </w:pPr>
      <w:r>
        <w:rPr>
          <w:rFonts w:ascii="Arial" w:cs="Arial" w:eastAsia="Arial" w:hAnsi="Arial"/>
          <w:sz w:val="18"/>
          <w:szCs w:val="18"/>
          <w:color w:val="auto"/>
        </w:rPr>
        <w:t>relating directly to the study drug being trialed (</w:t>
      </w:r>
      <w:r>
        <w:rPr>
          <w:rFonts w:ascii="Arial" w:cs="Arial" w:eastAsia="Arial" w:hAnsi="Arial"/>
          <w:sz w:val="18"/>
          <w:szCs w:val="18"/>
          <w:i w:val="1"/>
          <w:iCs w:val="1"/>
          <w:color w:val="auto"/>
        </w:rPr>
        <w:t>e.g.</w:t>
      </w:r>
      <w:r>
        <w:rPr>
          <w:rFonts w:ascii="Arial" w:cs="Arial" w:eastAsia="Arial" w:hAnsi="Arial"/>
          <w:sz w:val="18"/>
          <w:szCs w:val="18"/>
          <w:color w:val="auto"/>
        </w:rPr>
        <w:t xml:space="preserve"> intellectual property relating to use of the study drug for the condition being examined in the study),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spacing w:after="0" w:line="181" w:lineRule="exact"/>
        <w:rPr>
          <w:sz w:val="20"/>
          <w:szCs w:val="20"/>
          <w:color w:val="auto"/>
        </w:rPr>
      </w:pPr>
    </w:p>
    <w:p>
      <w:pPr>
        <w:ind w:left="200" w:right="60"/>
        <w:spacing w:after="0" w:line="302" w:lineRule="auto"/>
        <w:rPr>
          <w:sz w:val="20"/>
          <w:szCs w:val="20"/>
          <w:color w:val="auto"/>
        </w:rPr>
      </w:pPr>
      <w:r>
        <w:rPr>
          <w:rFonts w:ascii="Arial" w:cs="Arial" w:eastAsia="Arial" w:hAnsi="Arial"/>
          <w:sz w:val="17"/>
          <w:szCs w:val="17"/>
          <w:b w:val="1"/>
          <w:bCs w:val="1"/>
          <w:i w:val="1"/>
          <w:iCs w:val="1"/>
          <w:color w:val="auto"/>
        </w:rPr>
        <w:t>We may not realize the full benefit of our licenses if the licensed material has less market appeal than expected, or if restrictions on packaging and marketing hinder our ability to realize value from our licenses, and licenses may not be profitable to us.</w:t>
      </w:r>
    </w:p>
    <w:p>
      <w:pPr>
        <w:spacing w:after="0" w:line="1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An integral part of our proposed Canadian adult-use cannabis business involves obtaining territorially exclusive licenses to produce products using various brands and images. As a licensee of brand-based properties, we have no assurance that a particular brand or property will translate into a successful adult-use cannabis product, if legalized. Additionally, a successful brand may not continue to be successful or maintain a high level of sales. As well, the popularity of licensed properties may not result in popular products or the success of the properties with the public. Promotion, packaging and labelling of cannabis is expected to be strictly regulated and promotions that appeal to underage individuals are expected to be prohibited. These restrictions may further hinder our ability to benefit from our licenses. Acquiring or renewing licenses may require the payment of minimum guaranteed royalties that we consider to be too high to be profitable, which may result in losing licenses we currently hold when they become renewable under their terms or missing business opportunities for new licenses. If we are unable to acquire or maintain successful licenses on advantageous terms, or to derive sufficient revenue from sales of licensed products, our proposed adult-use business may not be successful.</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Relating to our Relationship with Privateer Holdings</w:t>
      </w:r>
    </w:p>
    <w:p>
      <w:pPr>
        <w:spacing w:after="0" w:line="212" w:lineRule="exact"/>
        <w:rPr>
          <w:sz w:val="20"/>
          <w:szCs w:val="20"/>
          <w:color w:val="auto"/>
        </w:rPr>
      </w:pPr>
    </w:p>
    <w:p>
      <w:pPr>
        <w:ind w:left="200" w:right="260"/>
        <w:spacing w:after="0" w:line="275" w:lineRule="auto"/>
        <w:rPr>
          <w:sz w:val="20"/>
          <w:szCs w:val="20"/>
          <w:color w:val="auto"/>
        </w:rPr>
      </w:pPr>
      <w:r>
        <w:rPr>
          <w:rFonts w:ascii="Arial" w:cs="Arial" w:eastAsia="Arial" w:hAnsi="Arial"/>
          <w:sz w:val="17"/>
          <w:szCs w:val="17"/>
          <w:b w:val="1"/>
          <w:bCs w:val="1"/>
          <w:i w:val="1"/>
          <w:iCs w:val="1"/>
          <w:color w:val="auto"/>
        </w:rPr>
        <w:t>We will be a “controlled company” within the meaning of the listing rules of the Nasdaq Global Select Stock Market and, as a result, will qualify for exemptions from certain corporate governance requirements. As we intend to rely on these exemptions, you will not have the same protections afforded to stockholders of companies that are subject to such requirements.</w:t>
      </w:r>
    </w:p>
    <w:p>
      <w:pPr>
        <w:spacing w:after="0" w:line="25"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Upon the closing of this offering, Privateer Holdings will continue to own a majority of the voting power of all outstanding shares of our capital stock. As a result, we will be a “controlled company” within the meaning of the listing rules of the Nasdaq Global Select Market. Under these rules, a company of which more than 50% of the voting power for the election of directors is held by an individual, group or another company is a “controlled company” and may elect not to comply with certain corporate governance requirements, including the requirements:</w:t>
      </w:r>
    </w:p>
    <w:p>
      <w:pPr>
        <w:spacing w:after="0" w:line="230" w:lineRule="exact"/>
        <w:rPr>
          <w:sz w:val="20"/>
          <w:szCs w:val="20"/>
          <w:color w:val="auto"/>
        </w:rPr>
      </w:pPr>
    </w:p>
    <w:p>
      <w:pPr>
        <w:ind w:left="520" w:hanging="316"/>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that a majority of the board of directors consists of independent directors;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for an annual performance evaluation of the nominating and corporate governance and compensation committees;</w:t>
      </w:r>
    </w:p>
    <w:p>
      <w:pPr>
        <w:spacing w:after="0" w:line="36" w:lineRule="exact"/>
        <w:rPr>
          <w:rFonts w:ascii="Arial" w:cs="Arial" w:eastAsia="Arial" w:hAnsi="Arial"/>
          <w:sz w:val="15"/>
          <w:szCs w:val="15"/>
          <w:color w:val="auto"/>
        </w:rPr>
      </w:pPr>
    </w:p>
    <w:p>
      <w:pPr>
        <w:ind w:left="520" w:right="440" w:hanging="316"/>
        <w:spacing w:after="0" w:line="246" w:lineRule="auto"/>
        <w:tabs>
          <w:tab w:leader="none" w:pos="5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that we have a nominating and corporate governance committee that is composed entirely of independent directors with a written charter addressing the committee’s purpose and responsibilities; and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380" w:hanging="316"/>
        <w:spacing w:after="0" w:line="246" w:lineRule="auto"/>
        <w:tabs>
          <w:tab w:leader="none" w:pos="52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that we have a compensation committee that is composed entirely of independent directors with a written charter addressing the committee’s purpose and responsibility of the Nasdaq Global Select Market.</w:t>
      </w:r>
    </w:p>
    <w:p>
      <w:pPr>
        <w:spacing w:after="0" w:line="197"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We intend to use these exemptions upon the closing of this offering and we may continue to use all or some of these exemptions in the future. As a result, you will not have the same protections afforded to stockholders of companies that are subject to all of the Nasdaq listing rules.</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In addition, Nasdaq Global Select Market has developed listing standards regarding compensation committee independence requirements and the role and disclosure of compensation consultants and other advisers to the compensation committee that, among other things, require:</w:t>
      </w:r>
    </w:p>
    <w:p>
      <w:pPr>
        <w:spacing w:after="0" w:line="27" w:lineRule="exact"/>
        <w:rPr>
          <w:sz w:val="20"/>
          <w:szCs w:val="20"/>
          <w:color w:val="auto"/>
        </w:rPr>
      </w:pPr>
    </w:p>
    <w:p>
      <w:pPr>
        <w:ind w:left="520" w:hanging="316"/>
        <w:spacing w:after="0"/>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compensation committees be composed of independent directors, as determined pursuant to new independence requirements;</w:t>
      </w:r>
    </w:p>
    <w:p>
      <w:pPr>
        <w:spacing w:after="0" w:line="36" w:lineRule="exact"/>
        <w:rPr>
          <w:rFonts w:ascii="Arial" w:cs="Arial" w:eastAsia="Arial" w:hAnsi="Arial"/>
          <w:sz w:val="15"/>
          <w:szCs w:val="15"/>
          <w:color w:val="auto"/>
        </w:rPr>
      </w:pPr>
    </w:p>
    <w:p>
      <w:pPr>
        <w:ind w:left="520" w:right="560" w:hanging="316"/>
        <w:spacing w:after="0" w:line="246" w:lineRule="auto"/>
        <w:tabs>
          <w:tab w:leader="none" w:pos="5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compensation committees be explicitly charged with hiring and overseeing compensation consultants, legal counsel and other committee advisors; and</w:t>
      </w:r>
    </w:p>
    <w:p>
      <w:pPr>
        <w:spacing w:after="0" w:line="21" w:lineRule="exact"/>
        <w:rPr>
          <w:rFonts w:ascii="Arial" w:cs="Arial" w:eastAsia="Arial" w:hAnsi="Arial"/>
          <w:sz w:val="15"/>
          <w:szCs w:val="15"/>
          <w:color w:val="auto"/>
        </w:rPr>
      </w:pPr>
    </w:p>
    <w:p>
      <w:pPr>
        <w:ind w:left="520" w:right="560" w:hanging="316"/>
        <w:spacing w:after="0" w:line="275"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7"/>
          <w:szCs w:val="17"/>
          <w:color w:val="auto"/>
        </w:rPr>
        <w:t>compensation committees be required to consider, when engaging compensation consultants, legal counsel or other advisors, independence factors, including factors that examine the relationship between the consultant’s or advisor’s employer and us.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 controlled company, we will not be subject to these compensation committee independence requirements.</w:t>
      </w:r>
    </w:p>
    <w:p>
      <w:pPr>
        <w:spacing w:after="0" w:line="190"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We are exposed to risks arising from Privateer Holdings’ stockholdings, its provision of services to us and its participation in our management and conflicts of interest associated therewith.</w:t>
      </w:r>
    </w:p>
    <w:p>
      <w:pPr>
        <w:spacing w:after="0" w:line="41" w:lineRule="exact"/>
        <w:rPr>
          <w:sz w:val="20"/>
          <w:szCs w:val="20"/>
          <w:color w:val="auto"/>
        </w:rPr>
      </w:pPr>
    </w:p>
    <w:p>
      <w:pPr>
        <w:ind w:left="200" w:right="60" w:firstLine="331"/>
        <w:spacing w:after="0" w:line="234" w:lineRule="auto"/>
        <w:rPr>
          <w:sz w:val="20"/>
          <w:szCs w:val="20"/>
          <w:color w:val="auto"/>
        </w:rPr>
      </w:pPr>
      <w:r>
        <w:rPr>
          <w:rFonts w:ascii="Arial" w:cs="Arial" w:eastAsia="Arial" w:hAnsi="Arial"/>
          <w:sz w:val="18"/>
          <w:szCs w:val="18"/>
          <w:color w:val="auto"/>
        </w:rPr>
        <w:t>Following the closing of this offering, Privateer Holdings will beneficially own or control an approximate % equity interest in us through ownership or control of 75,000,000 shares of our Class 1 common stock, representing approximately % of the voting power of</w:t>
      </w:r>
    </w:p>
    <w:p>
      <w:pPr>
        <w:spacing w:after="0" w:line="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our capital stock. In addition, because our Class 1 common stock, which is held entirely by Privateer Holdings, has three votes per share, Privateer Holdings will continue to own a majority of the voting power of all outstanding shares of our capital stock and control all matters submitted to our stockholders for approval as long as it holds at least 25.01% of all outstanding shares of our capital stock.</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 a result of provisions in our certificate of incorporation and the terms of agreements we have entered, our relationship with Privateer Holdings, as our majority stockholder, does not impose any duty on Privateer Holdings or its affiliates to act in our best interests and, other than as set out in the agreements entered into between us and Privateer Holdings or its affiliates, Privateer Holdings is not prohibited from engaging in other business activities that may compete with us. In certain instances, the interests of Privateer Holdings may differ from our interests and the interests of our stockholders, including with respect to future acquisitions or strategic decisions. It is possible that conflicts of interest may arise between Privateer Holdings and us and that such conflicts may not be resolved in a manner that is in our best interests or the best interests of our stockholders. Additionally, Privateer Holdings and its affiliates will have access to our material confidential information.</w:t>
      </w:r>
    </w:p>
    <w:p>
      <w:pPr>
        <w:spacing w:after="0" w:line="208"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Generally, a transfer by Privateer Holdings of the Class 1 common stock it holds would cause a conversion of such shares into Class 2 common stock. However, a transfer by Privateer Holdings to the three founders of Privateer Holdings, or certain entities controlled by them, such as estate planning entities, would not result in a conversion and these individuals would continue to hold Class 1 common stock with the superior voting rights of three votes per share. These three founders are Brendan Kennedy (our Chief Executive Officer as well as director), Michael Blue and Christian Groh. If Privateer</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240" w:top="459" w:right="5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40"/>
        <w:spacing w:after="0" w:line="245" w:lineRule="auto"/>
        <w:rPr>
          <w:sz w:val="20"/>
          <w:szCs w:val="20"/>
          <w:color w:val="auto"/>
        </w:rPr>
      </w:pPr>
      <w:r>
        <w:rPr>
          <w:rFonts w:ascii="Arial" w:cs="Arial" w:eastAsia="Arial" w:hAnsi="Arial"/>
          <w:sz w:val="18"/>
          <w:szCs w:val="18"/>
          <w:color w:val="auto"/>
        </w:rPr>
        <w:t>Holdings were to distribute its 75,000,000 shares of Class 1 common stock to the Privateer Holdings stockholders (</w:t>
      </w:r>
      <w:r>
        <w:rPr>
          <w:rFonts w:ascii="Arial" w:cs="Arial" w:eastAsia="Arial" w:hAnsi="Arial"/>
          <w:sz w:val="18"/>
          <w:szCs w:val="18"/>
          <w:i w:val="1"/>
          <w:iCs w:val="1"/>
          <w:color w:val="auto"/>
        </w:rPr>
        <w:t>e.g.</w:t>
      </w:r>
      <w:r>
        <w:rPr>
          <w:rFonts w:ascii="Arial" w:cs="Arial" w:eastAsia="Arial" w:hAnsi="Arial"/>
          <w:sz w:val="18"/>
          <w:szCs w:val="18"/>
          <w:color w:val="auto"/>
        </w:rPr>
        <w:t xml:space="preserve"> in a spinoff transaction or other distribution), approximately % of these shares would continue to be held by these three individuals, based on their current ownership percentage of Privateer Holdings as of March 31, 2018, which would represent % of our voting interests and % of our equity interests.</w:t>
      </w:r>
    </w:p>
    <w:p>
      <w:pPr>
        <w:spacing w:after="0" w:line="1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For so long as Privateer Holdings, either directly or indirectly, owns a significant voting power of our capital stock, Privateer Holdings will have the ability to exercise substantial influence with respect to our affairs and significantly affect the outcome of stockholder votes and may have the ability to cause or prevent certain fundamental transactions. Additionally, Privateer Holdings’ significant voting power may discourage transactions involving a change of control of us, including transactions in which an investor might otherwise receive a premium for our common stock over the then-current market price.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changes in our relationship with Privateer Holdings may cause our business to be adversely affected.</w:t>
      </w:r>
    </w:p>
    <w:p>
      <w:pPr>
        <w:spacing w:after="0" w:line="99"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The arrangements between us and Privateer Holdings do not require Privateer Holdings, either directly or indirectly, to maintain any minimum ownership level in us. Accordingly, Privateer Holdings may transfer all or a substantial portion of its interest in our Class 1 common stock to a third party, including in connection with a merger, consolidation, or sale or spin-off of Privateer Holdings, without our consent or the consent of our stockholders, although at such time those shares, except for shares transferred to the founders of Privateer Holdings or certain entities controlled by them, would be converted into shares of Class 2 common stock with a single vote per share rather than three votes per share. The interests of a transferee of our common stock may be different from Privateer Holdings’ and may not align with those of the other stockholders, and any such transaction may cause the shared services, licenses and industry relationships that we currently benefit from as a result of our affiliation with Privateer Holdings to be disrupted or eliminated. We cannot predict with any certainty the effect that any such transfer would have on the trading price of our Class 2 common stock or our ability to raise capital in the future. Additionally, although our agreements with Privateer Holdings are not terminable in the event that Privateer Holdings ceases to hold a controlling interest in us, our data license agreement is terminable for any reason by either party by either party on 90 days’ notice and our brand licensing agreement is terminable for any reason by either party on six months’ notice prior to the expiration of each automatically renewing five-year term commencing from the first five-year period that ends on February 2023. Further, our debt agreements with Privateer Holdings provide that all outstanding obligations are payable upon demand of Privateer Holdings. As a result of the foregoing, in the event of a change of relationship between Privateer Holdings and us, our future would be uncertain and our business, financial condition and results of operations may suffer.</w:t>
      </w:r>
    </w:p>
    <w:p>
      <w:pPr>
        <w:spacing w:after="0" w:line="193"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Future sales or distributions of our securities by Privateer Holdings could cause the market price for our Class 2 common stock to fall.</w:t>
      </w:r>
    </w:p>
    <w:p>
      <w:pPr>
        <w:spacing w:after="0" w:line="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by Privateer Holdings or the distribution of shares to stockholders could occur at any time after the expiration of the contractual lock-up period, which is the 180-day period commencing on the date of this offering. These sales or distributions, or the market perception that the holders of a large number of shares of our Class 2 common stock, or shares of our Class 1 common stock which are convertible into Class 2 common stock on a one-for-one basis, intend to sell our Class 2 common stock, could significantly reduce the market price of our Class 2 common stock and the market price could decline below the initial public offering price of our Class 2 common stock. We cannot predict the effect, if any, that future public sales of these securities or the availability of these securities for sale will have on the market price of our Class 2 common stock. If the market price of our Class 2 common stock were to drop as a result, this might impede our ability to raise additional capital and might cause our remaining stockholders to lose all or part of their investment.</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The intentions of Privateer Holdings regarding its long-term economic ownership of our capital stock are subject to change, with the result that it may sell more or less of our common stock than currently intended. Factors that could cause Privateer Holdings’ current intentions to change include changes in the circumstances of Privateer Holdings or its affiliates, changes in our management and operation and changes in tax laws, market conditions and our financial performance.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Risks Related to the Offering and Ownership of Our Class 2 Common Stock</w:t>
      </w:r>
    </w:p>
    <w:p>
      <w:pPr>
        <w:spacing w:after="0" w:line="212" w:lineRule="exact"/>
        <w:rPr>
          <w:sz w:val="20"/>
          <w:szCs w:val="20"/>
          <w:color w:val="auto"/>
        </w:rPr>
      </w:pPr>
    </w:p>
    <w:p>
      <w:pPr>
        <w:ind w:left="200" w:right="400"/>
        <w:spacing w:after="0" w:line="253" w:lineRule="auto"/>
        <w:rPr>
          <w:sz w:val="20"/>
          <w:szCs w:val="20"/>
          <w:color w:val="auto"/>
        </w:rPr>
      </w:pPr>
      <w:r>
        <w:rPr>
          <w:rFonts w:ascii="Arial" w:cs="Arial" w:eastAsia="Arial" w:hAnsi="Arial"/>
          <w:sz w:val="18"/>
          <w:szCs w:val="18"/>
          <w:b w:val="1"/>
          <w:bCs w:val="1"/>
          <w:i w:val="1"/>
          <w:iCs w:val="1"/>
          <w:color w:val="auto"/>
        </w:rPr>
        <w:t>Holders of Class 2 common stock have limited voting rights as compared to holders of Class 1 common stock. We cannot predict the impact our capital structure and concentrated control by Privateer Holdings may have on the market price of our Class 2 common stock.</w:t>
      </w:r>
    </w:p>
    <w:p>
      <w:pPr>
        <w:spacing w:after="0" w:line="8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Following the closing of this offering, Privateer Holdings will beneficially own or control 75,000,000 shares of our Class 1 common stock, representing % of the voting power of our capital stock. Class 1 common stock, held entirely by Privateer Holdings, has three votes per share, resulting in Privateer Holdings continuing to own a majority of the voting power of all outstanding shares of our capital stock and controlling all matters submitted to our stockholders for approval as long as it holds at least 25.01% of all outstanding shares of our capital stock. This concentrated control reduces other stockholders’ ability to influence corporate matters and, as a result, we may take actions that our stockholders do not view as beneficial. Further, concentration of ownership of our Class 1 common stock may prevent or delay the consummation of change of control transactions that stockholders may consider favorable, including transactions in which stockholders might otherwise receive a premium for their shares. Future issuances of Class 1 common stock may also be dilutive to the holders of Class 2 common stock. As a result, the market price of our Class 2 common stock could be adversely affected.</w:t>
      </w:r>
    </w:p>
    <w:p>
      <w:pPr>
        <w:spacing w:after="0" w:line="207"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Additionally, while other companies listed on U.S. stock exchanges have publicly traded classes of stock with limited voting rights, we cannot predict whether this structure, combined with concentrated control by Privateer Holdings, will result in a lower trading price or greater fluctuations in the trading price of our Class 2 common stock as compared to the market price were we to have a single class of common stock structure, or will result in adverse publicity or other adverse consequences.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currently no public market for our Class 2 common stock and none may develop following this offering.</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There is currently no public market for our Class 2 common stock. The offering price has been determined by negotiation among us, Privateer Holdings and the underwriters. We cannot predict the price at which our Class 2 common stock will trade upon the closing of this offering, and there can be no assurance that an active and liquid trading market will develop after closing or, if developed, that such a market will be sustained at the offering price. In addition, if an active public market does not develop or is not maintained, holders of shares of our Class 2 common stock may have difficulty selling their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Class 2 common stock in public markets may experience significant fluctuations.</w:t>
      </w:r>
    </w:p>
    <w:p>
      <w:pPr>
        <w:spacing w:after="0" w:line="85" w:lineRule="exact"/>
        <w:rPr>
          <w:sz w:val="20"/>
          <w:szCs w:val="20"/>
          <w:color w:val="auto"/>
        </w:rPr>
      </w:pPr>
    </w:p>
    <w:p>
      <w:pPr>
        <w:ind w:left="200" w:right="280" w:firstLine="331"/>
        <w:spacing w:after="0" w:line="234" w:lineRule="auto"/>
        <w:rPr>
          <w:sz w:val="20"/>
          <w:szCs w:val="20"/>
          <w:color w:val="auto"/>
        </w:rPr>
      </w:pPr>
      <w:r>
        <w:rPr>
          <w:rFonts w:ascii="Arial" w:cs="Arial" w:eastAsia="Arial" w:hAnsi="Arial"/>
          <w:sz w:val="18"/>
          <w:szCs w:val="18"/>
          <w:color w:val="auto"/>
        </w:rPr>
        <w:t>The market price for our Class 2 common stock may be volatile and subject to wide fluctuations in response to numerous factors, many of which are beyond our control, including the following: (i) actual or anticipated fluctuations in our quarterly results of operations;</w:t>
      </w:r>
    </w:p>
    <w:p>
      <w:pPr>
        <w:spacing w:after="0" w:line="2" w:lineRule="exact"/>
        <w:rPr>
          <w:sz w:val="20"/>
          <w:szCs w:val="20"/>
          <w:color w:val="auto"/>
        </w:rPr>
      </w:pPr>
    </w:p>
    <w:p>
      <w:pPr>
        <w:ind w:left="200" w:right="60" w:firstLine="4"/>
        <w:spacing w:after="0" w:line="238" w:lineRule="auto"/>
        <w:tabs>
          <w:tab w:leader="none" w:pos="4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recommendations by securities research analysts; (iii) changes in the economic performance or market valuations of other issuers that investors deem comparable to us; (iv) the addition or departure of our executive officers and other key personnel; (v) the release or expiration of lock-up or other transfer restrictions on our Class 2 common stock; (vi) sales or perceived sales, or expectation of future sales, of our Class 2 common stock; (vii) significant acquisitions or business combinations, strategic partnerships, joint ventures or capital commitments by or involving us or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our competitors; and (viii) news reports relating to trends, concerns, technological or competitive developments, regulatory changes and other related issues in our industry or target markets.</w:t>
      </w:r>
    </w:p>
    <w:p>
      <w:pPr>
        <w:spacing w:after="0" w:line="197"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Financial markets have recently experienced significant price and volume fluctuations which have affected the market prices of equity securities of public entities. In many cases, these fluctuations, and the effect that they have on market prices, have been unrelated to the operating performance, underlying asset values or prospects of such entities. Accordingly, the market price of our Class 2 common stock may decline even if our operating results or prospects have not changed. Additionally, these factors, as well as other related factors, may cause decreases in asset values that are deemed not to be temporary, which may result in impairment losses to us. Furthermore, certain investors may base their investment decisions on considerations of our environmental, governance and social practices or our industry as a whole, and our performance in these areas against such institutions’ respective investment guidelines and criteria. The failure to satisfy such criteria may result in limited or no investment in our Class 2 common stock by those institutions, which could materially adversely affect the trading price of our Class 2 common stock.</w:t>
      </w:r>
    </w:p>
    <w:p>
      <w:pPr>
        <w:spacing w:after="0" w:line="20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There can be no assurance that continuing fluctuations in the price and volume of equity securities will not occur. If such increased levels of volatility and market turmoil continue for a protracted period of time, there could be a material adverse effect on the trading price of our Class 2 common stock.</w:t>
      </w:r>
    </w:p>
    <w:p>
      <w:pPr>
        <w:spacing w:after="0" w:line="289"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41"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Class 2 common stock and could impair our ability to raise capital through the sale of additional equity securities. We are unable to predict the effect that such sales may have on the prevailing market price of our Class 2 common stock.</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Immediately after this offering, we will have outstanding 75,000,000 shares of Class 1 common stock and shares of Class 2 common stock based on the number of shares outstanding as of February 28, 2018. This includes the shares that we are selling in this offering, which may be resold in the public market immediately without restriction, unless purchased by our affiliates. All of the remaining shares of our common stock will be restricted as a result of securities laws or lock-up agreements but will be able to be sold after the offering as described in the section titled “</w:t>
      </w:r>
      <w:r>
        <w:rPr>
          <w:rFonts w:ascii="Arial" w:cs="Arial" w:eastAsia="Arial" w:hAnsi="Arial"/>
          <w:sz w:val="18"/>
          <w:szCs w:val="18"/>
          <w:i w:val="1"/>
          <w:iCs w:val="1"/>
          <w:color w:val="auto"/>
        </w:rPr>
        <w:t>Shares Eligible for Future Sale</w:t>
      </w:r>
      <w:r>
        <w:rPr>
          <w:rFonts w:ascii="Arial" w:cs="Arial" w:eastAsia="Arial" w:hAnsi="Arial"/>
          <w:sz w:val="18"/>
          <w:szCs w:val="18"/>
          <w:color w:val="auto"/>
        </w:rPr>
        <w:t>.” Moreover, immediately after this offering, holders of an aggregate of up to 7,794,042 shares of our Class 2 common stock will have rights, subject to some conditions, to require us to file registration statements covering their shares or to include their shares in registration statements that we may file for ourselves or other stockholders. We also intend to register all shares of Class 2 common stock that we may issue under our equity compensation plan. Once we register these shares, they can be freely sold in the public market upon issuance, subject to volume limitations applicable to affiliates under Rule 144 and lock-up agreements which provide for a 180-day contractual lock-up period after the date of the pricing of this offering. See the section titled “</w:t>
      </w:r>
      <w:r>
        <w:rPr>
          <w:rFonts w:ascii="Arial" w:cs="Arial" w:eastAsia="Arial" w:hAnsi="Arial"/>
          <w:sz w:val="18"/>
          <w:szCs w:val="18"/>
          <w:i w:val="1"/>
          <w:iCs w:val="1"/>
          <w:color w:val="auto"/>
        </w:rPr>
        <w:t>Underwriting</w:t>
      </w:r>
      <w:r>
        <w:rPr>
          <w:rFonts w:ascii="Arial" w:cs="Arial" w:eastAsia="Arial" w:hAnsi="Arial"/>
          <w:sz w:val="18"/>
          <w:szCs w:val="18"/>
          <w:color w:val="auto"/>
        </w:rPr>
        <w:t>—</w:t>
      </w:r>
      <w:r>
        <w:rPr>
          <w:rFonts w:ascii="Arial" w:cs="Arial" w:eastAsia="Arial" w:hAnsi="Arial"/>
          <w:sz w:val="18"/>
          <w:szCs w:val="18"/>
          <w:i w:val="1"/>
          <w:iCs w:val="1"/>
          <w:color w:val="auto"/>
        </w:rPr>
        <w:t>Lock-up Agreements.”</w:t>
      </w:r>
    </w:p>
    <w:p>
      <w:pPr>
        <w:spacing w:after="0" w:line="206"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Under Rule 144, persons who have beneficially owned shares of our restricted common stock for at least six months but who are our affiliates at the time of, or any time during the 90 days preceding, a sale, would be subject to certain volume restrictions, by which such person would be entitled to sell within any three-month period only a number of securities that does not exceed the greater of either of the following:</w:t>
      </w:r>
    </w:p>
    <w:p>
      <w:pPr>
        <w:spacing w:after="0" w:line="229" w:lineRule="exact"/>
        <w:rPr>
          <w:sz w:val="20"/>
          <w:szCs w:val="20"/>
          <w:color w:val="auto"/>
        </w:rPr>
      </w:pPr>
    </w:p>
    <w:p>
      <w:pPr>
        <w:ind w:left="5620" w:right="3780" w:hanging="5416"/>
        <w:spacing w:after="0" w:line="418" w:lineRule="auto"/>
        <w:tabs>
          <w:tab w:leader="none" w:pos="534" w:val="left"/>
        </w:tabs>
        <w:numPr>
          <w:ilvl w:val="0"/>
          <w:numId w:val="21"/>
        </w:numPr>
        <w:rPr>
          <w:rFonts w:ascii="Arial" w:cs="Arial" w:eastAsia="Arial" w:hAnsi="Arial"/>
          <w:sz w:val="15"/>
          <w:szCs w:val="15"/>
          <w:color w:val="auto"/>
        </w:rPr>
      </w:pPr>
      <w:r>
        <w:rPr>
          <w:rFonts w:ascii="Arial" w:cs="Arial" w:eastAsia="Arial" w:hAnsi="Arial"/>
          <w:sz w:val="18"/>
          <w:szCs w:val="18"/>
          <w:color w:val="auto"/>
        </w:rPr>
        <w:t>1% of the number of shares of Class 2 common stock outstanding after this offering; or 41</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320" w:hanging="316"/>
        <w:spacing w:after="0" w:line="246" w:lineRule="auto"/>
        <w:tabs>
          <w:tab w:leader="none" w:pos="5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average weekly trading volume of our shares of Class 2 common stock during the four calendar weeks preceding the filing of a notice on Form 144 with respect to the sale;</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provided, in each case, that we are subject to the periodic reporting requirements of the Exchange Act for at least 90 days before the sale.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Shares Eligible for Future Sale—Rule 144</w:t>
      </w:r>
      <w:r>
        <w:rPr>
          <w:rFonts w:ascii="Arial" w:cs="Arial" w:eastAsia="Arial" w:hAnsi="Arial"/>
          <w:sz w:val="18"/>
          <w:szCs w:val="18"/>
          <w:color w:val="auto"/>
        </w:rPr>
        <w:t>.”</w:t>
      </w:r>
    </w:p>
    <w:p>
      <w:pPr>
        <w:spacing w:after="0" w:line="208"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4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trading market for our Class 2 common stock will depend, in part, on the research and reports that securities or industry analysts publish about us or our business. We do not have any control over these analysts. Securities and industry analysts do not currently, and may never, publish research on our company. If no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6"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Management has indicated its plan for the use of proceeds of this offering but will ultimately exercise its discretion in how such funds are put to use.</w:t>
      </w:r>
    </w:p>
    <w:p>
      <w:pPr>
        <w:spacing w:after="0" w:line="2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We currently intend to allocate the net proceeds received from the sale of our Class 2 common stock hereunder as described in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however, we will have discretion in the actual application of the net proceeds and may elect to allocate the net proceeds differently than the allocation described in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if we believe it would be in our best interest to do so. Stockholders may not agree with the manner in which management or our board of directors chooses to allocate and spend the net proceeds of this offering. The failure by management or our board of directors to apply these funds effectively could have a material adverse effect on our business. Additionally, we may not be successful in implementing our business strategies and our actual capital expenditures and capital expenditure requirements may be materially different from forecasted expenditures described in this prospectus.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Holders of our Class 2 common stock may be subject to dilution resulting from future offerings of common stock by us.</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may raise additional funds in the future by issuing equity securities. Holders of our Class 2 common stock will have no preemptive rights in connection with such further issuances. Our board of directors has the discretion to determine if an issuance of our capital stock is warranted, the price at which such issuance is effected and the other terms of any future issuance of capital stock. In addition, additional common stock may be issued by us in connection with the exercise of options granted by us. Such additional equity issuances could, depending on the price at which such securities are issued, substantially dilute the interests of the holders of our Class 2 common stock.</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 is not anticipated that any dividends will be paid to holders of our Class 2 common stock for the foreseeable future.</w:t>
      </w:r>
    </w:p>
    <w:p>
      <w:pPr>
        <w:spacing w:after="0" w:line="99"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No dividends on our Class 2 common stock have been paid to date. We anticipate that, for the foreseeable future, we will retain future earnings and other cash resources for the operation and development of our business. Payment of any future dividends will be at the discretion of our board of</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directors after taking into account many factors, including our earnings, operating results, financial condition and current and anticipated cash needs.</w:t>
      </w:r>
    </w:p>
    <w:p>
      <w:pPr>
        <w:spacing w:after="0" w:line="175"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Provisions in our corporate charter documents could make an acquisition of us more difficult and may prevent attempts by our stockholders to replace or remove our current management.</w:t>
      </w:r>
    </w:p>
    <w:p>
      <w:pPr>
        <w:spacing w:after="0" w:line="6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Provisions in our corporate charter and our bylaws that will become effective upon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2 common stock, thereby depressing the market price of our Class 2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33" w:lineRule="exact"/>
        <w:rPr>
          <w:sz w:val="20"/>
          <w:szCs w:val="20"/>
          <w:color w:val="auto"/>
        </w:rPr>
      </w:pPr>
    </w:p>
    <w:p>
      <w:pPr>
        <w:ind w:left="520" w:right="580" w:hanging="316"/>
        <w:spacing w:after="0" w:line="246"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21" w:lineRule="exact"/>
        <w:rPr>
          <w:rFonts w:ascii="Arial" w:cs="Arial" w:eastAsia="Arial" w:hAnsi="Arial"/>
          <w:sz w:val="15"/>
          <w:szCs w:val="15"/>
          <w:color w:val="auto"/>
        </w:rPr>
      </w:pPr>
    </w:p>
    <w:p>
      <w:pPr>
        <w:ind w:left="520" w:right="360" w:hanging="316"/>
        <w:spacing w:after="0" w:line="246"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61" w:lineRule="exact"/>
        <w:rPr>
          <w:rFonts w:ascii="Arial" w:cs="Arial" w:eastAsia="Arial" w:hAnsi="Arial"/>
          <w:sz w:val="15"/>
          <w:szCs w:val="15"/>
          <w:color w:val="auto"/>
        </w:rPr>
      </w:pPr>
    </w:p>
    <w:p>
      <w:pPr>
        <w:ind w:left="520" w:right="200" w:hanging="316"/>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the chief executive officer;</w:t>
      </w:r>
    </w:p>
    <w:p>
      <w:pPr>
        <w:spacing w:after="0" w:line="67" w:lineRule="exact"/>
        <w:rPr>
          <w:rFonts w:ascii="Arial" w:cs="Arial" w:eastAsia="Arial" w:hAnsi="Arial"/>
          <w:sz w:val="15"/>
          <w:szCs w:val="15"/>
          <w:color w:val="auto"/>
        </w:rPr>
      </w:pPr>
    </w:p>
    <w:p>
      <w:pPr>
        <w:ind w:left="520" w:right="60" w:hanging="316"/>
        <w:spacing w:after="0" w:line="246"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61" w:lineRule="exact"/>
        <w:rPr>
          <w:rFonts w:ascii="Arial" w:cs="Arial" w:eastAsia="Arial" w:hAnsi="Arial"/>
          <w:sz w:val="15"/>
          <w:szCs w:val="15"/>
          <w:color w:val="auto"/>
        </w:rPr>
      </w:pPr>
    </w:p>
    <w:p>
      <w:pPr>
        <w:ind w:left="520" w:right="60" w:hanging="316"/>
        <w:spacing w:after="0" w:line="239" w:lineRule="auto"/>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66" w:lineRule="exact"/>
        <w:rPr>
          <w:rFonts w:ascii="Arial" w:cs="Arial" w:eastAsia="Arial" w:hAnsi="Arial"/>
          <w:sz w:val="15"/>
          <w:szCs w:val="15"/>
          <w:color w:val="auto"/>
        </w:rPr>
      </w:pPr>
    </w:p>
    <w:p>
      <w:pPr>
        <w:ind w:left="520" w:right="700" w:hanging="316"/>
        <w:spacing w:after="0"/>
        <w:tabs>
          <w:tab w:leader="none" w:pos="520" w:val="left"/>
        </w:tabs>
        <w:numPr>
          <w:ilvl w:val="0"/>
          <w:numId w:val="23"/>
        </w:numPr>
        <w:rPr>
          <w:rFonts w:ascii="Arial" w:cs="Arial" w:eastAsia="Arial" w:hAnsi="Arial"/>
          <w:sz w:val="15"/>
          <w:szCs w:val="15"/>
          <w:color w:val="auto"/>
        </w:rPr>
      </w:pPr>
      <w:r>
        <w:rPr>
          <w:rFonts w:ascii="Arial" w:cs="Arial" w:eastAsia="Arial" w:hAnsi="Arial"/>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81"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Provisions under Delaware law could make an acquisition of our company more difficult, limit attempts by our stockholders to replace or remove our current management and limit the market price of our Class 2 common stock.</w:t>
      </w:r>
    </w:p>
    <w:p>
      <w:pPr>
        <w:spacing w:after="0" w:line="41"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In addition to provisions in our corporate charter and our bylaws that will become effective upon the closing of this offering, because we are incorporated in Delaware, we are subject to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became a 15% stockholder. See the section of this prospectus titled “</w:t>
      </w:r>
      <w:r>
        <w:rPr>
          <w:rFonts w:ascii="Arial" w:cs="Arial" w:eastAsia="Arial" w:hAnsi="Arial"/>
          <w:sz w:val="18"/>
          <w:szCs w:val="18"/>
          <w:i w:val="1"/>
          <w:iCs w:val="1"/>
          <w:color w:val="auto"/>
        </w:rPr>
        <w:t>Description of Capital Stock—Anti-Takeover Provisions</w:t>
      </w:r>
      <w:r>
        <w:rPr>
          <w:rFonts w:ascii="Arial" w:cs="Arial" w:eastAsia="Arial" w:hAnsi="Arial"/>
          <w:sz w:val="18"/>
          <w:szCs w:val="18"/>
          <w:color w:val="auto"/>
        </w:rPr>
        <w:t>” for additional information.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6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1"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w:t>
      </w:r>
    </w:p>
    <w:p>
      <w:pPr>
        <w:spacing w:after="0" w:line="62" w:lineRule="exact"/>
        <w:rPr>
          <w:sz w:val="20"/>
          <w:szCs w:val="20"/>
          <w:color w:val="auto"/>
        </w:rPr>
      </w:pPr>
    </w:p>
    <w:p>
      <w:pPr>
        <w:ind w:left="520" w:hanging="316"/>
        <w:spacing w:after="0"/>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any derivative action or proceeding brought on our behalf;</w:t>
      </w:r>
    </w:p>
    <w:p>
      <w:pPr>
        <w:spacing w:after="0" w:line="76" w:lineRule="exact"/>
        <w:rPr>
          <w:rFonts w:ascii="Arial" w:cs="Arial" w:eastAsia="Arial" w:hAnsi="Arial"/>
          <w:sz w:val="15"/>
          <w:szCs w:val="15"/>
          <w:color w:val="auto"/>
        </w:rPr>
      </w:pPr>
    </w:p>
    <w:p>
      <w:pPr>
        <w:ind w:left="520" w:hanging="316"/>
        <w:spacing w:after="0"/>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any action asserting a breach of fiduciary duty;</w:t>
      </w:r>
    </w:p>
    <w:p>
      <w:pPr>
        <w:spacing w:after="0" w:line="76" w:lineRule="exact"/>
        <w:rPr>
          <w:rFonts w:ascii="Arial" w:cs="Arial" w:eastAsia="Arial" w:hAnsi="Arial"/>
          <w:sz w:val="15"/>
          <w:szCs w:val="15"/>
          <w:color w:val="auto"/>
        </w:rPr>
      </w:pPr>
    </w:p>
    <w:p>
      <w:pPr>
        <w:ind w:left="520" w:right="40" w:hanging="316"/>
        <w:spacing w:after="0" w:line="246" w:lineRule="auto"/>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61" w:lineRule="exact"/>
        <w:rPr>
          <w:rFonts w:ascii="Arial" w:cs="Arial" w:eastAsia="Arial" w:hAnsi="Arial"/>
          <w:sz w:val="15"/>
          <w:szCs w:val="15"/>
          <w:color w:val="auto"/>
        </w:rPr>
      </w:pPr>
    </w:p>
    <w:p>
      <w:pPr>
        <w:ind w:left="520" w:hanging="316"/>
        <w:spacing w:after="0"/>
        <w:tabs>
          <w:tab w:leader="none" w:pos="520" w:val="left"/>
        </w:tabs>
        <w:numPr>
          <w:ilvl w:val="0"/>
          <w:numId w:val="24"/>
        </w:numPr>
        <w:rPr>
          <w:rFonts w:ascii="Arial" w:cs="Arial" w:eastAsia="Arial" w:hAnsi="Arial"/>
          <w:sz w:val="15"/>
          <w:szCs w:val="15"/>
          <w:color w:val="auto"/>
        </w:rPr>
      </w:pPr>
      <w:r>
        <w:rPr>
          <w:rFonts w:ascii="Arial" w:cs="Arial" w:eastAsia="Arial" w:hAnsi="Arial"/>
          <w:sz w:val="18"/>
          <w:szCs w:val="18"/>
          <w:color w:val="auto"/>
        </w:rPr>
        <w:t>any action asserting a claim against us that is governed by the internal-affairs doctrine.</w:t>
      </w:r>
    </w:p>
    <w:p>
      <w:pPr>
        <w:spacing w:after="0" w:line="212"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 of 1933, as amended, or the Securities Act.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240" w:top="459"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34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This prospectus contains forward-looking statements that involve risks and uncertainties. All statements other than statements of historical facts contained in this prospectus are forward-looking statements. In some cases, you can identify forward-looking statements by words such as “anticipate,” “believe,” “contemplate,” “continue,” “could,” “estimate,” “expect,” “intend,” “may,” “plan,” “potential,” “predict,” “project,” “seek,” “should,” “will,” “would” or the negative of these words or other comparable terminology. These forward-looking statements include, but are not limited to, statements about:</w:t>
      </w:r>
    </w:p>
    <w:p>
      <w:pPr>
        <w:spacing w:after="0" w:line="230" w:lineRule="exact"/>
        <w:rPr>
          <w:sz w:val="20"/>
          <w:szCs w:val="20"/>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our use of the net proceeds from this offering;</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development or continued existence of markets for our products;</w:t>
      </w:r>
    </w:p>
    <w:p>
      <w:pPr>
        <w:spacing w:after="0" w:line="36" w:lineRule="exact"/>
        <w:rPr>
          <w:rFonts w:ascii="Arial" w:cs="Arial" w:eastAsia="Arial" w:hAnsi="Arial"/>
          <w:sz w:val="15"/>
          <w:szCs w:val="15"/>
          <w:color w:val="auto"/>
        </w:rPr>
      </w:pPr>
    </w:p>
    <w:p>
      <w:pPr>
        <w:ind w:left="520" w:right="540" w:hanging="316"/>
        <w:spacing w:after="0" w:line="246" w:lineRule="auto"/>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legalization of the adult-use market in Canada in 2018, and, if legalized, the regulatory framework of the adult-use market in Canada and our ability to comply with such regulations;</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our ability to expand the addressable medical market;</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industry trends in the markets in which we compete, including the demand for non-combustible products;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timing or likelihood of regulatory filings and approvals;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commercialization and pricing of our products;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implementation and growth of our business model and strategic plans for our business and products;</w:t>
      </w:r>
    </w:p>
    <w:p>
      <w:pPr>
        <w:spacing w:after="0" w:line="36" w:lineRule="exact"/>
        <w:rPr>
          <w:rFonts w:ascii="Arial" w:cs="Arial" w:eastAsia="Arial" w:hAnsi="Arial"/>
          <w:sz w:val="15"/>
          <w:szCs w:val="15"/>
          <w:color w:val="auto"/>
        </w:rPr>
      </w:pPr>
    </w:p>
    <w:p>
      <w:pPr>
        <w:ind w:left="520" w:right="140" w:hanging="316"/>
        <w:spacing w:after="0" w:line="246" w:lineRule="auto"/>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completion and expansion of our facilities in Cantanhede, Portugal, London, Ontario and Enniskillen, Ontario, our ability to obtain or maintain required licenses and permits for these facilities and the effect of these facilities on the production of our products;</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scope of protection we are able to establish and maintain for intellectual property rights covering our products;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outcomes of clinical trials and the ability of such trials to increase acceptance of cannabis in the medical community;</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our ability to enter into strategic arrangements with distributors and retailers and the potential benefits of such arrangements;</w:t>
      </w:r>
    </w:p>
    <w:p>
      <w:pPr>
        <w:spacing w:after="0" w:line="36" w:lineRule="exact"/>
        <w:rPr>
          <w:rFonts w:ascii="Arial" w:cs="Arial" w:eastAsia="Arial" w:hAnsi="Arial"/>
          <w:sz w:val="15"/>
          <w:szCs w:val="15"/>
          <w:color w:val="auto"/>
        </w:rPr>
      </w:pPr>
    </w:p>
    <w:p>
      <w:pPr>
        <w:ind w:left="520" w:right="140" w:hanging="316"/>
        <w:spacing w:after="0" w:line="246" w:lineRule="auto"/>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the availability of wholesale distribution and other opportunities to expand our distribution channels and the potential benefits of such opportunities;</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our estimates regarding expenses, capital requirements and needs for additional financing;</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our financial performance; and</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in the forward-looking statements will be achieved or occur. We undertake no obligation to update publicly any forward-looking statements for any reason after the date of this prospectus to conform these statements to new information, actual results or to changes in our expectations, except as required by law.</w:t>
      </w:r>
    </w:p>
    <w:p>
      <w:pPr>
        <w:spacing w:after="0" w:line="203"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This prospectus also contains industry, market and competitive position data from our own internal estimates and research as well as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Our internal data and estimates are based upon information obtained from trade and business organizations and other contacts in the markets in which we operate and our management’s understanding of industry conditions.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these definitions have been verified by any independent source. The industry in which we operate is subject to a high degree of uncertainty and risks due to various factors, including those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7"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prospectus, and although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534"/>
        </w:trPr>
        <w:tc>
          <w:tcPr>
            <w:tcW w:w="4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140" w:type="dxa"/>
            <w:vAlign w:val="bottom"/>
          </w:tcPr>
          <w:p>
            <w:pPr>
              <w:ind w:left="140"/>
              <w:spacing w:after="0"/>
              <w:rPr>
                <w:sz w:val="20"/>
                <w:szCs w:val="20"/>
                <w:color w:val="auto"/>
              </w:rPr>
            </w:pPr>
            <w:r>
              <w:rPr>
                <w:rFonts w:ascii="Arial" w:cs="Arial" w:eastAsia="Arial" w:hAnsi="Arial"/>
                <w:sz w:val="18"/>
                <w:szCs w:val="18"/>
                <w:b w:val="1"/>
                <w:bCs w:val="1"/>
                <w:color w:val="auto"/>
              </w:rPr>
              <w:t>USE OF PROCEEDS</w:t>
            </w:r>
          </w:p>
        </w:tc>
        <w:tc>
          <w:tcPr>
            <w:tcW w:w="4260" w:type="dxa"/>
            <w:vAlign w:val="bottom"/>
          </w:tcPr>
          <w:p>
            <w:pPr>
              <w:spacing w:after="0"/>
              <w:rPr>
                <w:sz w:val="24"/>
                <w:szCs w:val="24"/>
                <w:color w:val="auto"/>
              </w:rPr>
            </w:pPr>
          </w:p>
        </w:tc>
      </w:tr>
      <w:tr>
        <w:trPr>
          <w:trHeight w:val="512"/>
        </w:trPr>
        <w:tc>
          <w:tcPr>
            <w:tcW w:w="420" w:type="dxa"/>
            <w:vAlign w:val="bottom"/>
          </w:tcPr>
          <w:p>
            <w:pPr>
              <w:spacing w:after="0"/>
              <w:rPr>
                <w:sz w:val="24"/>
                <w:szCs w:val="24"/>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We estimate that the net proceeds from the sale of</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shares of Class 2 common stock in this offering will be approximately</w:t>
            </w:r>
          </w:p>
        </w:tc>
      </w:tr>
      <w:tr>
        <w:trPr>
          <w:trHeight w:val="203"/>
        </w:trPr>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420" w:type="dxa"/>
            <w:vAlign w:val="bottom"/>
            <w:gridSpan w:val="3"/>
          </w:tcPr>
          <w:p>
            <w:pPr>
              <w:ind w:left="880"/>
              <w:spacing w:after="0" w:line="202" w:lineRule="exact"/>
              <w:rPr>
                <w:sz w:val="20"/>
                <w:szCs w:val="20"/>
                <w:color w:val="auto"/>
              </w:rPr>
            </w:pPr>
            <w:r>
              <w:rPr>
                <w:rFonts w:ascii="Arial" w:cs="Arial" w:eastAsia="Arial" w:hAnsi="Arial"/>
                <w:sz w:val="18"/>
                <w:szCs w:val="18"/>
                <w:color w:val="auto"/>
              </w:rPr>
              <w:t>million, based on an assumed initial public offering price of $</w:t>
            </w:r>
          </w:p>
        </w:tc>
        <w:tc>
          <w:tcPr>
            <w:tcW w:w="4260" w:type="dxa"/>
            <w:vAlign w:val="bottom"/>
          </w:tcPr>
          <w:p>
            <w:pPr>
              <w:jc w:val="right"/>
              <w:spacing w:after="0" w:line="202" w:lineRule="exact"/>
              <w:rPr>
                <w:sz w:val="20"/>
                <w:szCs w:val="20"/>
                <w:color w:val="auto"/>
              </w:rPr>
            </w:pPr>
            <w:r>
              <w:rPr>
                <w:rFonts w:ascii="Arial" w:cs="Arial" w:eastAsia="Arial" w:hAnsi="Arial"/>
                <w:sz w:val="18"/>
                <w:szCs w:val="18"/>
                <w:color w:val="auto"/>
              </w:rPr>
              <w:t>per share, the midpoint of the price range set forth</w:t>
            </w:r>
          </w:p>
        </w:tc>
      </w:tr>
    </w:tbl>
    <w:p>
      <w:pPr>
        <w:ind w:left="200" w:right="6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the cover page of this prospectus, after deducting the estimated underwriting discount and estimated offering expenses payable by us. If the underwriters exercise their over-allotment option to purchase additional shares of Class 2 common stock from us, we estimate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right="580"/>
        <w:spacing w:after="0" w:line="246" w:lineRule="auto"/>
        <w:rPr>
          <w:sz w:val="20"/>
          <w:szCs w:val="20"/>
          <w:color w:val="auto"/>
        </w:rPr>
      </w:pPr>
      <w:r>
        <w:rPr>
          <w:rFonts w:ascii="Arial" w:cs="Arial" w:eastAsia="Arial" w:hAnsi="Arial"/>
          <w:sz w:val="18"/>
          <w:szCs w:val="18"/>
          <w:color w:val="auto"/>
        </w:rPr>
        <w:t>our net proceeds will be approximately $ million, after deducting underwriting discount and estimated offering expenses payable by us.</w:t>
      </w:r>
    </w:p>
    <w:p>
      <w:pPr>
        <w:spacing w:after="0" w:line="197"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Each $1.00 increase (decrease) in the assumed initial public offering price of $ per share would increase (decrease) our net proceeds by $ million, assuming the number of shares offered by us, as set forth on the cover page of this prospectus,</w:t>
      </w:r>
    </w:p>
    <w:p>
      <w:pPr>
        <w:spacing w:after="0" w:line="2" w:lineRule="exact"/>
        <w:rPr>
          <w:sz w:val="20"/>
          <w:szCs w:val="20"/>
          <w:color w:val="auto"/>
        </w:rPr>
      </w:pPr>
    </w:p>
    <w:p>
      <w:pPr>
        <w:ind w:left="200" w:right="240"/>
        <w:spacing w:after="0" w:line="234" w:lineRule="auto"/>
        <w:rPr>
          <w:sz w:val="20"/>
          <w:szCs w:val="20"/>
          <w:color w:val="auto"/>
        </w:rPr>
      </w:pPr>
      <w:r>
        <w:rPr>
          <w:rFonts w:ascii="Arial" w:cs="Arial" w:eastAsia="Arial" w:hAnsi="Arial"/>
          <w:sz w:val="18"/>
          <w:szCs w:val="18"/>
          <w:color w:val="auto"/>
        </w:rPr>
        <w:t>remains the same, after deducting the estimated underwriting discount and estimated offering expenses payable by us. Each increase (decrease) by 1,000,000 shares in the number of shares offered by us would increase (decrease) the net proceeds from this offering by</w:t>
      </w:r>
    </w:p>
    <w:p>
      <w:pPr>
        <w:spacing w:after="0" w:line="2" w:lineRule="exact"/>
        <w:rPr>
          <w:sz w:val="20"/>
          <w:szCs w:val="20"/>
          <w:color w:val="auto"/>
        </w:rPr>
      </w:pPr>
    </w:p>
    <w:p>
      <w:pPr>
        <w:ind w:left="200" w:firstLine="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million, assuming the assumed initial public offering price remains the same, after deducting the estimated underwriting discount. The information discussed above is illustrative only and will adjust based on the actual initial public offering price and other terms of this offering determined at pricing. Any increase or decrease in the net proceeds would not change our intended use of proceeds.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are undertaking this offering in order to increase our liquidity and raise capital to further develop our cultivation and processing</w:t>
      </w:r>
    </w:p>
    <w:p>
      <w:pPr>
        <w:ind w:left="200" w:right="240"/>
        <w:spacing w:after="0" w:line="234" w:lineRule="auto"/>
        <w:rPr>
          <w:sz w:val="20"/>
          <w:szCs w:val="20"/>
          <w:color w:val="auto"/>
        </w:rPr>
      </w:pPr>
      <w:r>
        <w:rPr>
          <w:rFonts w:ascii="Arial" w:cs="Arial" w:eastAsia="Arial" w:hAnsi="Arial"/>
          <w:sz w:val="18"/>
          <w:szCs w:val="18"/>
          <w:color w:val="auto"/>
        </w:rPr>
        <w:t>capacity. We intend to use the net proceeds of this offering as follows: (i) approximately $ to fund the build out of cultivation and processing capacity at our Enniskillen, Ontario, London, Ontario, and Cantanhede, Portugal facilities; (ii) approximately $</w:t>
      </w:r>
    </w:p>
    <w:p>
      <w:pPr>
        <w:spacing w:after="0" w:line="2" w:lineRule="exact"/>
        <w:rPr>
          <w:sz w:val="20"/>
          <w:szCs w:val="20"/>
          <w:color w:val="auto"/>
        </w:rPr>
      </w:pPr>
    </w:p>
    <w:p>
      <w:pPr>
        <w:ind w:left="200" w:right="60"/>
        <w:spacing w:after="0" w:line="234" w:lineRule="auto"/>
        <w:rPr>
          <w:sz w:val="20"/>
          <w:szCs w:val="20"/>
          <w:color w:val="auto"/>
        </w:rPr>
      </w:pPr>
      <w:r>
        <w:rPr>
          <w:rFonts w:ascii="Arial" w:cs="Arial" w:eastAsia="Arial" w:hAnsi="Arial"/>
          <w:sz w:val="18"/>
          <w:szCs w:val="18"/>
          <w:color w:val="auto"/>
        </w:rPr>
        <w:t>to repay outstanding principal and interest under the Privateer Holdings debt facilities which we have used for working capital and general corporate purposes; and (iii) the remainder, if any, for working capital, future acquisitions and general corporate purposes. As of</w:t>
      </w:r>
    </w:p>
    <w:p>
      <w:pPr>
        <w:spacing w:after="0" w:line="2" w:lineRule="exact"/>
        <w:rPr>
          <w:sz w:val="20"/>
          <w:szCs w:val="20"/>
          <w:color w:val="auto"/>
        </w:rPr>
      </w:pPr>
    </w:p>
    <w:p>
      <w:pPr>
        <w:jc w:val="both"/>
        <w:ind w:left="200" w:right="160" w:firstLine="800"/>
        <w:spacing w:after="0"/>
        <w:rPr>
          <w:sz w:val="20"/>
          <w:szCs w:val="20"/>
          <w:color w:val="auto"/>
        </w:rPr>
      </w:pPr>
      <w:r>
        <w:rPr>
          <w:rFonts w:ascii="Arial" w:cs="Arial" w:eastAsia="Arial" w:hAnsi="Arial"/>
          <w:sz w:val="18"/>
          <w:szCs w:val="18"/>
          <w:color w:val="auto"/>
        </w:rPr>
        <w:t>, 2018 there was $ million outstanding under the Privateer Holdings debt facilities and the interest rate was % (which represented 2.4 times the mid-term Applicable Federal Rate). The Privateer Holdings debt facilities are payable on demand of Privateer Holdings.</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expected use of proceeds from this offering represent our intentions based upon our current plans and business conditions. The amounts and timing of our actual expenditures may vary significantly depending on numerous factors and any unforeseen cash needs. As a result, management will retain broad discretion over the allocation of the net proceeds from this offering.</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have never declared or paid dividends on our Class 2 common stock. We currently intend to retain all available funds and any future earnings to support operations and to finance the growth and development of our business. Any declared dividends will be declared on both our Class 1 common stock and Class 2 common stock at the same rate per share. We do not intend to declare or pay cash dividends on our Class 2 common stock in the foreseeable future. Any future determination to pay dividends will be made at the discretion of our board of directors subject to applicable laws and will depend upon, among other factors, our results of operations, financial condition, contractual restrictions and capital requirements. Because a significant portion of our operations is conducted through our wholly owned subsidiaries, our ability to pay dividends depends in part on our receipt of cash dividends from such subsidiaries, which may further restrict our ability to pay dividends as a result of the laws of their jurisdiction of organization or covenants under any future outstanding indebtedness such subsidiaries incur. Our future ability to pay cash dividends on our Class 2 common stock may be limited by the terms of any future debt or preferred securities.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4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2018:</w:t>
      </w:r>
    </w:p>
    <w:p>
      <w:pPr>
        <w:spacing w:after="0" w:line="239" w:lineRule="exact"/>
        <w:rPr>
          <w:sz w:val="20"/>
          <w:szCs w:val="20"/>
          <w:color w:val="auto"/>
        </w:rPr>
      </w:pPr>
    </w:p>
    <w:p>
      <w:pPr>
        <w:ind w:left="520" w:hanging="316"/>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on an actual basis derived from our consolidated financial statements;</w:t>
      </w:r>
    </w:p>
    <w:p>
      <w:pPr>
        <w:spacing w:after="0" w:line="36" w:lineRule="exact"/>
        <w:rPr>
          <w:rFonts w:ascii="Arial" w:cs="Arial" w:eastAsia="Arial" w:hAnsi="Arial"/>
          <w:sz w:val="15"/>
          <w:szCs w:val="15"/>
          <w:color w:val="auto"/>
        </w:rPr>
      </w:pPr>
    </w:p>
    <w:p>
      <w:pPr>
        <w:ind w:left="520" w:right="260" w:hanging="316"/>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on a pro forma basis, to reflect: (1) the conversion of all outstanding shares of our Series A preferred stock into an aggregate of 7,794,042 shares of our Class 2 common stock immediately prior to the closing of this offering and (2) the filing and effectiveness of our amended and restated certificate of incorporation in connection with the closing of this offering; and</w:t>
      </w:r>
    </w:p>
    <w:p>
      <w:pPr>
        <w:spacing w:after="0" w:line="22" w:lineRule="exact"/>
        <w:rPr>
          <w:rFonts w:ascii="Arial" w:cs="Arial" w:eastAsia="Arial" w:hAnsi="Arial"/>
          <w:sz w:val="15"/>
          <w:szCs w:val="15"/>
          <w:color w:val="auto"/>
        </w:rPr>
      </w:pPr>
    </w:p>
    <w:p>
      <w:pPr>
        <w:ind w:left="520" w:hanging="316"/>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8"/>
          <w:szCs w:val="18"/>
          <w:color w:val="auto"/>
        </w:rPr>
        <w:t>on a pro forma as adjusted basis, to further reflect the sale by us of shares of our Class 2 common stock in this offering at an assumed</w:t>
      </w:r>
    </w:p>
    <w:p>
      <w:pPr>
        <w:ind w:left="520" w:right="140"/>
        <w:spacing w:after="0" w:line="246" w:lineRule="auto"/>
        <w:rPr>
          <w:sz w:val="20"/>
          <w:szCs w:val="20"/>
          <w:color w:val="auto"/>
        </w:rPr>
      </w:pPr>
      <w:r>
        <w:rPr>
          <w:rFonts w:ascii="Arial" w:cs="Arial" w:eastAsia="Arial" w:hAnsi="Arial"/>
          <w:sz w:val="18"/>
          <w:szCs w:val="18"/>
          <w:color w:val="auto"/>
        </w:rPr>
        <w:t>initial public offering price of $ per share, the midpoint of the price range set forth on the cover page of this prospectus, after deducting the estimated underwriting discount and estimated offering expenses payable by us.</w:t>
      </w:r>
    </w:p>
    <w:p>
      <w:pPr>
        <w:spacing w:after="0" w:line="197"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You should read the information in this table together with our consolidated financial statements and related notes included elsewhere in this prospectus and the sections titled “</w:t>
      </w:r>
      <w:r>
        <w:rPr>
          <w:rFonts w:ascii="Arial" w:cs="Arial" w:eastAsia="Arial" w:hAnsi="Arial"/>
          <w:sz w:val="18"/>
          <w:szCs w:val="18"/>
          <w:i w:val="1"/>
          <w:iCs w:val="1"/>
          <w:color w:val="auto"/>
        </w:rPr>
        <w:t>Selected Consolidated Financial Data</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As of March 31, 2018</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28"/>
              <w:spacing w:after="0" w:line="143"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Actual</w:t>
            </w:r>
          </w:p>
        </w:tc>
        <w:tc>
          <w:tcPr>
            <w:tcW w:w="6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As Adjusted(1)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00" w:type="dxa"/>
            <w:vAlign w:val="bottom"/>
            <w:gridSpan w:val="6"/>
          </w:tcPr>
          <w:p>
            <w:pPr>
              <w:jc w:val="center"/>
              <w:ind w:right="148"/>
              <w:spacing w:after="0" w:line="155" w:lineRule="exact"/>
              <w:rPr>
                <w:sz w:val="20"/>
                <w:szCs w:val="20"/>
                <w:color w:val="auto"/>
              </w:rPr>
            </w:pPr>
            <w:r>
              <w:rPr>
                <w:rFonts w:ascii="Arial" w:cs="Arial" w:eastAsia="Arial" w:hAnsi="Arial"/>
                <w:sz w:val="14"/>
                <w:szCs w:val="14"/>
                <w:b w:val="1"/>
                <w:bCs w:val="1"/>
                <w:color w:val="auto"/>
              </w:rPr>
              <w:t>(in thousands, except share and per share information)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12,140</w:t>
            </w:r>
          </w:p>
        </w:tc>
        <w:tc>
          <w:tcPr>
            <w:tcW w:w="1880" w:type="dxa"/>
            <w:vAlign w:val="bottom"/>
            <w:gridSpan w:val="2"/>
            <w:shd w:val="clear" w:color="auto" w:fill="CCEEFF"/>
          </w:tcPr>
          <w:p>
            <w:pPr>
              <w:jc w:val="right"/>
              <w:ind w:right="1048"/>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14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gridSpan w:val="3"/>
          </w:tcPr>
          <w:p>
            <w:pPr>
              <w:spacing w:after="0" w:line="196" w:lineRule="exact"/>
              <w:rPr>
                <w:sz w:val="20"/>
                <w:szCs w:val="20"/>
                <w:color w:val="auto"/>
              </w:rPr>
            </w:pPr>
            <w:r>
              <w:rPr>
                <w:rFonts w:ascii="Arial" w:cs="Arial" w:eastAsia="Arial" w:hAnsi="Arial"/>
                <w:sz w:val="18"/>
                <w:szCs w:val="18"/>
                <w:color w:val="auto"/>
              </w:rPr>
              <w:t>Long-term debt (including current portion of long-term debt)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9,259</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Privateer Holdings debt facilities</w:t>
            </w:r>
          </w:p>
        </w:tc>
        <w:tc>
          <w:tcPr>
            <w:tcW w:w="3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34,573</w:t>
            </w: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A preferred stock, $0.0001 par value; 8,000,000 shares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authorized, 7,794,092 shares issued or outstanding, actual,</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8,000,000 shares authorized, no shares issued and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shd w:val="clear" w:color="auto" w:fill="CCEEFF"/>
          </w:tcPr>
          <w:p>
            <w:pPr>
              <w:ind w:left="520"/>
              <w:spacing w:after="0" w:line="203" w:lineRule="exact"/>
              <w:rPr>
                <w:sz w:val="20"/>
                <w:szCs w:val="20"/>
                <w:color w:val="auto"/>
              </w:rPr>
            </w:pPr>
            <w:r>
              <w:rPr>
                <w:rFonts w:ascii="Arial" w:cs="Arial" w:eastAsia="Arial" w:hAnsi="Arial"/>
                <w:sz w:val="18"/>
                <w:szCs w:val="18"/>
                <w:color w:val="auto"/>
              </w:rPr>
              <w:t>outstanding pro forma and pro forma as adjusted</w:t>
            </w:r>
          </w:p>
        </w:tc>
        <w:tc>
          <w:tcPr>
            <w:tcW w:w="4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Class 1 common stock, $0.0001 par value; 100,000,000 shares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authorized, 75,000,000 shares issued and outstanding,</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actual, 100,000,000 shares authorized, 75,000,000 shares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tcPr>
          <w:p>
            <w:pPr>
              <w:ind w:left="520"/>
              <w:spacing w:after="0" w:line="203" w:lineRule="exact"/>
              <w:rPr>
                <w:sz w:val="20"/>
                <w:szCs w:val="20"/>
                <w:color w:val="auto"/>
              </w:rPr>
            </w:pPr>
            <w:r>
              <w:rPr>
                <w:rFonts w:ascii="Arial" w:cs="Arial" w:eastAsia="Arial" w:hAnsi="Arial"/>
                <w:sz w:val="18"/>
                <w:szCs w:val="18"/>
                <w:color w:val="auto"/>
              </w:rPr>
              <w:t>outstanding, pro forma and pro forma as adjusted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3"/>
              <w:spacing w:after="0" w:line="203" w:lineRule="exact"/>
              <w:rPr>
                <w:sz w:val="20"/>
                <w:szCs w:val="20"/>
                <w:color w:val="auto"/>
              </w:rPr>
            </w:pPr>
            <w:r>
              <w:rPr>
                <w:rFonts w:ascii="Arial" w:cs="Arial" w:eastAsia="Arial" w:hAnsi="Arial"/>
                <w:sz w:val="18"/>
                <w:szCs w:val="18"/>
                <w:color w:val="auto"/>
              </w:rPr>
              <w:t>8</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Class 2 common stock, $0.0001 par value; 100,000,000 shares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authorized, no shares issued or outstanding, actual;</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100,000,000 shares authorized, 7,794,042 shares issued and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outstanding, pro forma;</w:t>
            </w:r>
          </w:p>
        </w:tc>
        <w:tc>
          <w:tcPr>
            <w:tcW w:w="3040" w:type="dxa"/>
            <w:vAlign w:val="bottom"/>
            <w:shd w:val="clear" w:color="auto" w:fill="CCEEFF"/>
          </w:tcPr>
          <w:p>
            <w:pPr>
              <w:jc w:val="right"/>
              <w:ind w:right="1210"/>
              <w:spacing w:after="0" w:line="202" w:lineRule="exact"/>
              <w:rPr>
                <w:sz w:val="20"/>
                <w:szCs w:val="20"/>
                <w:color w:val="auto"/>
              </w:rPr>
            </w:pPr>
            <w:r>
              <w:rPr>
                <w:rFonts w:ascii="Arial" w:cs="Arial" w:eastAsia="Arial" w:hAnsi="Arial"/>
                <w:sz w:val="18"/>
                <w:szCs w:val="18"/>
                <w:color w:val="auto"/>
              </w:rPr>
              <w:t>shares authorized,</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shd w:val="clear" w:color="auto" w:fill="CCEEFF"/>
          </w:tcPr>
          <w:p>
            <w:pPr>
              <w:ind w:left="1180"/>
              <w:spacing w:after="0" w:line="203" w:lineRule="exact"/>
              <w:rPr>
                <w:sz w:val="20"/>
                <w:szCs w:val="20"/>
                <w:color w:val="auto"/>
              </w:rPr>
            </w:pPr>
            <w:r>
              <w:rPr>
                <w:rFonts w:ascii="Arial" w:cs="Arial" w:eastAsia="Arial" w:hAnsi="Arial"/>
                <w:sz w:val="18"/>
                <w:szCs w:val="18"/>
                <w:color w:val="auto"/>
              </w:rPr>
              <w:t>shares issued and outstanding, pro forma as adjusted</w:t>
            </w:r>
          </w:p>
        </w:tc>
        <w:tc>
          <w:tcPr>
            <w:tcW w:w="4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3"/>
              <w:spacing w:after="0" w:line="203"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48"/>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148"/>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84,406</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3,865</w:t>
            </w:r>
          </w:p>
        </w:tc>
        <w:tc>
          <w:tcPr>
            <w:tcW w:w="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(45,635)</w:t>
            </w:r>
          </w:p>
        </w:tc>
        <w:tc>
          <w:tcPr>
            <w:tcW w:w="6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stockholders’ equity</w:t>
            </w:r>
          </w:p>
        </w:tc>
        <w:tc>
          <w:tcPr>
            <w:tcW w:w="3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rPr>
              <w:t>42,645</w:t>
            </w:r>
          </w:p>
        </w:tc>
        <w:tc>
          <w:tcPr>
            <w:tcW w:w="66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ind w:left="700"/>
              <w:spacing w:after="0"/>
              <w:rPr>
                <w:sz w:val="20"/>
                <w:szCs w:val="20"/>
                <w:color w:val="auto"/>
              </w:rPr>
            </w:pPr>
            <w:r>
              <w:rPr>
                <w:rFonts w:ascii="Arial" w:cs="Arial" w:eastAsia="Arial" w:hAnsi="Arial"/>
                <w:sz w:val="18"/>
                <w:szCs w:val="18"/>
                <w:color w:val="auto"/>
              </w:rPr>
              <w:t>Total capitalization</w:t>
            </w: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86,477</w:t>
            </w:r>
          </w:p>
        </w:tc>
        <w:tc>
          <w:tcPr>
            <w:tcW w:w="6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40" w:type="dxa"/>
            <w:vAlign w:val="bottom"/>
            <w:vMerge w:val="restart"/>
          </w:tcPr>
          <w:p>
            <w:pPr>
              <w:jc w:val="right"/>
              <w:ind w:right="170"/>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8180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520" w:hanging="319"/>
        <w:spacing w:after="0" w:line="234" w:lineRule="auto"/>
        <w:tabs>
          <w:tab w:leader="none" w:pos="500" w:val="left"/>
        </w:tabs>
        <w:rPr>
          <w:sz w:val="20"/>
          <w:szCs w:val="20"/>
          <w:color w:val="auto"/>
        </w:rPr>
      </w:pPr>
      <w:r>
        <w:rPr>
          <w:rFonts w:ascii="Arial" w:cs="Arial" w:eastAsia="Arial" w:hAnsi="Arial"/>
          <w:sz w:val="18"/>
          <w:szCs w:val="18"/>
          <w:color w:val="auto"/>
        </w:rPr>
        <w:t>(1)</w:t>
        <w:tab/>
        <w:t>Each $1.00 increase (decrease) in the assumed initial public offering price of $     per share, the midpoint of the price range set forth on the cover page of this prospectus, would increase (decrease) each of cash, additional paid-in capital, total stockholders’ equity and</w:t>
      </w:r>
    </w:p>
    <w:p>
      <w:pPr>
        <w:spacing w:after="0" w:line="2" w:lineRule="exact"/>
        <w:rPr>
          <w:sz w:val="20"/>
          <w:szCs w:val="20"/>
          <w:color w:val="auto"/>
        </w:rPr>
      </w:pPr>
    </w:p>
    <w:p>
      <w:pPr>
        <w:ind w:left="520" w:right="240"/>
        <w:spacing w:after="0" w:line="234" w:lineRule="auto"/>
        <w:rPr>
          <w:sz w:val="20"/>
          <w:szCs w:val="20"/>
          <w:color w:val="auto"/>
        </w:rPr>
      </w:pPr>
      <w:r>
        <w:rPr>
          <w:rFonts w:ascii="Arial" w:cs="Arial" w:eastAsia="Arial" w:hAnsi="Arial"/>
          <w:sz w:val="18"/>
          <w:szCs w:val="18"/>
          <w:color w:val="auto"/>
        </w:rPr>
        <w:t>total capitalization by $ million, assuming that the number of shares offered by us, as set forth on the cover page of this prospectus, remains the same, after deducting the estimated underwriting discount and estimated offering expenses payable by us. We may also increase or decrease the number of shares we are offering. Each increase (decrease) of 1,000,000 shares in the number of shares offered by us would increase (decrease) cash, additional paid-in capital, total stockholders’ equity, and total</w:t>
      </w:r>
    </w:p>
    <w:p>
      <w:pPr>
        <w:spacing w:after="0" w:line="3" w:lineRule="exact"/>
        <w:rPr>
          <w:sz w:val="20"/>
          <w:szCs w:val="20"/>
          <w:color w:val="auto"/>
        </w:rPr>
      </w:pPr>
    </w:p>
    <w:p>
      <w:pPr>
        <w:jc w:val="both"/>
        <w:ind w:left="520" w:right="320"/>
        <w:spacing w:after="0"/>
        <w:rPr>
          <w:sz w:val="20"/>
          <w:szCs w:val="20"/>
          <w:color w:val="auto"/>
        </w:rPr>
      </w:pPr>
      <w:r>
        <w:rPr>
          <w:rFonts w:ascii="Arial" w:cs="Arial" w:eastAsia="Arial" w:hAnsi="Arial"/>
          <w:sz w:val="18"/>
          <w:szCs w:val="18"/>
          <w:color w:val="auto"/>
        </w:rPr>
        <w:t>capitalization by $ million, assuming the assumed initial public offering price remains the same, after deducting the estimated underwriting discount. The pro forma as adjusted information discussed above is illustrative only and will be adjusted based on the actual initial public offering price and other terms of this offering determined at pricing.</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number of shares of Class 2 common stock to be outstanding after this offering is based on 7,794,042 shares of Class 2 common stock outstanding as of March 31, 2018 and excludes:</w:t>
      </w:r>
    </w:p>
    <w:p>
      <w:pPr>
        <w:spacing w:after="0" w:line="220" w:lineRule="exact"/>
        <w:rPr>
          <w:sz w:val="20"/>
          <w:szCs w:val="20"/>
          <w:color w:val="auto"/>
        </w:rPr>
      </w:pPr>
    </w:p>
    <w:p>
      <w:pPr>
        <w:ind w:left="520" w:hanging="316"/>
        <w:spacing w:after="0"/>
        <w:tabs>
          <w:tab w:leader="none" w:pos="520" w:val="left"/>
        </w:tabs>
        <w:numPr>
          <w:ilvl w:val="0"/>
          <w:numId w:val="28"/>
        </w:numPr>
        <w:rPr>
          <w:rFonts w:ascii="Arial" w:cs="Arial" w:eastAsia="Arial" w:hAnsi="Arial"/>
          <w:sz w:val="15"/>
          <w:szCs w:val="15"/>
          <w:color w:val="auto"/>
        </w:rPr>
      </w:pPr>
      <w:r>
        <w:rPr>
          <w:rFonts w:ascii="Arial" w:cs="Arial" w:eastAsia="Arial" w:hAnsi="Arial"/>
          <w:sz w:val="18"/>
          <w:szCs w:val="18"/>
          <w:color w:val="auto"/>
        </w:rPr>
        <w:t>zero shares of Class 2 common stock issuable upon the exercise of outstanding stock options as of March 31, 2018, with a weighted-</w:t>
      </w:r>
    </w:p>
    <w:p>
      <w:pPr>
        <w:ind w:left="520"/>
        <w:spacing w:after="0"/>
        <w:tabs>
          <w:tab w:leader="none" w:pos="346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8"/>
          <w:szCs w:val="18"/>
          <w:color w:val="auto"/>
        </w:rPr>
        <w:t>per share; and</w:t>
      </w:r>
    </w:p>
    <w:p>
      <w:pPr>
        <w:spacing w:after="0" w:line="36" w:lineRule="exact"/>
        <w:rPr>
          <w:sz w:val="20"/>
          <w:szCs w:val="20"/>
          <w:color w:val="auto"/>
        </w:rPr>
      </w:pPr>
    </w:p>
    <w:p>
      <w:pPr>
        <w:ind w:left="520" w:right="20" w:hanging="316"/>
        <w:spacing w:after="0" w:line="246"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6,711,621 shares of Class 2 common stock reserved for future issuance under our Amended and Restated 2018 Equity Incentive Plan as of March 31, 2018.</w:t>
      </w:r>
    </w:p>
    <w:p>
      <w:pPr>
        <w:spacing w:after="0" w:line="196"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Subsequent to March 31, 2018 and through the date of this prospectus:</w:t>
      </w:r>
    </w:p>
    <w:p>
      <w:pPr>
        <w:spacing w:after="0" w:line="238" w:lineRule="exact"/>
        <w:rPr>
          <w:rFonts w:ascii="Arial" w:cs="Arial" w:eastAsia="Arial" w:hAnsi="Arial"/>
          <w:sz w:val="15"/>
          <w:szCs w:val="15"/>
          <w:color w:val="auto"/>
        </w:rPr>
      </w:pPr>
    </w:p>
    <w:p>
      <w:pPr>
        <w:ind w:left="520" w:right="140" w:hanging="316"/>
        <w:spacing w:after="0" w:line="246"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we reserved an additional 2,487,717 shares of Class 2 common stock under our Amended and Restated 2018 Equity Incentive Plan; and</w:t>
      </w:r>
    </w:p>
    <w:p>
      <w:pPr>
        <w:spacing w:after="0" w:line="21" w:lineRule="exact"/>
        <w:rPr>
          <w:rFonts w:ascii="Arial" w:cs="Arial" w:eastAsia="Arial" w:hAnsi="Arial"/>
          <w:sz w:val="15"/>
          <w:szCs w:val="15"/>
          <w:color w:val="auto"/>
        </w:rPr>
      </w:pPr>
    </w:p>
    <w:p>
      <w:pPr>
        <w:ind w:left="520" w:hanging="316"/>
        <w:spacing w:after="0" w:line="246" w:lineRule="auto"/>
        <w:tabs>
          <w:tab w:leader="none" w:pos="520" w:val="left"/>
        </w:tabs>
        <w:numPr>
          <w:ilvl w:val="0"/>
          <w:numId w:val="29"/>
        </w:numPr>
        <w:rPr>
          <w:rFonts w:ascii="Arial" w:cs="Arial" w:eastAsia="Arial" w:hAnsi="Arial"/>
          <w:sz w:val="15"/>
          <w:szCs w:val="15"/>
          <w:color w:val="auto"/>
        </w:rPr>
      </w:pPr>
      <w:r>
        <w:rPr>
          <w:rFonts w:ascii="Arial" w:cs="Arial" w:eastAsia="Arial" w:hAnsi="Arial"/>
          <w:sz w:val="18"/>
          <w:szCs w:val="18"/>
          <w:color w:val="auto"/>
        </w:rPr>
        <w:t>we granted (i) stock options to purchase up to an aggregate of 6,094,019 shares of Class 2 common stock and (ii) 1,085,000 restricted stock units under our Amended and Restated 2018 Equity Incentive Plan.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If you invest in our Class 2 common stock in this offering, your interest will be diluted to the extent of the difference between the initial public offering price per share of Class 2 common stock and the pro forma as adjusted net tangible book value per share of Class 2 common stock after the closing of the offering.</w:t>
      </w:r>
    </w:p>
    <w:p>
      <w:pPr>
        <w:spacing w:after="0" w:line="203"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Our pro forma net tangible book value as of March 31, 2018 was $ million, or $ per share. Pro forma net tangible book value per share is determined by subtracting our total liabilities from the total book value of our tangible assets and dividing the difference by the number of shares of Class 2 common stock deemed to be outstanding at that date, after giving effect to the conversion of all outstanding shares of Series A preferred stock into an aggregate of 7,794,042 shares of Class 2 common stock immediately prior to the closing of this offering.</w:t>
      </w:r>
    </w:p>
    <w:p>
      <w:pPr>
        <w:spacing w:after="0" w:line="198" w:lineRule="exact"/>
        <w:rPr>
          <w:sz w:val="20"/>
          <w:szCs w:val="20"/>
          <w:color w:val="auto"/>
        </w:rPr>
      </w:pPr>
    </w:p>
    <w:p>
      <w:pPr>
        <w:ind w:left="540"/>
        <w:spacing w:after="0"/>
        <w:tabs>
          <w:tab w:leader="none" w:pos="3640" w:val="left"/>
        </w:tabs>
        <w:rPr>
          <w:sz w:val="20"/>
          <w:szCs w:val="20"/>
          <w:color w:val="auto"/>
        </w:rPr>
      </w:pPr>
      <w:r>
        <w:rPr>
          <w:rFonts w:ascii="Arial" w:cs="Arial" w:eastAsia="Arial" w:hAnsi="Arial"/>
          <w:sz w:val="18"/>
          <w:szCs w:val="18"/>
          <w:color w:val="auto"/>
        </w:rPr>
        <w:t>After giving effect to the sale of</w:t>
      </w:r>
      <w:r>
        <w:rPr>
          <w:sz w:val="20"/>
          <w:szCs w:val="20"/>
          <w:color w:val="auto"/>
        </w:rPr>
        <w:tab/>
      </w:r>
      <w:r>
        <w:rPr>
          <w:rFonts w:ascii="Arial" w:cs="Arial" w:eastAsia="Arial" w:hAnsi="Arial"/>
          <w:sz w:val="17"/>
          <w:szCs w:val="17"/>
          <w:color w:val="auto"/>
        </w:rPr>
        <w:t>shares of Class 2 common stock in this offering at an assumed initial public offering price of</w:t>
      </w:r>
    </w:p>
    <w:p>
      <w:pPr>
        <w:ind w:left="200" w:right="200" w:firstLine="4"/>
        <w:spacing w:after="0" w:line="248" w:lineRule="auto"/>
        <w:tabs>
          <w:tab w:leader="none" w:pos="55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after deducting the estimated underwriting discount and estimated offering expenses payable by us, our pro forma as adjusted net tangible book value as of March 31, 2018, would</w:t>
      </w:r>
    </w:p>
    <w:p>
      <w:pPr>
        <w:spacing w:after="0" w:line="1" w:lineRule="exact"/>
        <w:rPr>
          <w:sz w:val="20"/>
          <w:szCs w:val="20"/>
          <w:color w:val="auto"/>
        </w:rPr>
      </w:pPr>
    </w:p>
    <w:p>
      <w:pPr>
        <w:jc w:val="both"/>
        <w:ind w:left="200" w:right="380"/>
        <w:spacing w:after="0"/>
        <w:rPr>
          <w:sz w:val="20"/>
          <w:szCs w:val="20"/>
          <w:color w:val="auto"/>
        </w:rPr>
      </w:pPr>
      <w:r>
        <w:rPr>
          <w:rFonts w:ascii="Arial" w:cs="Arial" w:eastAsia="Arial" w:hAnsi="Arial"/>
          <w:sz w:val="18"/>
          <w:szCs w:val="18"/>
          <w:color w:val="auto"/>
        </w:rPr>
        <w:t>have been $ million, or $ per share. This represents an immediate increase in pro forma as adjusted net tangible book value of $ per share to our existing stockholders and immediate dilution of $ per share to new investors purchasing shares of Class 2 common stock in this offering.</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8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2540" w:type="dxa"/>
            <w:vAlign w:val="bottom"/>
            <w:gridSpan w:val="4"/>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tcPr>
          <w:p>
            <w:pPr>
              <w:ind w:left="340"/>
              <w:spacing w:after="0" w:line="202" w:lineRule="exact"/>
              <w:rPr>
                <w:sz w:val="20"/>
                <w:szCs w:val="20"/>
                <w:color w:val="auto"/>
              </w:rPr>
            </w:pPr>
            <w:r>
              <w:rPr>
                <w:rFonts w:ascii="Arial" w:cs="Arial" w:eastAsia="Arial" w:hAnsi="Arial"/>
                <w:sz w:val="18"/>
                <w:szCs w:val="18"/>
                <w:color w:val="auto"/>
              </w:rPr>
              <w:t>Pro forma net tangible book value per share as of March 31, 2018</w:t>
            </w:r>
          </w:p>
        </w:tc>
        <w:tc>
          <w:tcPr>
            <w:tcW w:w="124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2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50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net tangible book value per share to new investors in this offering</w:t>
            </w:r>
          </w:p>
        </w:tc>
        <w:tc>
          <w:tcPr>
            <w:tcW w:w="2540" w:type="dxa"/>
            <w:vAlign w:val="bottom"/>
            <w:gridSpan w:val="4"/>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Each $ 1.00 increase in the assumed initial public offering price of $ per share would increase our pro forma as adjusted net tangible book value per share after this offering by $ per share and the dilution to new investors by $ per share, assuming the number of shares offered by us, as set forth on the cover page of this prospectus, remains the same and after deducting the estimated underwriting discount and estimated offering expenses payable by us. Similarly, each $1.00 decrease in the assumed initial public offering price of $ per share would decrease our pro forma as adjusted net tangible book value per share after this offering by $ per share and the dilution to new investors by $ per share, assuming the number of shares offered by us, as set forth on the cover page of this prospectus, remains the same and after deducting the estimated underwriting discount and estimated offering expenses payable by us. Each increase of 1,000,000 shares in the number of shares of Class 2 common stock offered by us would increase the pro forma as adjusted net tangible book value by $ per share and decrease the dilution to new investors by $ per share, assuming the assumed initial public offering price remains the same and after deducting the estimated underwriting discount. Similarly, each decrease of 1,000,000 shares in the number of shares of Class 2 common stock offered by us would decrease the pro forma as adjusted net tangible book value by $ per share and increase the dilution to new investors by $ per share, assuming the assumed initial public offering price remains the same and after deducting the estimated underwriting discount.</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as of March 31, 2018, on the pro forma as adjusted basis described above:</w:t>
      </w:r>
    </w:p>
    <w:p>
      <w:pPr>
        <w:spacing w:after="0" w:line="239" w:lineRule="exact"/>
        <w:rPr>
          <w:sz w:val="20"/>
          <w:szCs w:val="20"/>
          <w:color w:val="auto"/>
        </w:rPr>
      </w:pPr>
    </w:p>
    <w:p>
      <w:pPr>
        <w:ind w:left="520" w:right="80" w:hanging="316"/>
        <w:spacing w:after="0" w:line="246" w:lineRule="auto"/>
        <w:tabs>
          <w:tab w:leader="none" w:pos="52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total number of shares of Class 2 common stock purchased from us by our existing stockholders and by new investors purchasing shares in this offering;</w:t>
      </w:r>
    </w:p>
    <w:p>
      <w:pPr>
        <w:spacing w:after="0" w:line="16" w:lineRule="exact"/>
        <w:rPr>
          <w:rFonts w:ascii="Arial" w:cs="Arial" w:eastAsia="Arial" w:hAnsi="Arial"/>
          <w:sz w:val="15"/>
          <w:szCs w:val="15"/>
          <w:color w:val="auto"/>
        </w:rPr>
      </w:pPr>
    </w:p>
    <w:p>
      <w:pPr>
        <w:ind w:left="520" w:hanging="316"/>
        <w:spacing w:after="0"/>
        <w:tabs>
          <w:tab w:leader="none" w:pos="520" w:val="left"/>
        </w:tabs>
        <w:numPr>
          <w:ilvl w:val="0"/>
          <w:numId w:val="31"/>
        </w:numPr>
        <w:rPr>
          <w:rFonts w:ascii="Arial" w:cs="Arial" w:eastAsia="Arial" w:hAnsi="Arial"/>
          <w:sz w:val="15"/>
          <w:szCs w:val="15"/>
          <w:color w:val="auto"/>
        </w:rPr>
      </w:pPr>
      <w:r>
        <w:rPr>
          <w:rFonts w:ascii="Arial" w:cs="Arial" w:eastAsia="Arial" w:hAnsi="Arial"/>
          <w:sz w:val="18"/>
          <w:szCs w:val="18"/>
          <w:color w:val="auto"/>
        </w:rPr>
        <w:t>the total consideration paid to us by our existing stockholders and by new investors purchasing shares in this offering, assuming an</w:t>
      </w:r>
    </w:p>
    <w:p>
      <w:pPr>
        <w:ind w:left="520" w:right="580"/>
        <w:spacing w:after="0" w:line="246" w:lineRule="auto"/>
        <w:rPr>
          <w:sz w:val="20"/>
          <w:szCs w:val="20"/>
          <w:color w:val="auto"/>
        </w:rPr>
      </w:pPr>
      <w:r>
        <w:rPr>
          <w:rFonts w:ascii="Arial" w:cs="Arial" w:eastAsia="Arial" w:hAnsi="Arial"/>
          <w:sz w:val="18"/>
          <w:szCs w:val="18"/>
          <w:color w:val="auto"/>
        </w:rPr>
        <w:t>initial public offering price of $ per share, the midpoint of the range set forth on the cover page of this prospectus, before deducting the estimated underwriting discount and estimated offering expenses payable by us; and</w:t>
      </w:r>
    </w:p>
    <w:p>
      <w:pPr>
        <w:spacing w:after="0" w:line="21" w:lineRule="exact"/>
        <w:rPr>
          <w:sz w:val="20"/>
          <w:szCs w:val="20"/>
          <w:color w:val="auto"/>
        </w:rPr>
      </w:pPr>
    </w:p>
    <w:p>
      <w:pPr>
        <w:ind w:left="520" w:hanging="316"/>
        <w:spacing w:after="0"/>
        <w:tabs>
          <w:tab w:leader="none" w:pos="520" w:val="left"/>
        </w:tabs>
        <w:numPr>
          <w:ilvl w:val="0"/>
          <w:numId w:val="32"/>
        </w:numPr>
        <w:rPr>
          <w:rFonts w:ascii="Arial" w:cs="Arial" w:eastAsia="Arial" w:hAnsi="Arial"/>
          <w:sz w:val="15"/>
          <w:szCs w:val="15"/>
          <w:color w:val="auto"/>
        </w:rPr>
      </w:pPr>
      <w:r>
        <w:rPr>
          <w:rFonts w:ascii="Arial" w:cs="Arial" w:eastAsia="Arial" w:hAnsi="Arial"/>
          <w:sz w:val="18"/>
          <w:szCs w:val="18"/>
          <w:color w:val="auto"/>
        </w:rPr>
        <w:t>the average price per share paid by existing stockholders and by new investors purchasing shares in this offering.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vMerge w:val="restart"/>
          </w:tcPr>
          <w:p>
            <w:pPr>
              <w:jc w:val="right"/>
              <w:ind w:right="136"/>
              <w:spacing w:after="0"/>
              <w:rPr>
                <w:sz w:val="20"/>
                <w:szCs w:val="20"/>
                <w:color w:val="auto"/>
              </w:rPr>
            </w:pPr>
            <w:r>
              <w:rPr>
                <w:rFonts w:ascii="Arial" w:cs="Arial" w:eastAsia="Arial" w:hAnsi="Arial"/>
                <w:sz w:val="14"/>
                <w:szCs w:val="14"/>
                <w:b w:val="1"/>
                <w:bCs w:val="1"/>
                <w:color w:val="auto"/>
              </w:rPr>
              <w:t>Shares Purchased</w:t>
            </w:r>
          </w:p>
        </w:tc>
        <w:tc>
          <w:tcPr>
            <w:tcW w:w="400" w:type="dxa"/>
            <w:vAlign w:val="bottom"/>
          </w:tcPr>
          <w:p>
            <w:pPr>
              <w:spacing w:after="0"/>
              <w:rPr>
                <w:sz w:val="14"/>
                <w:szCs w:val="14"/>
                <w:color w:val="auto"/>
              </w:rPr>
            </w:pPr>
          </w:p>
        </w:tc>
        <w:tc>
          <w:tcPr>
            <w:tcW w:w="2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Total Consideration</w:t>
            </w:r>
          </w:p>
        </w:tc>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9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2040" w:type="dxa"/>
            <w:vAlign w:val="bottom"/>
            <w:gridSpan w:val="4"/>
            <w:vMerge w:val="continue"/>
          </w:tcPr>
          <w:p>
            <w:pPr>
              <w:spacing w:after="0"/>
              <w:rPr>
                <w:sz w:val="7"/>
                <w:szCs w:val="7"/>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80" w:type="dxa"/>
            <w:vAlign w:val="bottom"/>
            <w:gridSpan w:val="3"/>
          </w:tcPr>
          <w:p>
            <w:pPr>
              <w:ind w:left="232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2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2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340" w:type="dxa"/>
            <w:vAlign w:val="bottom"/>
            <w:gridSpan w:val="3"/>
          </w:tcPr>
          <w:p>
            <w:pPr>
              <w:ind w:left="32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000" w:type="dxa"/>
            <w:vAlign w:val="bottom"/>
            <w:gridSpan w:val="8"/>
          </w:tcPr>
          <w:p>
            <w:pPr>
              <w:ind w:left="380"/>
              <w:spacing w:after="0"/>
              <w:rPr>
                <w:sz w:val="20"/>
                <w:szCs w:val="20"/>
                <w:color w:val="auto"/>
              </w:rPr>
            </w:pPr>
            <w:r>
              <w:rPr>
                <w:rFonts w:ascii="Arial" w:cs="Arial" w:eastAsia="Arial" w:hAnsi="Arial"/>
                <w:sz w:val="18"/>
                <w:szCs w:val="18"/>
                <w:color w:val="auto"/>
                <w:w w:val="99"/>
              </w:rPr>
              <w:t>per share would increase (decrease) the total</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consideration paid to us by new investors by $</w:t>
            </w:r>
          </w:p>
        </w:tc>
        <w:tc>
          <w:tcPr>
            <w:tcW w:w="7120" w:type="dxa"/>
            <w:vAlign w:val="bottom"/>
            <w:gridSpan w:val="12"/>
          </w:tcPr>
          <w:p>
            <w:pPr>
              <w:jc w:val="right"/>
              <w:spacing w:after="0" w:line="202" w:lineRule="exact"/>
              <w:rPr>
                <w:sz w:val="20"/>
                <w:szCs w:val="20"/>
                <w:color w:val="auto"/>
              </w:rPr>
            </w:pPr>
            <w:r>
              <w:rPr>
                <w:rFonts w:ascii="Arial" w:cs="Arial" w:eastAsia="Arial" w:hAnsi="Arial"/>
                <w:sz w:val="18"/>
                <w:szCs w:val="18"/>
                <w:color w:val="auto"/>
              </w:rPr>
              <w:t>million assuming the number of shares offered by us, as set forth on the cover page of</w:t>
            </w:r>
          </w:p>
        </w:tc>
        <w:tc>
          <w:tcPr>
            <w:tcW w:w="0" w:type="dxa"/>
            <w:vAlign w:val="bottom"/>
          </w:tcPr>
          <w:p>
            <w:pPr>
              <w:spacing w:after="0"/>
              <w:rPr>
                <w:sz w:val="1"/>
                <w:szCs w:val="1"/>
                <w:color w:val="auto"/>
              </w:rPr>
            </w:pPr>
          </w:p>
        </w:tc>
      </w:tr>
    </w:tbl>
    <w:p>
      <w:pPr>
        <w:ind w:left="200"/>
        <w:spacing w:after="0"/>
        <w:rPr>
          <w:sz w:val="20"/>
          <w:szCs w:val="20"/>
          <w:color w:val="auto"/>
        </w:rPr>
      </w:pPr>
      <w:r>
        <w:rPr>
          <w:rFonts w:ascii="Arial" w:cs="Arial" w:eastAsia="Arial" w:hAnsi="Arial"/>
          <w:sz w:val="18"/>
          <w:szCs w:val="18"/>
          <w:color w:val="auto"/>
        </w:rPr>
        <w:t>this prospectus, remains the same and before deducting the estimated underwriting discount and estimated expenses payable by us.</w:t>
      </w:r>
    </w:p>
    <w:p>
      <w:pPr>
        <w:spacing w:after="0" w:line="212"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number of shares of Class 2 common stock to be outstanding after this offering is based on 7,794,042 shares of Class 2 common stock outstanding as of March 31, 2018 and excludes:</w:t>
      </w:r>
    </w:p>
    <w:p>
      <w:pPr>
        <w:spacing w:after="0" w:line="220" w:lineRule="exact"/>
        <w:rPr>
          <w:sz w:val="20"/>
          <w:szCs w:val="20"/>
          <w:color w:val="auto"/>
        </w:rPr>
      </w:pPr>
    </w:p>
    <w:p>
      <w:pPr>
        <w:ind w:left="520" w:hanging="316"/>
        <w:spacing w:after="0"/>
        <w:tabs>
          <w:tab w:leader="none" w:pos="520" w:val="left"/>
        </w:tabs>
        <w:numPr>
          <w:ilvl w:val="0"/>
          <w:numId w:val="33"/>
        </w:numPr>
        <w:rPr>
          <w:rFonts w:ascii="Arial" w:cs="Arial" w:eastAsia="Arial" w:hAnsi="Arial"/>
          <w:sz w:val="15"/>
          <w:szCs w:val="15"/>
          <w:color w:val="auto"/>
        </w:rPr>
      </w:pPr>
      <w:r>
        <w:rPr>
          <w:rFonts w:ascii="Arial" w:cs="Arial" w:eastAsia="Arial" w:hAnsi="Arial"/>
          <w:sz w:val="18"/>
          <w:szCs w:val="18"/>
          <w:color w:val="auto"/>
        </w:rPr>
        <w:t>zero shares of Class 2 common stock issuable upon the exercise of outstanding stock options as of March 31, 2018, with a weighted-</w:t>
      </w:r>
    </w:p>
    <w:p>
      <w:pPr>
        <w:ind w:left="520"/>
        <w:spacing w:after="0"/>
        <w:tabs>
          <w:tab w:leader="none" w:pos="3460" w:val="left"/>
        </w:tabs>
        <w:rPr>
          <w:sz w:val="20"/>
          <w:szCs w:val="20"/>
          <w:color w:val="auto"/>
        </w:rPr>
      </w:pPr>
      <w:r>
        <w:rPr>
          <w:rFonts w:ascii="Arial" w:cs="Arial" w:eastAsia="Arial" w:hAnsi="Arial"/>
          <w:sz w:val="18"/>
          <w:szCs w:val="18"/>
          <w:color w:val="auto"/>
        </w:rPr>
        <w:t>average exercise price of $</w:t>
      </w:r>
      <w:r>
        <w:rPr>
          <w:sz w:val="20"/>
          <w:szCs w:val="20"/>
          <w:color w:val="auto"/>
        </w:rPr>
        <w:tab/>
      </w:r>
      <w:r>
        <w:rPr>
          <w:rFonts w:ascii="Arial" w:cs="Arial" w:eastAsia="Arial" w:hAnsi="Arial"/>
          <w:sz w:val="18"/>
          <w:szCs w:val="18"/>
          <w:color w:val="auto"/>
        </w:rPr>
        <w:t>per share; and</w:t>
      </w:r>
    </w:p>
    <w:p>
      <w:pPr>
        <w:spacing w:after="0" w:line="36" w:lineRule="exact"/>
        <w:rPr>
          <w:sz w:val="20"/>
          <w:szCs w:val="20"/>
          <w:color w:val="auto"/>
        </w:rPr>
      </w:pPr>
    </w:p>
    <w:p>
      <w:pPr>
        <w:ind w:left="520" w:right="40" w:hanging="316"/>
        <w:spacing w:after="0" w:line="246" w:lineRule="auto"/>
        <w:tabs>
          <w:tab w:leader="none" w:pos="520" w:val="left"/>
        </w:tabs>
        <w:numPr>
          <w:ilvl w:val="0"/>
          <w:numId w:val="34"/>
        </w:numPr>
        <w:rPr>
          <w:rFonts w:ascii="Arial" w:cs="Arial" w:eastAsia="Arial" w:hAnsi="Arial"/>
          <w:sz w:val="15"/>
          <w:szCs w:val="15"/>
          <w:color w:val="auto"/>
        </w:rPr>
      </w:pPr>
      <w:r>
        <w:rPr>
          <w:rFonts w:ascii="Arial" w:cs="Arial" w:eastAsia="Arial" w:hAnsi="Arial"/>
          <w:sz w:val="18"/>
          <w:szCs w:val="18"/>
          <w:color w:val="auto"/>
        </w:rPr>
        <w:t>6,711,621 shares of Class 2 common stock reserved for future issuance under our Amended and Restated 2018 Equity Incentive Plan as of March 31, 2018.</w:t>
      </w:r>
    </w:p>
    <w:p>
      <w:pPr>
        <w:spacing w:after="0" w:line="196"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Subsequent to March 31, 2018 and through the date of this prospectus:</w:t>
      </w:r>
    </w:p>
    <w:p>
      <w:pPr>
        <w:spacing w:after="0" w:line="238" w:lineRule="exact"/>
        <w:rPr>
          <w:rFonts w:ascii="Arial" w:cs="Arial" w:eastAsia="Arial" w:hAnsi="Arial"/>
          <w:sz w:val="15"/>
          <w:szCs w:val="15"/>
          <w:color w:val="auto"/>
        </w:rPr>
      </w:pPr>
    </w:p>
    <w:p>
      <w:pPr>
        <w:ind w:left="520" w:right="160" w:hanging="316"/>
        <w:spacing w:after="0" w:line="246" w:lineRule="auto"/>
        <w:tabs>
          <w:tab w:leader="none" w:pos="520" w:val="left"/>
        </w:tabs>
        <w:numPr>
          <w:ilvl w:val="0"/>
          <w:numId w:val="34"/>
        </w:numPr>
        <w:rPr>
          <w:rFonts w:ascii="Arial" w:cs="Arial" w:eastAsia="Arial" w:hAnsi="Arial"/>
          <w:sz w:val="15"/>
          <w:szCs w:val="15"/>
          <w:color w:val="auto"/>
        </w:rPr>
      </w:pPr>
      <w:r>
        <w:rPr>
          <w:rFonts w:ascii="Arial" w:cs="Arial" w:eastAsia="Arial" w:hAnsi="Arial"/>
          <w:sz w:val="18"/>
          <w:szCs w:val="18"/>
          <w:color w:val="auto"/>
        </w:rPr>
        <w:t>we reserved an additional 2,487,717 shares of Class 2 common stock under our Amended and Restated 2018 Equity Incentive Plan; and</w:t>
      </w:r>
    </w:p>
    <w:p>
      <w:pPr>
        <w:spacing w:after="0" w:line="21" w:lineRule="exact"/>
        <w:rPr>
          <w:rFonts w:ascii="Arial" w:cs="Arial" w:eastAsia="Arial" w:hAnsi="Arial"/>
          <w:sz w:val="15"/>
          <w:szCs w:val="15"/>
          <w:color w:val="auto"/>
        </w:rPr>
      </w:pPr>
    </w:p>
    <w:p>
      <w:pPr>
        <w:ind w:left="520" w:right="20" w:hanging="316"/>
        <w:spacing w:after="0" w:line="246" w:lineRule="auto"/>
        <w:tabs>
          <w:tab w:leader="none" w:pos="520" w:val="left"/>
        </w:tabs>
        <w:numPr>
          <w:ilvl w:val="0"/>
          <w:numId w:val="34"/>
        </w:numPr>
        <w:rPr>
          <w:rFonts w:ascii="Arial" w:cs="Arial" w:eastAsia="Arial" w:hAnsi="Arial"/>
          <w:sz w:val="15"/>
          <w:szCs w:val="15"/>
          <w:color w:val="auto"/>
        </w:rPr>
      </w:pPr>
      <w:r>
        <w:rPr>
          <w:rFonts w:ascii="Arial" w:cs="Arial" w:eastAsia="Arial" w:hAnsi="Arial"/>
          <w:sz w:val="18"/>
          <w:szCs w:val="18"/>
          <w:color w:val="auto"/>
        </w:rPr>
        <w:t>we granted (i) stock options to purchase up to an aggregate of 6,094,019 shares of Class 2 common stock and (ii) 1,085,000 restricted stock units under our Amended and Restated 2018 Equity Incentive Plan.</w:t>
      </w:r>
    </w:p>
    <w:p>
      <w:pPr>
        <w:spacing w:after="0" w:line="197" w:lineRule="exact"/>
        <w:rPr>
          <w:sz w:val="20"/>
          <w:szCs w:val="20"/>
          <w:color w:val="auto"/>
        </w:rPr>
      </w:pPr>
    </w:p>
    <w:p>
      <w:pPr>
        <w:ind w:left="200" w:right="200" w:firstLine="331"/>
        <w:spacing w:after="0" w:line="248" w:lineRule="auto"/>
        <w:rPr>
          <w:sz w:val="20"/>
          <w:szCs w:val="20"/>
          <w:color w:val="auto"/>
        </w:rPr>
      </w:pPr>
      <w:r>
        <w:rPr>
          <w:rFonts w:ascii="Arial" w:cs="Arial" w:eastAsia="Arial" w:hAnsi="Arial"/>
          <w:sz w:val="17"/>
          <w:szCs w:val="17"/>
          <w:color w:val="auto"/>
        </w:rPr>
        <w:t>To the extent any outstanding options are exercised, new options are issued under our equity incentive plans, or we issue additional shares of common stock in the future, there will be further dilution to investors participating in this offering. If all outstanding options as of</w:t>
      </w:r>
    </w:p>
    <w:p>
      <w:pPr>
        <w:spacing w:after="0" w:line="1" w:lineRule="exact"/>
        <w:rPr>
          <w:sz w:val="20"/>
          <w:szCs w:val="20"/>
          <w:color w:val="auto"/>
        </w:rPr>
      </w:pPr>
    </w:p>
    <w:p>
      <w:pPr>
        <w:ind w:left="200" w:right="640"/>
        <w:spacing w:after="0" w:line="246" w:lineRule="auto"/>
        <w:rPr>
          <w:sz w:val="20"/>
          <w:szCs w:val="20"/>
          <w:color w:val="auto"/>
        </w:rPr>
      </w:pPr>
      <w:r>
        <w:rPr>
          <w:rFonts w:ascii="Arial" w:cs="Arial" w:eastAsia="Arial" w:hAnsi="Arial"/>
          <w:sz w:val="18"/>
          <w:szCs w:val="18"/>
          <w:color w:val="auto"/>
        </w:rPr>
        <w:t>March 31, 2018 were exercised, then our existing stockholders, including the holders of these options, would own %, and new investors would own % of the total number of shares of our common stock outstanding upon the closing of this offering.</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24" w:lineRule="exact"/>
        <w:rPr>
          <w:sz w:val="20"/>
          <w:szCs w:val="20"/>
          <w:color w:val="auto"/>
        </w:rPr>
      </w:pPr>
    </w:p>
    <w:p>
      <w:pPr>
        <w:ind w:left="200" w:right="60" w:firstLine="331"/>
        <w:spacing w:after="0" w:line="242" w:lineRule="auto"/>
        <w:rPr>
          <w:sz w:val="20"/>
          <w:szCs w:val="20"/>
          <w:color w:val="auto"/>
        </w:rPr>
      </w:pPr>
      <w:r>
        <w:rPr>
          <w:rFonts w:ascii="Arial" w:cs="Arial" w:eastAsia="Arial" w:hAnsi="Arial"/>
          <w:sz w:val="18"/>
          <w:szCs w:val="18"/>
          <w:color w:val="auto"/>
        </w:rPr>
        <w:t>You should read the selected consolidated financial data below in conjunction with the section titled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related notes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 The selected consolidated financial data in this section are not intended to replace the consolidated financial statements and are qualified in their entirety by the consolidated financial statements and related notes included elsewhere in this prospectus.</w:t>
      </w:r>
    </w:p>
    <w:p>
      <w:pPr>
        <w:spacing w:after="0" w:line="203" w:lineRule="exact"/>
        <w:rPr>
          <w:sz w:val="20"/>
          <w:szCs w:val="20"/>
          <w:color w:val="auto"/>
        </w:rPr>
      </w:pPr>
    </w:p>
    <w:p>
      <w:pPr>
        <w:ind w:left="200" w:right="280" w:firstLine="331"/>
        <w:spacing w:after="0" w:line="236" w:lineRule="auto"/>
        <w:rPr>
          <w:sz w:val="20"/>
          <w:szCs w:val="20"/>
          <w:color w:val="auto"/>
        </w:rPr>
      </w:pPr>
      <w:r>
        <w:rPr>
          <w:rFonts w:ascii="Arial" w:cs="Arial" w:eastAsia="Arial" w:hAnsi="Arial"/>
          <w:sz w:val="18"/>
          <w:szCs w:val="18"/>
          <w:color w:val="auto"/>
        </w:rPr>
        <w:t>The consolidated financial statements include the accounts of entities wholly owned by Tilray, Inc. The following table summarizes certain selected consolidated financial data. The consolidated balance sheet data as of December 31, 2016 and 2017 and consolidated statements of net loss data for the years ended December 31, 2016 and 2017 are derived from our audited consolidated financial statements included elsewhere in this prospectus. The interim condensed consolidated balance sheet data as of March 31, 2018 and interim condensed consolidated statements of net loss data for the three months ended March 31, 2017 and 2018 are derived from our unaudited interim condensed consolidated financial statements included elsewhere in this prospectus. Our historical results are not necessarily indicative of our results in any future period. All financial data is expressed in thousands of U.S. dollars except for per share data.</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center"/>
              <w:ind w:right="51"/>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center"/>
              <w:ind w:right="51"/>
              <w:spacing w:after="0" w:line="143" w:lineRule="exact"/>
              <w:rPr>
                <w:sz w:val="20"/>
                <w:szCs w:val="20"/>
                <w:color w:val="auto"/>
              </w:rPr>
            </w:pPr>
            <w:r>
              <w:rPr>
                <w:rFonts w:ascii="Arial" w:cs="Arial" w:eastAsia="Arial" w:hAnsi="Arial"/>
                <w:sz w:val="14"/>
                <w:szCs w:val="14"/>
                <w:b w:val="1"/>
                <w:bCs w:val="1"/>
                <w:color w:val="auto"/>
              </w:rPr>
              <w:t>(unaudited)</w:t>
            </w:r>
          </w:p>
        </w:tc>
      </w:tr>
      <w:tr>
        <w:trPr>
          <w:trHeight w:val="189"/>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rPr>
              <w:t>(in thousands, except per share data)</w:t>
            </w:r>
          </w:p>
        </w:tc>
        <w:tc>
          <w:tcPr>
            <w:tcW w:w="6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Net Loss Data:</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8"/>
              </w:rPr>
              <w:t>12,644</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w w:val="98"/>
              </w:rPr>
              <w:t>20,538</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color w:val="auto"/>
                <w:w w:val="93"/>
              </w:rPr>
              <w:t>5,027</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7,808</w:t>
            </w: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9,974</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9,161</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w w:val="93"/>
              </w:rPr>
              <w:t>2,259</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3,912</w:t>
            </w:r>
          </w:p>
        </w:tc>
      </w:tr>
      <w:tr>
        <w:trPr>
          <w:trHeight w:val="217"/>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2,670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11,377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3"/>
              </w:rPr>
              <w:t>2,768</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3,896</w:t>
            </w: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1,136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3,171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975</w:t>
            </w: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3,599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7,164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928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2,263</w:t>
            </w: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4,984</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8,540</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w w:val="93"/>
              </w:rPr>
              <w:t>1,565</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4,398</w:t>
            </w:r>
          </w:p>
        </w:tc>
      </w:tr>
      <w:tr>
        <w:trPr>
          <w:trHeight w:val="217"/>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Operating loss</w:t>
            </w: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(3,740)</w:t>
            </w: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loss (gain), net</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1,146</w:t>
            </w: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1,019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1,686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51"/>
              <w:spacing w:after="0" w:line="202" w:lineRule="exact"/>
              <w:rPr>
                <w:sz w:val="20"/>
                <w:szCs w:val="20"/>
                <w:color w:val="auto"/>
              </w:rPr>
            </w:pPr>
            <w:r>
              <w:rPr>
                <w:rFonts w:ascii="Arial" w:cs="Arial" w:eastAsia="Arial" w:hAnsi="Arial"/>
                <w:sz w:val="18"/>
                <w:szCs w:val="18"/>
                <w:color w:val="auto"/>
              </w:rPr>
              <w:t>416</w:t>
            </w: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6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r>
      <w:tr>
        <w:trPr>
          <w:trHeight w:val="210"/>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(7,883)</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(7,809)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(5,181)</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4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r>
      <w:tr>
        <w:trPr>
          <w:trHeight w:val="203"/>
        </w:trPr>
        <w:tc>
          <w:tcPr>
            <w:tcW w:w="20" w:type="dxa"/>
            <w:vAlign w:val="bottom"/>
          </w:tcPr>
          <w:p>
            <w:pPr>
              <w:spacing w:after="0"/>
              <w:rPr>
                <w:sz w:val="17"/>
                <w:szCs w:val="17"/>
                <w:color w:val="auto"/>
              </w:rPr>
            </w:pPr>
          </w:p>
        </w:tc>
        <w:tc>
          <w:tcPr>
            <w:tcW w:w="5480" w:type="dxa"/>
            <w:vAlign w:val="bottom"/>
          </w:tcPr>
          <w:p>
            <w:pPr>
              <w:spacing w:after="0" w:line="202" w:lineRule="exact"/>
              <w:rPr>
                <w:sz w:val="20"/>
                <w:szCs w:val="20"/>
                <w:color w:val="auto"/>
              </w:rPr>
            </w:pPr>
            <w:r>
              <w:rPr>
                <w:rFonts w:ascii="Arial" w:cs="Arial" w:eastAsia="Arial" w:hAnsi="Arial"/>
                <w:sz w:val="18"/>
                <w:szCs w:val="18"/>
                <w:color w:val="auto"/>
              </w:rPr>
              <w:t>Pro forma net loss per share, basic and diluted</w:t>
            </w:r>
            <w:r>
              <w:rPr>
                <w:rFonts w:ascii="Arial" w:cs="Arial" w:eastAsia="Arial" w:hAnsi="Arial"/>
                <w:sz w:val="15"/>
                <w:szCs w:val="15"/>
                <w:color w:val="auto"/>
              </w:rPr>
              <w:t>(1)</w:t>
            </w: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(0.09)</w:t>
            </w: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(0.06)</w:t>
            </w:r>
          </w:p>
        </w:tc>
      </w:tr>
      <w:tr>
        <w:trPr>
          <w:trHeight w:val="217"/>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(0.09)</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right="20" w:hanging="316"/>
        <w:spacing w:after="0" w:line="23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unaudited pro forma basic and diluted net loss per share were calculated to give effect to the automatic conversion of all outstanding shares of Series A preferred stock into Class 2 common stock in connection with a qualifying initial public offering. The liquidation and dividend rights are identical among Class 1 common stock and Class 2 common stock, and all classes of common stock share equally in our earnings and losses. Accordingly, net loss has been reallocated to Class 1 common stock and Class 2 common stock on a proportional basis. For calculating basic and diluted net loss per share, the number of shares was 82,794,042. Since we were in a loss position for all periods presented, basic net loss per share attributable to common stockholders is the same as</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320"/>
        <w:spacing w:after="0" w:line="246" w:lineRule="auto"/>
        <w:rPr>
          <w:sz w:val="20"/>
          <w:szCs w:val="20"/>
          <w:color w:val="auto"/>
        </w:rPr>
      </w:pPr>
      <w:r>
        <w:rPr>
          <w:rFonts w:ascii="Arial" w:cs="Arial" w:eastAsia="Arial" w:hAnsi="Arial"/>
          <w:sz w:val="18"/>
          <w:szCs w:val="18"/>
          <w:color w:val="auto"/>
        </w:rPr>
        <w:t>diluted net loss per share for all periods as the inclusion of all potential shares of common stock outstanding would have been anti-dilutive.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1680" w:type="dxa"/>
            <w:vAlign w:val="bottom"/>
            <w:gridSpan w:val="3"/>
          </w:tcPr>
          <w:p>
            <w:pPr>
              <w:jc w:val="center"/>
              <w:ind w:left="502"/>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80" w:type="dxa"/>
            <w:vAlign w:val="bottom"/>
            <w:gridSpan w:val="7"/>
            <w:vMerge w:val="restart"/>
          </w:tcPr>
          <w:p>
            <w:pPr>
              <w:jc w:val="right"/>
              <w:ind w:right="180"/>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gridSpan w:val="7"/>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Cash and cash equivalents</w:t>
            </w:r>
          </w:p>
        </w:tc>
        <w:tc>
          <w:tcPr>
            <w:tcW w:w="2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$ 7,531</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2,323</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Short-term investments</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29,506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Inventory</w:t>
            </w:r>
          </w:p>
        </w:tc>
        <w:tc>
          <w:tcPr>
            <w:tcW w:w="2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4,103</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7,421</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assets</w:t>
            </w:r>
          </w:p>
        </w:tc>
        <w:tc>
          <w:tcPr>
            <w:tcW w:w="22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33,093</w:t>
            </w:r>
          </w:p>
        </w:tc>
        <w:tc>
          <w:tcPr>
            <w:tcW w:w="136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53,948</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106,646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Current portion of long-term debt and long-term debt</w:t>
            </w:r>
          </w:p>
        </w:tc>
        <w:tc>
          <w:tcPr>
            <w:tcW w:w="2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8,576</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9,432</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liabilities</w:t>
            </w:r>
          </w:p>
        </w:tc>
        <w:tc>
          <w:tcPr>
            <w:tcW w:w="22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30,565</w:t>
            </w:r>
          </w:p>
        </w:tc>
        <w:tc>
          <w:tcPr>
            <w:tcW w:w="136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58,800</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Preferred stock</w:t>
            </w: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Stockholders’ equity (deficit)</w:t>
            </w:r>
          </w:p>
        </w:tc>
        <w:tc>
          <w:tcPr>
            <w:tcW w:w="22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2,528</w:t>
            </w:r>
          </w:p>
        </w:tc>
        <w:tc>
          <w:tcPr>
            <w:tcW w:w="13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(4,852)</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42,645</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Borders>
              <w:bottom w:val="single" w:sz="8" w:color="auto"/>
            </w:tcBorders>
            <w:gridSpan w:val="2"/>
          </w:tcPr>
          <w:p>
            <w:pPr>
              <w:jc w:val="right"/>
              <w:ind w:right="462"/>
              <w:spacing w:after="0" w:line="155"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280" w:type="dxa"/>
            <w:vAlign w:val="bottom"/>
            <w:gridSpan w:val="3"/>
          </w:tcPr>
          <w:p>
            <w:pPr>
              <w:jc w:val="right"/>
              <w:ind w:right="322"/>
              <w:spacing w:after="0"/>
              <w:rPr>
                <w:sz w:val="20"/>
                <w:szCs w:val="20"/>
                <w:color w:val="auto"/>
              </w:rPr>
            </w:pPr>
            <w:r>
              <w:rPr>
                <w:rFonts w:ascii="Arial" w:cs="Arial" w:eastAsia="Arial" w:hAnsi="Arial"/>
                <w:sz w:val="18"/>
                <w:szCs w:val="18"/>
                <w:color w:val="auto"/>
              </w:rPr>
              <w:t>$(5,002)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$(5,506)</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2"/>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right="60" w:hanging="316"/>
        <w:spacing w:after="0" w:line="23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supplement our consolidated financial statements, which are prepared and presented in accordance with GAAP, we use Adjusted EBITDA, as described below, to understand and evaluate our core operating performance. Adjusted EBITDA, which may be different than similarly titled measures used by other companies, is presented to help investors’ overall understanding of our financial performance and should not be considered a substitute for, or superior to, the financial information prepared and presented in accordance with GAAP. We use the non-GAAP financial measure of Adjusted EBITDA, which is defined as net loss, excluding interest expense; other (income) expense, net; foreign exchange gain, net; depreciation and amortization; and stock-based compensation expense.</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For information on the calculation and limitations of Adjusted EBITDA, see the section titled “</w:t>
      </w:r>
      <w:r>
        <w:rPr>
          <w:rFonts w:ascii="Arial" w:cs="Arial" w:eastAsia="Arial" w:hAnsi="Arial"/>
          <w:sz w:val="18"/>
          <w:szCs w:val="18"/>
          <w:i w:val="1"/>
          <w:iCs w:val="1"/>
          <w:color w:val="auto"/>
        </w:rPr>
        <w:t>Summary Consolidated Financial Data</w:t>
      </w:r>
      <w:r>
        <w:rPr>
          <w:rFonts w:ascii="Arial" w:cs="Arial" w:eastAsia="Arial" w:hAnsi="Arial"/>
          <w:sz w:val="18"/>
          <w:szCs w:val="18"/>
          <w:color w:val="auto"/>
        </w:rPr>
        <w: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Borders>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gridSpan w:val="2"/>
          </w:tcPr>
          <w:p>
            <w:pPr>
              <w:jc w:val="right"/>
              <w:ind w:right="13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jc w:val="right"/>
              <w:ind w:right="15"/>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43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EBITDA reconciliation:</w:t>
            </w:r>
          </w:p>
        </w:tc>
        <w:tc>
          <w:tcPr>
            <w:tcW w:w="28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340"/>
              <w:spacing w:after="0" w:line="202" w:lineRule="exact"/>
              <w:rPr>
                <w:sz w:val="20"/>
                <w:szCs w:val="20"/>
                <w:color w:val="auto"/>
              </w:rPr>
            </w:pPr>
            <w:r>
              <w:rPr>
                <w:rFonts w:ascii="Arial" w:cs="Arial" w:eastAsia="Arial" w:hAnsi="Arial"/>
                <w:sz w:val="18"/>
                <w:szCs w:val="18"/>
                <w:color w:val="auto"/>
              </w:rPr>
              <w:t>Net loss</w:t>
            </w:r>
          </w:p>
        </w:tc>
        <w:tc>
          <w:tcPr>
            <w:tcW w:w="3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$(7,883)</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$(7,809)</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(679)</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expense, net</w:t>
            </w:r>
          </w:p>
        </w:tc>
        <w:tc>
          <w:tcPr>
            <w:tcW w:w="3620" w:type="dxa"/>
            <w:vAlign w:val="bottom"/>
            <w:gridSpan w:val="2"/>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1,019</w:t>
            </w:r>
          </w:p>
        </w:tc>
        <w:tc>
          <w:tcPr>
            <w:tcW w:w="106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1,686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496</w:t>
            </w:r>
          </w:p>
        </w:tc>
        <w:tc>
          <w:tcPr>
            <w:tcW w:w="10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340"/>
              <w:spacing w:after="0" w:line="202" w:lineRule="exact"/>
              <w:rPr>
                <w:sz w:val="20"/>
                <w:szCs w:val="20"/>
                <w:color w:val="auto"/>
              </w:rPr>
            </w:pPr>
            <w:r>
              <w:rPr>
                <w:rFonts w:ascii="Arial" w:cs="Arial" w:eastAsia="Arial" w:hAnsi="Arial"/>
                <w:sz w:val="18"/>
                <w:szCs w:val="18"/>
                <w:color w:val="auto"/>
              </w:rPr>
              <w:t>Other (income) expense, net</w:t>
            </w:r>
          </w:p>
        </w:tc>
        <w:tc>
          <w:tcPr>
            <w:tcW w:w="362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1</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14</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Foreign exchange loss (gain), net</w:t>
            </w:r>
          </w:p>
        </w:tc>
        <w:tc>
          <w:tcPr>
            <w:tcW w:w="3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0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362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1,953</w:t>
            </w:r>
          </w:p>
        </w:tc>
        <w:tc>
          <w:tcPr>
            <w:tcW w:w="10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1,853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545</w:t>
            </w:r>
          </w:p>
        </w:tc>
        <w:tc>
          <w:tcPr>
            <w:tcW w:w="10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28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4"/>
              <w:spacing w:after="0" w:line="202" w:lineRule="exact"/>
              <w:rPr>
                <w:sz w:val="20"/>
                <w:szCs w:val="20"/>
                <w:color w:val="auto"/>
              </w:rPr>
            </w:pPr>
            <w:r>
              <w:rPr>
                <w:rFonts w:ascii="Arial" w:cs="Arial" w:eastAsia="Arial" w:hAnsi="Arial"/>
                <w:sz w:val="18"/>
                <w:szCs w:val="18"/>
                <w:color w:val="auto"/>
              </w:rPr>
              <w:t>94</w:t>
            </w:r>
          </w:p>
        </w:tc>
        <w:tc>
          <w:tcPr>
            <w:tcW w:w="3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(5,002)</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(5,506)</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5"/>
              <w:spacing w:after="0"/>
              <w:rPr>
                <w:sz w:val="20"/>
                <w:szCs w:val="20"/>
                <w:color w:val="auto"/>
              </w:rPr>
            </w:pPr>
            <w:r>
              <w:rPr>
                <w:rFonts w:ascii="Arial" w:cs="Arial" w:eastAsia="Arial" w:hAnsi="Arial"/>
                <w:sz w:val="18"/>
                <w:szCs w:val="18"/>
                <w:color w:val="auto"/>
              </w:rPr>
              <w:t>192</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80" w:type="dxa"/>
            <w:vAlign w:val="bottom"/>
            <w:vMerge w:val="restart"/>
          </w:tcPr>
          <w:p>
            <w:pPr>
              <w:jc w:val="right"/>
              <w:ind w:right="1510"/>
              <w:spacing w:after="0"/>
              <w:rPr>
                <w:sz w:val="20"/>
                <w:szCs w:val="20"/>
                <w:color w:val="auto"/>
              </w:rPr>
            </w:pPr>
            <w:r>
              <w:rPr>
                <w:rFonts w:ascii="Arial" w:cs="Arial" w:eastAsia="Arial" w:hAnsi="Arial"/>
                <w:sz w:val="18"/>
                <w:szCs w:val="18"/>
                <w:color w:val="auto"/>
              </w:rPr>
              <w:t>53</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RESULTS OF OPERATIONS</w:t>
      </w:r>
    </w:p>
    <w:p>
      <w:pPr>
        <w:spacing w:after="0" w:line="302" w:lineRule="exact"/>
        <w:rPr>
          <w:sz w:val="20"/>
          <w:szCs w:val="20"/>
          <w:color w:val="auto"/>
        </w:rPr>
      </w:pPr>
    </w:p>
    <w:p>
      <w:pPr>
        <w:ind w:left="200" w:right="80" w:firstLine="331"/>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Data” and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section titled “Risk Factors,” our actual results could differ materially from the results described in or implied by these forward-looking statements.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We are pioneering the future of medical cannabis research, cultivation, processing and distribution globally, and we intend to become a leader in the adult-use cannabis market in Canada once legalized.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aspire to lead, legitimize and define the future of our industry by building the world’s most trusted cannabis company.</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produce medical cannabis in Canada and Europe, and we have supplied high-quality cannabis products to tens of thousands of patients in 10 countries spanning five continents through our subsidiaries in Australia, Canada and Germany and through agreements with established pharmaceutical distributors. In Canada, we are also authorized to distribute certain products on a wholesale basis and to sell certain products direct to patients through our e-commerce platform or over the phone.</w:t>
      </w:r>
    </w:p>
    <w:p>
      <w:pPr>
        <w:spacing w:after="0" w:line="202"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We are witnessing a global paradigm shift with regard to cannabis, and as a result of this shift, the transformation of a multibillion dollar industry from a state of prohibition to a state of legalization. Medical cannabis is now authorized at the national or federal level in 28 countries. The legal market for medical cannabis is still in its early stages and we believe the number of countries with legalized regimes will continue to increase. We believe that as this transformation occurs, trusted global brands with multinational supply chains will become market leaders by earning the confidence of patients, doctors, governments and adult consumers around the world.</w:t>
      </w:r>
    </w:p>
    <w:p>
      <w:pPr>
        <w:spacing w:after="0" w:line="203"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We expect to have a competitive advantage in the Canadian adult-use market pending the adoption of proposed federal legislation and corresponding provincial legislation that is anticipated to legalize adult-use cannabis in Canada in 2018. In anticipation of adult-use legalization in Canada, we have negotiated agreements to supply certain provinces and territories with our adult-use products for sale through the distribution systems they are establishing, subject to the adoption of authorizing legislation.</w:t>
      </w:r>
    </w:p>
    <w:p>
      <w:pPr>
        <w:spacing w:after="0" w:line="202"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We were formed as a subsidiary of Privateer Holdings, one of the first institutionally backed private investment firms to focus exclusively on the cannabis industry. Privateer Holdings’ portfolio of brands also includes Leafly, Marley Natural and Goodship. Following this offering, we expect that Privateer Holdings will own approximately % of our equity interest and % of the voting power in our capital stock. In addition, we expect that our ongoing relationship with Privateer Holdings will continue to include the provision of certain management services, the licensing of many of our anticipated adult-use brands and products and certain debt obligations.</w:t>
      </w:r>
    </w:p>
    <w:p>
      <w:pPr>
        <w:spacing w:after="0" w:line="20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For 2016 and 2017, our revenue was $12.6 million and $20.5 million, respectively, representing year-over-year growth of 62%. For 2016 and 2017, our net loss was $7.9 million and $7.8 million, respectively. As of December 31, 2017, our accumulated deficit was $40.5 million.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940" w:firstLine="331"/>
        <w:spacing w:after="0"/>
        <w:rPr>
          <w:sz w:val="20"/>
          <w:szCs w:val="20"/>
          <w:color w:val="auto"/>
        </w:rPr>
      </w:pPr>
      <w:r>
        <w:rPr>
          <w:rFonts w:ascii="Arial" w:cs="Arial" w:eastAsia="Arial" w:hAnsi="Arial"/>
          <w:sz w:val="18"/>
          <w:szCs w:val="18"/>
          <w:color w:val="auto"/>
        </w:rPr>
        <w:t>For the three months ended March 31, 2017 and 2018, we generated revenue of $5.0 million and $ 7.8 million, respectively, representing year-over-year growth of 55%. For the three months ended March 31, 2017 and 2018, we generated net losses of $0.7 million and $5.2 million, respectively. As of March 31, 2018, our accumulated deficit was $45.6 million.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Events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May 2018, we granted (i) stock options to purchase up to an aggregate of 6,094,019 shares of our Class 2 common stock and</w:t>
      </w:r>
    </w:p>
    <w:p>
      <w:pPr>
        <w:ind w:left="200" w:right="160" w:firstLine="4"/>
        <w:spacing w:after="0" w:line="246"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1,085,000 restricted stock units under our Amended and Restated 2018 Equity Incentive Plan at a price of $7.76 per share. The stock options and restricted stock units generally vest over four years.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Operating Metrics</w:t>
      </w:r>
    </w:p>
    <w:p>
      <w:pPr>
        <w:spacing w:after="0" w:line="85" w:lineRule="exact"/>
        <w:rPr>
          <w:sz w:val="20"/>
          <w:szCs w:val="20"/>
          <w:color w:val="auto"/>
        </w:rPr>
      </w:pPr>
    </w:p>
    <w:p>
      <w:pPr>
        <w:ind w:left="200" w:right="660" w:firstLine="331"/>
        <w:spacing w:after="0" w:line="246" w:lineRule="auto"/>
        <w:rPr>
          <w:sz w:val="20"/>
          <w:szCs w:val="20"/>
          <w:color w:val="auto"/>
        </w:rPr>
      </w:pPr>
      <w:r>
        <w:rPr>
          <w:rFonts w:ascii="Arial" w:cs="Arial" w:eastAsia="Arial" w:hAnsi="Arial"/>
          <w:sz w:val="18"/>
          <w:szCs w:val="18"/>
          <w:color w:val="auto"/>
        </w:rPr>
        <w:t>We use the following key operating metrics to evaluate our business and operations, measure our performance, identify trends affecting our business, project our future performance and make strategic decisions.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ind w:left="32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Years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Ended March 31,</w:t>
            </w: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277"/>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600" w:type="dxa"/>
            <w:vAlign w:val="bottom"/>
          </w:tcPr>
          <w:p>
            <w:pPr>
              <w:jc w:val="right"/>
              <w:ind w:right="154"/>
              <w:spacing w:after="0" w:line="143"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259"/>
              <w:spacing w:after="0" w:line="143"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30"/>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2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11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5"/>
                <w:szCs w:val="15"/>
                <w:color w:val="auto"/>
              </w:rPr>
            </w:pPr>
          </w:p>
        </w:tc>
        <w:tc>
          <w:tcPr>
            <w:tcW w:w="120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116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w w:val="97"/>
              </w:rPr>
              <w:t>Change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r>
      <w:tr>
        <w:trPr>
          <w:trHeight w:val="196"/>
        </w:trPr>
        <w:tc>
          <w:tcPr>
            <w:tcW w:w="20" w:type="dxa"/>
            <w:vAlign w:val="bottom"/>
          </w:tcPr>
          <w:p>
            <w:pPr>
              <w:spacing w:after="0"/>
              <w:rPr>
                <w:sz w:val="17"/>
                <w:szCs w:val="17"/>
                <w:color w:val="auto"/>
              </w:rPr>
            </w:pPr>
          </w:p>
        </w:tc>
        <w:tc>
          <w:tcPr>
            <w:tcW w:w="2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Kilogram equivalents sold</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2,216</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3,024</w:t>
            </w: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37"/>
              <w:spacing w:after="0" w:line="196" w:lineRule="exact"/>
              <w:rPr>
                <w:sz w:val="20"/>
                <w:szCs w:val="20"/>
                <w:color w:val="auto"/>
              </w:rPr>
            </w:pPr>
            <w:r>
              <w:rPr>
                <w:rFonts w:ascii="Arial" w:cs="Arial" w:eastAsia="Arial" w:hAnsi="Arial"/>
                <w:sz w:val="18"/>
                <w:szCs w:val="18"/>
                <w:color w:val="auto"/>
              </w:rPr>
              <w:t>808</w:t>
            </w: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36%</w:t>
            </w: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877</w:t>
            </w: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1,299</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rPr>
              <w:t>422</w:t>
            </w: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48%</w:t>
            </w:r>
          </w:p>
        </w:tc>
      </w:tr>
      <w:tr>
        <w:trPr>
          <w:trHeight w:val="203"/>
        </w:trPr>
        <w:tc>
          <w:tcPr>
            <w:tcW w:w="2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Kilograms harvested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4,526</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6,779</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37"/>
              <w:spacing w:after="0" w:line="202" w:lineRule="exact"/>
              <w:rPr>
                <w:sz w:val="20"/>
                <w:szCs w:val="20"/>
                <w:color w:val="auto"/>
              </w:rPr>
            </w:pPr>
            <w:r>
              <w:rPr>
                <w:rFonts w:ascii="Arial" w:cs="Arial" w:eastAsia="Arial" w:hAnsi="Arial"/>
                <w:sz w:val="18"/>
                <w:szCs w:val="18"/>
                <w:color w:val="auto"/>
                <w:w w:val="97"/>
              </w:rPr>
              <w:t>2,253</w:t>
            </w:r>
          </w:p>
        </w:tc>
        <w:tc>
          <w:tcPr>
            <w:tcW w:w="380" w:type="dxa"/>
            <w:vAlign w:val="bottom"/>
          </w:tcPr>
          <w:p>
            <w:pPr>
              <w:spacing w:after="0"/>
              <w:rPr>
                <w:sz w:val="17"/>
                <w:szCs w:val="17"/>
                <w:color w:val="auto"/>
              </w:rPr>
            </w:pPr>
          </w:p>
        </w:tc>
        <w:tc>
          <w:tcPr>
            <w:tcW w:w="6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50%</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1,862</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1,693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net selling price</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per gram</w:t>
            </w:r>
          </w:p>
        </w:tc>
        <w:tc>
          <w:tcPr>
            <w:tcW w:w="50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5.41</w:t>
            </w:r>
          </w:p>
        </w:tc>
        <w:tc>
          <w:tcPr>
            <w:tcW w:w="6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6.52</w:t>
            </w:r>
          </w:p>
        </w:tc>
        <w:tc>
          <w:tcPr>
            <w:tcW w:w="62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7"/>
              <w:spacing w:after="0" w:line="203" w:lineRule="exact"/>
              <w:rPr>
                <w:sz w:val="20"/>
                <w:szCs w:val="20"/>
                <w:color w:val="auto"/>
              </w:rPr>
            </w:pPr>
            <w:r>
              <w:rPr>
                <w:rFonts w:ascii="Arial" w:cs="Arial" w:eastAsia="Arial" w:hAnsi="Arial"/>
                <w:sz w:val="18"/>
                <w:szCs w:val="18"/>
                <w:color w:val="auto"/>
              </w:rPr>
              <w:t>1.11</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21%</w:t>
            </w:r>
          </w:p>
        </w:tc>
        <w:tc>
          <w:tcPr>
            <w:tcW w:w="62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5.53</w:t>
            </w:r>
          </w:p>
        </w:tc>
        <w:tc>
          <w:tcPr>
            <w:tcW w:w="6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5.94</w:t>
            </w:r>
          </w:p>
        </w:tc>
        <w:tc>
          <w:tcPr>
            <w:tcW w:w="5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9"/>
              <w:spacing w:after="0" w:line="203" w:lineRule="exact"/>
              <w:rPr>
                <w:sz w:val="20"/>
                <w:szCs w:val="20"/>
                <w:color w:val="auto"/>
              </w:rPr>
            </w:pPr>
            <w:r>
              <w:rPr>
                <w:rFonts w:ascii="Arial" w:cs="Arial" w:eastAsia="Arial" w:hAnsi="Arial"/>
                <w:sz w:val="18"/>
                <w:szCs w:val="18"/>
                <w:color w:val="auto"/>
              </w:rPr>
              <w:t>0.41</w:t>
            </w:r>
          </w:p>
        </w:tc>
        <w:tc>
          <w:tcPr>
            <w:tcW w:w="920" w:type="dxa"/>
            <w:vAlign w:val="bottom"/>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7%</w:t>
            </w: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Average cost per gram</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160"/>
              <w:spacing w:after="0" w:line="203" w:lineRule="exact"/>
              <w:rPr>
                <w:sz w:val="20"/>
                <w:szCs w:val="20"/>
                <w:color w:val="auto"/>
              </w:rPr>
            </w:pPr>
            <w:r>
              <w:rPr>
                <w:rFonts w:ascii="Arial" w:cs="Arial" w:eastAsia="Arial" w:hAnsi="Arial"/>
                <w:sz w:val="18"/>
                <w:szCs w:val="18"/>
                <w:color w:val="auto"/>
              </w:rPr>
              <w:t>sold</w:t>
            </w:r>
          </w:p>
        </w:tc>
        <w:tc>
          <w:tcPr>
            <w:tcW w:w="50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4.04</w:t>
            </w:r>
          </w:p>
        </w:tc>
        <w:tc>
          <w:tcPr>
            <w:tcW w:w="6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2.84</w:t>
            </w:r>
          </w:p>
        </w:tc>
        <w:tc>
          <w:tcPr>
            <w:tcW w:w="62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(1.20)</w:t>
            </w:r>
          </w:p>
        </w:tc>
        <w:tc>
          <w:tcPr>
            <w:tcW w:w="38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(30)%</w:t>
            </w:r>
          </w:p>
        </w:tc>
        <w:tc>
          <w:tcPr>
            <w:tcW w:w="62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2.48</w:t>
            </w:r>
          </w:p>
        </w:tc>
        <w:tc>
          <w:tcPr>
            <w:tcW w:w="6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2.81</w:t>
            </w:r>
          </w:p>
        </w:tc>
        <w:tc>
          <w:tcPr>
            <w:tcW w:w="500" w:type="dxa"/>
            <w:vAlign w:val="bottom"/>
            <w:gridSpan w:val="2"/>
          </w:tcPr>
          <w:p>
            <w:pPr>
              <w:ind w:left="40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ind w:right="59"/>
              <w:spacing w:after="0" w:line="203" w:lineRule="exact"/>
              <w:rPr>
                <w:sz w:val="20"/>
                <w:szCs w:val="20"/>
                <w:color w:val="auto"/>
              </w:rPr>
            </w:pPr>
            <w:r>
              <w:rPr>
                <w:rFonts w:ascii="Arial" w:cs="Arial" w:eastAsia="Arial" w:hAnsi="Arial"/>
                <w:sz w:val="18"/>
                <w:szCs w:val="18"/>
                <w:color w:val="auto"/>
              </w:rPr>
              <w:t>0.33</w:t>
            </w:r>
          </w:p>
        </w:tc>
        <w:tc>
          <w:tcPr>
            <w:tcW w:w="92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13%</w:t>
            </w: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Canadian dollars</w:t>
            </w:r>
            <w:r>
              <w:rPr>
                <w:rFonts w:ascii="Arial" w:cs="Arial" w:eastAsia="Arial" w:hAnsi="Arial"/>
                <w:sz w:val="15"/>
                <w:szCs w:val="15"/>
                <w:i w:val="1"/>
                <w:iCs w:val="1"/>
                <w:color w:val="auto"/>
              </w:rPr>
              <w:t>(1)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300" w:type="dxa"/>
            <w:vAlign w:val="bottom"/>
          </w:tcPr>
          <w:p>
            <w:pPr>
              <w:spacing w:after="0" w:line="201" w:lineRule="exact"/>
              <w:rPr>
                <w:sz w:val="20"/>
                <w:szCs w:val="20"/>
                <w:color w:val="auto"/>
              </w:rPr>
            </w:pPr>
            <w:r>
              <w:rPr>
                <w:rFonts w:ascii="Arial" w:cs="Arial" w:eastAsia="Arial" w:hAnsi="Arial"/>
                <w:sz w:val="18"/>
                <w:szCs w:val="18"/>
                <w:color w:val="auto"/>
              </w:rPr>
              <w:t>Average net selling price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00" w:type="dxa"/>
            <w:vAlign w:val="bottom"/>
          </w:tcPr>
          <w:p>
            <w:pPr>
              <w:ind w:left="160"/>
              <w:spacing w:after="0" w:line="203" w:lineRule="exact"/>
              <w:rPr>
                <w:sz w:val="20"/>
                <w:szCs w:val="20"/>
                <w:color w:val="auto"/>
              </w:rPr>
            </w:pPr>
            <w:r>
              <w:rPr>
                <w:rFonts w:ascii="Arial" w:cs="Arial" w:eastAsia="Arial" w:hAnsi="Arial"/>
                <w:sz w:val="18"/>
                <w:szCs w:val="18"/>
                <w:color w:val="auto"/>
              </w:rPr>
              <w:t>per gram</w:t>
            </w:r>
          </w:p>
        </w:tc>
        <w:tc>
          <w:tcPr>
            <w:tcW w:w="500" w:type="dxa"/>
            <w:vAlign w:val="bottom"/>
            <w:gridSpan w:val="2"/>
          </w:tcPr>
          <w:p>
            <w:pPr>
              <w:ind w:left="260"/>
              <w:spacing w:after="0" w:line="203" w:lineRule="exact"/>
              <w:rPr>
                <w:sz w:val="20"/>
                <w:szCs w:val="20"/>
                <w:color w:val="auto"/>
              </w:rPr>
            </w:pPr>
            <w:r>
              <w:rPr>
                <w:rFonts w:ascii="Arial" w:cs="Arial" w:eastAsia="Arial" w:hAnsi="Arial"/>
                <w:sz w:val="18"/>
                <w:szCs w:val="18"/>
                <w:color w:val="auto"/>
                <w:w w:val="95"/>
              </w:rPr>
              <w:t>C$</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7.30</w:t>
            </w:r>
          </w:p>
        </w:tc>
        <w:tc>
          <w:tcPr>
            <w:tcW w:w="640" w:type="dxa"/>
            <w:vAlign w:val="bottom"/>
            <w:gridSpan w:val="2"/>
          </w:tcPr>
          <w:p>
            <w:pPr>
              <w:ind w:left="400"/>
              <w:spacing w:after="0" w:line="203" w:lineRule="exact"/>
              <w:rPr>
                <w:sz w:val="20"/>
                <w:szCs w:val="20"/>
                <w:color w:val="auto"/>
              </w:rPr>
            </w:pPr>
            <w:r>
              <w:rPr>
                <w:rFonts w:ascii="Arial" w:cs="Arial" w:eastAsia="Arial" w:hAnsi="Arial"/>
                <w:sz w:val="18"/>
                <w:szCs w:val="18"/>
                <w:color w:val="auto"/>
                <w:w w:val="95"/>
              </w:rPr>
              <w:t>C$</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8.42</w:t>
            </w:r>
          </w:p>
        </w:tc>
        <w:tc>
          <w:tcPr>
            <w:tcW w:w="620" w:type="dxa"/>
            <w:vAlign w:val="bottom"/>
            <w:gridSpan w:val="2"/>
          </w:tcPr>
          <w:p>
            <w:pPr>
              <w:ind w:left="380"/>
              <w:spacing w:after="0" w:line="203" w:lineRule="exact"/>
              <w:rPr>
                <w:sz w:val="20"/>
                <w:szCs w:val="20"/>
                <w:color w:val="auto"/>
              </w:rPr>
            </w:pPr>
            <w:r>
              <w:rPr>
                <w:rFonts w:ascii="Arial" w:cs="Arial" w:eastAsia="Arial" w:hAnsi="Arial"/>
                <w:sz w:val="18"/>
                <w:szCs w:val="18"/>
                <w:color w:val="auto"/>
                <w:w w:val="95"/>
              </w:rPr>
              <w:t>C$</w:t>
            </w:r>
          </w:p>
        </w:tc>
        <w:tc>
          <w:tcPr>
            <w:tcW w:w="580" w:type="dxa"/>
            <w:vAlign w:val="bottom"/>
          </w:tcPr>
          <w:p>
            <w:pPr>
              <w:jc w:val="right"/>
              <w:ind w:right="37"/>
              <w:spacing w:after="0" w:line="203" w:lineRule="exact"/>
              <w:rPr>
                <w:sz w:val="20"/>
                <w:szCs w:val="20"/>
                <w:color w:val="auto"/>
              </w:rPr>
            </w:pPr>
            <w:r>
              <w:rPr>
                <w:rFonts w:ascii="Arial" w:cs="Arial" w:eastAsia="Arial" w:hAnsi="Arial"/>
                <w:sz w:val="18"/>
                <w:szCs w:val="18"/>
                <w:color w:val="auto"/>
              </w:rPr>
              <w:t>1.12</w:t>
            </w:r>
          </w:p>
        </w:tc>
        <w:tc>
          <w:tcPr>
            <w:tcW w:w="380" w:type="dxa"/>
            <w:vAlign w:val="bottom"/>
          </w:tcPr>
          <w:p>
            <w:pPr>
              <w:spacing w:after="0"/>
              <w:rPr>
                <w:sz w:val="17"/>
                <w:szCs w:val="17"/>
                <w:color w:val="auto"/>
              </w:rPr>
            </w:pPr>
          </w:p>
        </w:tc>
        <w:tc>
          <w:tcPr>
            <w:tcW w:w="600" w:type="dxa"/>
            <w:vAlign w:val="bottom"/>
          </w:tcPr>
          <w:p>
            <w:pPr>
              <w:jc w:val="right"/>
              <w:ind w:right="34"/>
              <w:spacing w:after="0" w:line="203" w:lineRule="exact"/>
              <w:rPr>
                <w:sz w:val="20"/>
                <w:szCs w:val="20"/>
                <w:color w:val="auto"/>
              </w:rPr>
            </w:pPr>
            <w:r>
              <w:rPr>
                <w:rFonts w:ascii="Arial" w:cs="Arial" w:eastAsia="Arial" w:hAnsi="Arial"/>
                <w:sz w:val="18"/>
                <w:szCs w:val="18"/>
                <w:color w:val="auto"/>
              </w:rPr>
              <w:t>21%</w:t>
            </w:r>
          </w:p>
        </w:tc>
        <w:tc>
          <w:tcPr>
            <w:tcW w:w="620" w:type="dxa"/>
            <w:vAlign w:val="bottom"/>
            <w:gridSpan w:val="2"/>
          </w:tcPr>
          <w:p>
            <w:pPr>
              <w:ind w:left="380"/>
              <w:spacing w:after="0" w:line="203" w:lineRule="exact"/>
              <w:rPr>
                <w:sz w:val="20"/>
                <w:szCs w:val="20"/>
                <w:color w:val="auto"/>
              </w:rPr>
            </w:pPr>
            <w:r>
              <w:rPr>
                <w:rFonts w:ascii="Arial" w:cs="Arial" w:eastAsia="Arial" w:hAnsi="Arial"/>
                <w:sz w:val="18"/>
                <w:szCs w:val="18"/>
                <w:color w:val="auto"/>
                <w:w w:val="95"/>
              </w:rPr>
              <w:t>C$</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7.33</w:t>
            </w:r>
          </w:p>
        </w:tc>
        <w:tc>
          <w:tcPr>
            <w:tcW w:w="640" w:type="dxa"/>
            <w:vAlign w:val="bottom"/>
            <w:gridSpan w:val="2"/>
          </w:tcPr>
          <w:p>
            <w:pPr>
              <w:ind w:left="400"/>
              <w:spacing w:after="0" w:line="203" w:lineRule="exact"/>
              <w:rPr>
                <w:sz w:val="20"/>
                <w:szCs w:val="20"/>
                <w:color w:val="auto"/>
              </w:rPr>
            </w:pPr>
            <w:r>
              <w:rPr>
                <w:rFonts w:ascii="Arial" w:cs="Arial" w:eastAsia="Arial" w:hAnsi="Arial"/>
                <w:sz w:val="18"/>
                <w:szCs w:val="18"/>
                <w:color w:val="auto"/>
                <w:w w:val="95"/>
              </w:rPr>
              <w:t>C$</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7.55</w:t>
            </w:r>
          </w:p>
        </w:tc>
        <w:tc>
          <w:tcPr>
            <w:tcW w:w="1140" w:type="dxa"/>
            <w:vAlign w:val="bottom"/>
            <w:gridSpan w:val="3"/>
          </w:tcPr>
          <w:p>
            <w:pPr>
              <w:ind w:left="400"/>
              <w:spacing w:after="0" w:line="203" w:lineRule="exact"/>
              <w:rPr>
                <w:sz w:val="20"/>
                <w:szCs w:val="20"/>
                <w:color w:val="auto"/>
              </w:rPr>
            </w:pPr>
            <w:r>
              <w:rPr>
                <w:rFonts w:ascii="Arial" w:cs="Arial" w:eastAsia="Arial" w:hAnsi="Arial"/>
                <w:sz w:val="18"/>
                <w:szCs w:val="18"/>
                <w:color w:val="auto"/>
              </w:rPr>
              <w:t>C$ 0.22</w:t>
            </w:r>
          </w:p>
        </w:tc>
        <w:tc>
          <w:tcPr>
            <w:tcW w:w="920" w:type="dxa"/>
            <w:vAlign w:val="bottom"/>
            <w:gridSpan w:val="2"/>
          </w:tcPr>
          <w:p>
            <w:pPr>
              <w:jc w:val="right"/>
              <w:ind w:right="50"/>
              <w:spacing w:after="0" w:line="203" w:lineRule="exact"/>
              <w:rPr>
                <w:sz w:val="20"/>
                <w:szCs w:val="20"/>
                <w:color w:val="auto"/>
              </w:rPr>
            </w:pPr>
            <w:r>
              <w:rPr>
                <w:rFonts w:ascii="Arial" w:cs="Arial" w:eastAsia="Arial" w:hAnsi="Arial"/>
                <w:sz w:val="18"/>
                <w:szCs w:val="18"/>
                <w:color w:val="auto"/>
              </w:rPr>
              <w:t>7%</w:t>
            </w:r>
          </w:p>
        </w:tc>
      </w:tr>
      <w:tr>
        <w:trPr>
          <w:trHeight w:val="202"/>
        </w:trPr>
        <w:tc>
          <w:tcPr>
            <w:tcW w:w="20" w:type="dxa"/>
            <w:vAlign w:val="bottom"/>
          </w:tcPr>
          <w:p>
            <w:pPr>
              <w:spacing w:after="0"/>
              <w:rPr>
                <w:sz w:val="17"/>
                <w:szCs w:val="17"/>
                <w:color w:val="auto"/>
              </w:rPr>
            </w:pPr>
          </w:p>
        </w:tc>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cost per gram</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3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sold</w:t>
            </w:r>
          </w:p>
        </w:tc>
        <w:tc>
          <w:tcPr>
            <w:tcW w:w="50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w w:val="95"/>
              </w:rPr>
              <w:t>C$</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5.34</w:t>
            </w:r>
          </w:p>
        </w:tc>
        <w:tc>
          <w:tcPr>
            <w:tcW w:w="6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w w:val="95"/>
              </w:rPr>
              <w:t>C$</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3.72</w:t>
            </w:r>
          </w:p>
        </w:tc>
        <w:tc>
          <w:tcPr>
            <w:tcW w:w="1580" w:type="dxa"/>
            <w:vAlign w:val="bottom"/>
            <w:gridSpan w:val="4"/>
            <w:shd w:val="clear" w:color="auto" w:fill="CCEEFF"/>
          </w:tcPr>
          <w:p>
            <w:pPr>
              <w:ind w:left="380"/>
              <w:spacing w:after="0" w:line="203" w:lineRule="exact"/>
              <w:rPr>
                <w:sz w:val="20"/>
                <w:szCs w:val="20"/>
                <w:color w:val="auto"/>
              </w:rPr>
            </w:pPr>
            <w:r>
              <w:rPr>
                <w:rFonts w:ascii="Arial" w:cs="Arial" w:eastAsia="Arial" w:hAnsi="Arial"/>
                <w:sz w:val="18"/>
                <w:szCs w:val="18"/>
                <w:color w:val="auto"/>
              </w:rPr>
              <w:t>C$ (1.62)</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2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w w:val="95"/>
              </w:rPr>
              <w:t>C$</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3.28</w:t>
            </w:r>
          </w:p>
        </w:tc>
        <w:tc>
          <w:tcPr>
            <w:tcW w:w="6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w w:val="95"/>
              </w:rPr>
              <w:t>C$</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3.58</w:t>
            </w:r>
          </w:p>
        </w:tc>
        <w:tc>
          <w:tcPr>
            <w:tcW w:w="1140" w:type="dxa"/>
            <w:vAlign w:val="bottom"/>
            <w:gridSpan w:val="3"/>
            <w:shd w:val="clear" w:color="auto" w:fill="CCEEFF"/>
          </w:tcPr>
          <w:p>
            <w:pPr>
              <w:ind w:left="400"/>
              <w:spacing w:after="0" w:line="203" w:lineRule="exact"/>
              <w:rPr>
                <w:sz w:val="20"/>
                <w:szCs w:val="20"/>
                <w:color w:val="auto"/>
              </w:rPr>
            </w:pPr>
            <w:r>
              <w:rPr>
                <w:rFonts w:ascii="Arial" w:cs="Arial" w:eastAsia="Arial" w:hAnsi="Arial"/>
                <w:sz w:val="18"/>
                <w:szCs w:val="18"/>
                <w:color w:val="auto"/>
              </w:rPr>
              <w:t>C$ 0.30</w:t>
            </w:r>
          </w:p>
        </w:tc>
        <w:tc>
          <w:tcPr>
            <w:tcW w:w="920" w:type="dxa"/>
            <w:vAlign w:val="bottom"/>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520" w:right="360" w:hanging="316"/>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the Canadian dollar average net selling price per gram and average cost per gram sold, revenue and costs are converted using the average exchange rate during the reporting period. All input costs are individually converted by multiplying the U.S. dollar to Canadian dollar rate to determine the Canadian dollar amount.</w:t>
      </w:r>
    </w:p>
    <w:p>
      <w:pPr>
        <w:spacing w:after="0" w:line="180"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Kilogram equivalents sold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sell two product categories: (1) dried cannabis, which includes whole flower and ground flower, and</w:t>
      </w:r>
    </w:p>
    <w:p>
      <w:pPr>
        <w:spacing w:after="0" w:line="17" w:lineRule="exact"/>
        <w:rPr>
          <w:rFonts w:ascii="Arial" w:cs="Arial" w:eastAsia="Arial" w:hAnsi="Arial"/>
          <w:sz w:val="18"/>
          <w:szCs w:val="18"/>
          <w:color w:val="auto"/>
        </w:rPr>
      </w:pPr>
    </w:p>
    <w:p>
      <w:pPr>
        <w:ind w:left="200" w:right="160" w:firstLine="4"/>
        <w:spacing w:after="0" w:line="239" w:lineRule="auto"/>
        <w:tabs>
          <w:tab w:leader="none" w:pos="4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cannabis extracts, which includes full-spectrum and purified oil drops and capsules. The latter products are converted to flower equivalent grams based on the type and number of dried cannabis grams required to produce extracted cannabis in the form of cannabis oils. This conversion ratio is based on the amount of active cannabinoids in the products rather than the volume of oil. For example, our 40mL oil drops are converted to five gram equivalents.</w:t>
      </w:r>
    </w:p>
    <w:p>
      <w:pPr>
        <w:spacing w:after="0" w:line="202"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Total kilogram equivalents sold increased by 36% from 2016 to 2017 primarily due to increased patient demand and growth of our extract products. For the three months ended March 31, 2017 and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2018, total kilograms equivalents sold increased by 48% primarily due to growth in wholesale demand and increased patient demand.</w:t>
      </w:r>
    </w:p>
    <w:p>
      <w:pPr>
        <w:spacing w:after="0" w:line="190" w:lineRule="exact"/>
        <w:rPr>
          <w:sz w:val="20"/>
          <w:szCs w:val="20"/>
          <w:color w:val="auto"/>
        </w:rPr>
      </w:pPr>
    </w:p>
    <w:p>
      <w:pPr>
        <w:ind w:left="200" w:right="100" w:firstLine="331"/>
        <w:spacing w:after="0" w:line="247" w:lineRule="auto"/>
        <w:rPr>
          <w:sz w:val="20"/>
          <w:szCs w:val="20"/>
          <w:color w:val="auto"/>
        </w:rPr>
      </w:pPr>
      <w:r>
        <w:rPr>
          <w:rFonts w:ascii="Arial" w:cs="Arial" w:eastAsia="Arial" w:hAnsi="Arial"/>
          <w:sz w:val="18"/>
          <w:szCs w:val="18"/>
          <w:b w:val="1"/>
          <w:bCs w:val="1"/>
          <w:i w:val="1"/>
          <w:iCs w:val="1"/>
          <w:color w:val="auto"/>
        </w:rPr>
        <w:t>Kilograms harvested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Kilograms harvested represents the weight of dried whole plants post harvest, drying and curing.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metric is used to measure the production efficiency of our facilities and production team. For the three months ended March 31, 2017 and 2018, kilograms harvested decreased by 9% primarily due to shifting some of our cultivation mix towards higher potency strains and CBD strains, which have lower biomass yields compared to mid-potency strains.</w:t>
      </w:r>
    </w:p>
    <w:p>
      <w:pPr>
        <w:spacing w:after="0" w:line="19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Total kilograms harvested increased by 50% from 2016 to 2017 primarily due to reaching full utilization at Tilray Nanaimo by the end of 2016 and increased production yields per harvest. We will continue to test numerous environmental variables to optimize strain-specific production yields.</w:t>
      </w:r>
    </w:p>
    <w:p>
      <w:pPr>
        <w:spacing w:after="0" w:line="181"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b w:val="1"/>
          <w:bCs w:val="1"/>
          <w:i w:val="1"/>
          <w:iCs w:val="1"/>
          <w:color w:val="auto"/>
        </w:rPr>
        <w:t>Average net selling price per gram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net selling price per gram is an indicator that shows our pricing trends over time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gram equivalent basis. We deduct revenue associated with accessories and freight sales from revenue to arrive at cannabis-related revenue. We calculate average net selling price per gram by dividing cannabis-related revenue by kilogram equivalents sold. Our dried flower products are sold in Canada on a per gram basis from C$6.00 to C$14.00 and our oil drops and capsules are sold for C$35.00 to C$400.00. The prices of our products vary according to a number of different factors, the most significant factor of which is potency. Premium pricing for our international export products also contributed favorably to this metric.</w:t>
      </w:r>
    </w:p>
    <w:p>
      <w:pPr>
        <w:spacing w:after="0" w:line="201"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average net selling price per gram increased by 21% from 2016 to 2017, primarily due to the consistent production of high-potency dried flower and growth in extract sales. For the three months ended March 31, 2017 and 2018, the average net selling price per gram increased by 7%. The positive impacts of high-potency dried flower, growth in extract and international sales were partially offset by pricing in our wholesale channel.</w:t>
      </w:r>
    </w:p>
    <w:p>
      <w:pPr>
        <w:spacing w:after="0" w:line="180" w:lineRule="exact"/>
        <w:rPr>
          <w:sz w:val="20"/>
          <w:szCs w:val="20"/>
          <w:color w:val="auto"/>
        </w:rPr>
      </w:pPr>
    </w:p>
    <w:p>
      <w:pPr>
        <w:ind w:left="200" w:right="2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Average cost per gram sold. </w:t>
      </w:r>
      <w:r>
        <w:rPr>
          <w:rFonts w:ascii="Arial" w:cs="Arial" w:eastAsia="Arial" w:hAnsi="Arial"/>
          <w:sz w:val="18"/>
          <w:szCs w:val="18"/>
          <w:color w:val="auto"/>
        </w:rPr>
        <w:t>The average cost per gram sold measures the efficiency in our cultivation, manufacturing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operations. We deduct inventory adjustments and the cost of sales related to accessories from total cost of sales to arrive at cannabis-related cost of sales. Cannabis-related cost of sales is then divided by total kilogram equivalents sold to calculate the average cost per gram sold.</w:t>
      </w:r>
    </w:p>
    <w:p>
      <w:pPr>
        <w:spacing w:after="0" w:line="196"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The average cost per gram sold declined from $4.04 in 2016 to $2.84 in 2017, which represents an improvement of 30%. The decline in average cost per gram sold was primarily due to Tilray Nanaimo reaching full capacity and increased production yields. We also drove efficiencies through automation in our post-harvest processes across trimming, drying, extraction and fulfillment. For the three months ended March 31, 2017 and 2018, the average cost per gram sold increased from $2.48 to $2.81 primarily due to sourcing product from other licensed producers to support demand growth.</w:t>
      </w:r>
    </w:p>
    <w:p>
      <w:pPr>
        <w:spacing w:after="0" w:line="20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Other companies, including companies in our industry, may calculate key operating metrics with similar names differently which may reduce their usefulness as comparative measures.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Impacting our Business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believe that our future success will primarily depend on the following factors.</w:t>
      </w:r>
    </w:p>
    <w:p>
      <w:pPr>
        <w:spacing w:after="0" w:line="190" w:lineRule="exact"/>
        <w:rPr>
          <w:sz w:val="20"/>
          <w:szCs w:val="20"/>
          <w:color w:val="auto"/>
        </w:rPr>
      </w:pPr>
    </w:p>
    <w:p>
      <w:pPr>
        <w:ind w:left="200" w:right="220" w:firstLine="331"/>
        <w:spacing w:after="0" w:line="247" w:lineRule="auto"/>
        <w:rPr>
          <w:sz w:val="20"/>
          <w:szCs w:val="20"/>
          <w:color w:val="auto"/>
        </w:rPr>
      </w:pPr>
      <w:r>
        <w:rPr>
          <w:rFonts w:ascii="Arial" w:cs="Arial" w:eastAsia="Arial" w:hAnsi="Arial"/>
          <w:sz w:val="18"/>
          <w:szCs w:val="18"/>
          <w:b w:val="1"/>
          <w:bCs w:val="1"/>
          <w:i w:val="1"/>
          <w:iCs w:val="1"/>
          <w:color w:val="auto"/>
        </w:rPr>
        <w:t xml:space="preserve">Global medical market expansion. </w:t>
      </w:r>
      <w:r>
        <w:rPr>
          <w:rFonts w:ascii="Arial" w:cs="Arial" w:eastAsia="Arial" w:hAnsi="Arial"/>
          <w:sz w:val="18"/>
          <w:szCs w:val="18"/>
          <w:color w:val="auto"/>
        </w:rPr>
        <w:t>We believe that we have a significant opportunity to capitalize on cannabis markets globally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cannabis becomes legal in more markets. Medical cannabis is now authorized at the national or federal level in 28 countries. Twenty-four of these countries have legalized or introduced significant reforms to their cannabis-use laws to broaden the scope of permitted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use since the beginning of 2015. Over the past two years, we have established regional offices in Germany and Australia and have invested significant resources in personnel, partnerships and in-country sales and marketing to build the foundation for new and existing export channels. Our products are currently available in 10 countries, and we will continue to explore market expansion opportunities as more countries legalize medical cannabis.</w:t>
      </w:r>
    </w:p>
    <w:p>
      <w:pPr>
        <w:spacing w:after="0" w:line="180" w:lineRule="exact"/>
        <w:rPr>
          <w:sz w:val="20"/>
          <w:szCs w:val="20"/>
          <w:color w:val="auto"/>
        </w:rPr>
      </w:pPr>
    </w:p>
    <w:p>
      <w:pPr>
        <w:ind w:left="200" w:right="3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Adult-use legalization in Canada. </w:t>
      </w:r>
      <w:r>
        <w:rPr>
          <w:rFonts w:ascii="Arial" w:cs="Arial" w:eastAsia="Arial" w:hAnsi="Arial"/>
          <w:sz w:val="18"/>
          <w:szCs w:val="18"/>
          <w:color w:val="auto"/>
        </w:rPr>
        <w:t>We believe that the legalization of adult-use cannabis in Canada, anticipated to occur in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a significant opportunity for us. We expect that our existing ACMPR license will allow us to immediately participate in the Canadian adult-use market, and in anticipation of this, we have invested significant resources into production capacity, brand development, business development and corporate infrastructure.</w:t>
      </w:r>
    </w:p>
    <w:p>
      <w:pPr>
        <w:spacing w:after="0" w:line="174" w:lineRule="exact"/>
        <w:rPr>
          <w:sz w:val="20"/>
          <w:szCs w:val="20"/>
          <w:color w:val="auto"/>
        </w:rPr>
      </w:pPr>
    </w:p>
    <w:p>
      <w:pPr>
        <w:ind w:left="200" w:right="100" w:firstLine="331"/>
        <w:spacing w:after="0" w:line="242" w:lineRule="auto"/>
        <w:rPr>
          <w:sz w:val="20"/>
          <w:szCs w:val="20"/>
          <w:color w:val="auto"/>
        </w:rPr>
      </w:pPr>
      <w:r>
        <w:rPr>
          <w:rFonts w:ascii="Arial" w:cs="Arial" w:eastAsia="Arial" w:hAnsi="Arial"/>
          <w:sz w:val="18"/>
          <w:szCs w:val="18"/>
          <w:b w:val="1"/>
          <w:bCs w:val="1"/>
          <w:i w:val="1"/>
          <w:iCs w:val="1"/>
          <w:color w:val="auto"/>
        </w:rPr>
        <w:t xml:space="preserve">Expanding distribution channels. </w:t>
      </w:r>
      <w:r>
        <w:rPr>
          <w:rFonts w:ascii="Arial" w:cs="Arial" w:eastAsia="Arial" w:hAnsi="Arial"/>
          <w:sz w:val="18"/>
          <w:szCs w:val="18"/>
          <w:color w:val="auto"/>
        </w:rPr>
        <w:t>Historically, the vast majority of our revenue has been DTP in Canada through sales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ACMPR. We have also generated revenue through wholesale to other Licensed Producers in Canada. Going forward, we believe there will be additional wholesale distribution opportunities in Canada in-line with the rest of the world, including finished, packaged goods. This would drive potentially higher volumes but result in lower margins. In most medical cannabis markets globally, medical cannabis is sold in traditional pharmacies and, in certain countries, the cost to the consumer is reimbursed by public and private insurance companies. We expect that Canada ultimately will align with these practices.</w:t>
      </w:r>
    </w:p>
    <w:p>
      <w:pPr>
        <w:spacing w:after="0" w:line="179" w:lineRule="exact"/>
        <w:rPr>
          <w:sz w:val="20"/>
          <w:szCs w:val="20"/>
          <w:color w:val="auto"/>
        </w:rPr>
      </w:pPr>
    </w:p>
    <w:p>
      <w:pPr>
        <w:ind w:left="200" w:right="80" w:firstLine="331"/>
        <w:spacing w:after="0" w:line="253" w:lineRule="auto"/>
        <w:rPr>
          <w:sz w:val="20"/>
          <w:szCs w:val="20"/>
          <w:color w:val="auto"/>
        </w:rPr>
      </w:pPr>
      <w:r>
        <w:rPr>
          <w:rFonts w:ascii="Arial" w:cs="Arial" w:eastAsia="Arial" w:hAnsi="Arial"/>
          <w:sz w:val="18"/>
          <w:szCs w:val="18"/>
          <w:b w:val="1"/>
          <w:bCs w:val="1"/>
          <w:i w:val="1"/>
          <w:iCs w:val="1"/>
          <w:color w:val="auto"/>
        </w:rPr>
        <w:t xml:space="preserve">Expanding capacity. </w:t>
      </w:r>
      <w:r>
        <w:rPr>
          <w:rFonts w:ascii="Arial" w:cs="Arial" w:eastAsia="Arial" w:hAnsi="Arial"/>
          <w:sz w:val="18"/>
          <w:szCs w:val="18"/>
          <w:color w:val="auto"/>
        </w:rPr>
        <w:t>At this early stage of the industry, we believe that it is beneficial to be vertically integrated and control our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process to generate consistency and quality on a large scale. As we expand into new and existing markets, we will need to invest significant resources into cultivation and production facilities, which may require us to raise additional capital.</w:t>
      </w:r>
    </w:p>
    <w:p>
      <w:pPr>
        <w:spacing w:after="0" w:line="169"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b w:val="1"/>
          <w:bCs w:val="1"/>
          <w:i w:val="1"/>
          <w:iCs w:val="1"/>
          <w:color w:val="auto"/>
        </w:rPr>
        <w:t xml:space="preserve">New product innovation. </w:t>
      </w:r>
      <w:r>
        <w:rPr>
          <w:rFonts w:ascii="Arial" w:cs="Arial" w:eastAsia="Arial" w:hAnsi="Arial"/>
          <w:sz w:val="18"/>
          <w:szCs w:val="18"/>
          <w:color w:val="auto"/>
        </w:rPr>
        <w:t>We believe there is a significant market opportunity for non-combustible products as global medical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mature. In certain developed cannabis markets, non-combustible products have surpassed dried flower on a market share basis. In 2016 and 2017, dried flower sales comprised 90% and 79% of cannabis-related revenue, respectively. For the three months ended March 31, 2017 and 2018, dried flower sales comprised 79% and 59% of cannabis-related revenue, respectively. We believe our success will depend on our ability to continually develop, introduce and expand non-combustible products and brands, which we believe will have higher gross margins compared to combustible products. According to data from Health Canada, over the past six quarters ended December 31, 2017, dried cannabis sales had a compound quarterly growth rate, or CQGR, of 8% and cannabis oils had a CQGR of 39%.</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99"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Revenue is comprised of sales to patients through the ACMPR program, bulk sales to other Licensed Producers under the ACMPR and export sales to third-party distributors, governments, hospitals, pharmacies and patients. Our products currently include: whole flower, ground flower, full-spectrum cannabis oils and capsules, purified cannabis oils and capsules and accessories. Revenue is net of incentives, after discounts and allowances for our assurance program and veterans coverage program.</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Sales</w:t>
      </w:r>
    </w:p>
    <w:p>
      <w:pPr>
        <w:spacing w:after="0" w:line="85" w:lineRule="exact"/>
        <w:rPr>
          <w:sz w:val="20"/>
          <w:szCs w:val="20"/>
          <w:color w:val="auto"/>
        </w:rPr>
      </w:pPr>
    </w:p>
    <w:p>
      <w:pPr>
        <w:ind w:left="200" w:right="460" w:firstLine="331"/>
        <w:spacing w:after="0"/>
        <w:rPr>
          <w:sz w:val="20"/>
          <w:szCs w:val="20"/>
          <w:color w:val="auto"/>
        </w:rPr>
      </w:pPr>
      <w:r>
        <w:rPr>
          <w:rFonts w:ascii="Arial" w:cs="Arial" w:eastAsia="Arial" w:hAnsi="Arial"/>
          <w:sz w:val="18"/>
          <w:szCs w:val="18"/>
          <w:color w:val="auto"/>
        </w:rPr>
        <w:t>Cost of sales is mainly comprised of three categories: pre-harvest, post-harvest and shipment and fulfillment. Pre-harvest costs include labor and direct materials to grow cannabis, which includes water, electricity, nutrients, integrated pest management, growing supplies and allocated overhead. Post-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harvest costs include costs associated with drying, trimming, blending, extraction, purification, quality testing and allocated overhead. Shipment and fulfillment costs include the costs of packaging, labelling, courier services and allocated overhead. Total cost of sales also includes cost of sales associated with accessories and inventory adjustments.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9" w:lineRule="exact"/>
        <w:rPr>
          <w:sz w:val="20"/>
          <w:szCs w:val="20"/>
          <w:color w:val="auto"/>
        </w:rPr>
      </w:pPr>
    </w:p>
    <w:p>
      <w:pPr>
        <w:ind w:left="200" w:right="460" w:firstLine="331"/>
        <w:spacing w:after="0"/>
        <w:rPr>
          <w:sz w:val="20"/>
          <w:szCs w:val="20"/>
          <w:color w:val="auto"/>
        </w:rPr>
      </w:pPr>
      <w:r>
        <w:rPr>
          <w:rFonts w:ascii="Arial" w:cs="Arial" w:eastAsia="Arial" w:hAnsi="Arial"/>
          <w:sz w:val="18"/>
          <w:szCs w:val="18"/>
          <w:color w:val="auto"/>
        </w:rPr>
        <w:t>Research and development expenses consist of new product development, clinical trial expenses, study drug production, patient studies and surveys, pharmacokinetic studies, consultants and legal expenses. Research and development expenses also include process and systems engineering in both production and manufacturing aspects.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Sales and marketing expenses primarily consist of personnel-related costs, including salaries, benefits, commissions for our employees engaged in physician and patient support, customer service and public relations. Sales and marketing expenses also include business development costs to support patient, physician, distributor, hospital, pharmacy and government relationships.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8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General and administrative expenses consist of costs incurred in our corporate offices, primarily related to personnel costs, which include salaries, variable compensation and benefits. General and administrative costs also include audit, legal, tax and professional fees and Privateer Holdings’ management services fees. Other expenses in this category include general support services associated with the expansion of our business from a single facility to multiple locations.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Exchange Gains and Losses, Net</w:t>
      </w:r>
    </w:p>
    <w:p>
      <w:pPr>
        <w:spacing w:after="0" w:line="126"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Foreign exchange gains and losses represent the translation of assets and liabilities denominated in currencies other than the U.S. dollar. Monetary assets and liabilities denominated in foreign currencies at the consolidated statement of financial position dates are translated to the U.S. dollar at the foreign exchange rate applicable as of those dates. Realized and unrealized exchange gains and losses are recognized in the consolidated statements of net loss and comprehensive loss.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expense is related to loans from a third-party mortgage on our Tilray Nanaimo property and Privateer Holdings debt facilities.</w:t>
      </w:r>
    </w:p>
    <w:p>
      <w:pPr>
        <w:ind w:left="200"/>
        <w:spacing w:after="0"/>
        <w:rPr>
          <w:sz w:val="20"/>
          <w:szCs w:val="20"/>
          <w:color w:val="auto"/>
        </w:rPr>
      </w:pPr>
      <w:r>
        <w:rPr>
          <w:rFonts w:ascii="Arial" w:cs="Arial" w:eastAsia="Arial" w:hAnsi="Arial"/>
          <w:sz w:val="18"/>
          <w:szCs w:val="18"/>
          <w:color w:val="auto"/>
        </w:rPr>
        <w:t xml:space="preserve">See the section titled </w:t>
      </w:r>
      <w:r>
        <w:rPr>
          <w:rFonts w:ascii="Arial" w:cs="Arial" w:eastAsia="Arial" w:hAnsi="Arial"/>
          <w:sz w:val="18"/>
          <w:szCs w:val="18"/>
          <w:i w:val="1"/>
          <w:iCs w:val="1"/>
          <w:color w:val="auto"/>
        </w:rPr>
        <w:t>“—Contractual Obligations and Commitments”</w:t>
      </w:r>
      <w:r>
        <w:rPr>
          <w:rFonts w:ascii="Arial" w:cs="Arial" w:eastAsia="Arial" w:hAnsi="Arial"/>
          <w:sz w:val="18"/>
          <w:szCs w:val="18"/>
          <w:color w:val="auto"/>
        </w:rPr>
        <w:t xml:space="preserve"> for additional information.</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We are subject to income taxes in the jurisdictions where we operate or otherwise have a taxable presence. Consequently, income tax expense is driven by the allocation of taxable income to those jurisdictions. Activities performed in each jurisdiction impact the magnitude and timing of taxable events.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Discussion of Results of Operations</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Financial data is expressed in thousands of U.S. dollars. The following tables summarize our historical consolidated statements of net loss and comprehensive loss in dollar amounts and as a percentage of revenue: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center"/>
              <w:ind w:right="3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8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2016</w:t>
            </w:r>
          </w:p>
        </w:tc>
        <w:tc>
          <w:tcPr>
            <w:tcW w:w="1320" w:type="dxa"/>
            <w:vAlign w:val="bottom"/>
            <w:tcBorders>
              <w:bottom w:val="single" w:sz="8" w:color="auto"/>
            </w:tcBorders>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2017</w:t>
            </w:r>
          </w:p>
        </w:tc>
        <w:tc>
          <w:tcPr>
            <w:tcW w:w="1180" w:type="dxa"/>
            <w:vAlign w:val="bottom"/>
            <w:tcBorders>
              <w:bottom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10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3"/>
          </w:tcPr>
          <w:p>
            <w:pPr>
              <w:jc w:val="center"/>
              <w:ind w:right="30"/>
              <w:spacing w:after="0" w:line="155" w:lineRule="exact"/>
              <w:rPr>
                <w:sz w:val="20"/>
                <w:szCs w:val="20"/>
                <w:color w:val="auto"/>
              </w:rPr>
            </w:pPr>
            <w:r>
              <w:rPr>
                <w:rFonts w:ascii="Arial" w:cs="Arial" w:eastAsia="Arial" w:hAnsi="Arial"/>
                <w:sz w:val="14"/>
                <w:szCs w:val="14"/>
                <w:b w:val="1"/>
                <w:bCs w:val="1"/>
                <w:color w:val="auto"/>
              </w:rPr>
              <w:t>(unaudited)</w:t>
            </w: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Net Loss Data:</w:t>
            </w:r>
          </w:p>
        </w:tc>
        <w:tc>
          <w:tcPr>
            <w:tcW w:w="1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222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$12,644</w:t>
            </w:r>
          </w:p>
        </w:tc>
        <w:tc>
          <w:tcPr>
            <w:tcW w:w="13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$20,538</w:t>
            </w: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w w:val="97"/>
              </w:rPr>
              <w:t>5,027</w:t>
            </w: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$ 7,808</w:t>
            </w: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4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9,974</w:t>
            </w:r>
          </w:p>
        </w:tc>
        <w:tc>
          <w:tcPr>
            <w:tcW w:w="5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9,161</w:t>
            </w:r>
          </w:p>
        </w:tc>
        <w:tc>
          <w:tcPr>
            <w:tcW w:w="5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97"/>
              </w:rPr>
              <w:t>2,259</w:t>
            </w:r>
          </w:p>
        </w:tc>
        <w:tc>
          <w:tcPr>
            <w:tcW w:w="3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3,912</w:t>
            </w:r>
          </w:p>
        </w:tc>
      </w:tr>
      <w:tr>
        <w:trPr>
          <w:trHeight w:val="217"/>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Gross margin</w:t>
            </w:r>
          </w:p>
        </w:tc>
        <w:tc>
          <w:tcPr>
            <w:tcW w:w="1440" w:type="dxa"/>
            <w:vAlign w:val="bottom"/>
          </w:tcPr>
          <w:p>
            <w:pPr>
              <w:spacing w:after="0"/>
              <w:rPr>
                <w:sz w:val="18"/>
                <w:szCs w:val="18"/>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2,670</w:t>
            </w:r>
          </w:p>
        </w:tc>
        <w:tc>
          <w:tcPr>
            <w:tcW w:w="540" w:type="dxa"/>
            <w:vAlign w:val="bottom"/>
          </w:tcPr>
          <w:p>
            <w:pPr>
              <w:spacing w:after="0"/>
              <w:rPr>
                <w:sz w:val="18"/>
                <w:szCs w:val="18"/>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11,377</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2,768</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3,896</w:t>
            </w: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220" w:type="dxa"/>
            <w:vAlign w:val="bottom"/>
            <w:gridSpan w:val="2"/>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1,136</w:t>
            </w:r>
          </w:p>
        </w:tc>
        <w:tc>
          <w:tcPr>
            <w:tcW w:w="1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3,171</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663</w:t>
            </w:r>
          </w:p>
        </w:tc>
        <w:tc>
          <w:tcPr>
            <w:tcW w:w="118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975</w:t>
            </w:r>
          </w:p>
        </w:tc>
      </w:tr>
      <w:tr>
        <w:trPr>
          <w:trHeight w:val="203"/>
        </w:trPr>
        <w:tc>
          <w:tcPr>
            <w:tcW w:w="2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222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3,599</w:t>
            </w:r>
          </w:p>
        </w:tc>
        <w:tc>
          <w:tcPr>
            <w:tcW w:w="13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7,164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928</w:t>
            </w: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2,263</w:t>
            </w: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4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4,984</w:t>
            </w:r>
          </w:p>
        </w:tc>
        <w:tc>
          <w:tcPr>
            <w:tcW w:w="5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8,540</w:t>
            </w:r>
          </w:p>
        </w:tc>
        <w:tc>
          <w:tcPr>
            <w:tcW w:w="5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97"/>
              </w:rPr>
              <w:t>1,565</w:t>
            </w:r>
          </w:p>
        </w:tc>
        <w:tc>
          <w:tcPr>
            <w:tcW w:w="3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4,398</w:t>
            </w:r>
          </w:p>
        </w:tc>
      </w:tr>
      <w:tr>
        <w:trPr>
          <w:trHeight w:val="217"/>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5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(3,740)</w:t>
            </w:r>
          </w:p>
        </w:tc>
      </w:tr>
      <w:tr>
        <w:trPr>
          <w:trHeight w:val="203"/>
        </w:trPr>
        <w:tc>
          <w:tcPr>
            <w:tcW w:w="20" w:type="dxa"/>
            <w:vAlign w:val="bottom"/>
          </w:tcPr>
          <w:p>
            <w:pPr>
              <w:spacing w:after="0"/>
              <w:rPr>
                <w:sz w:val="17"/>
                <w:szCs w:val="17"/>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loss (gain), net</w:t>
            </w:r>
          </w:p>
        </w:tc>
        <w:tc>
          <w:tcPr>
            <w:tcW w:w="2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(1,363)</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w:t>
            </w:r>
          </w:p>
        </w:tc>
        <w:tc>
          <w:tcPr>
            <w:tcW w:w="118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1,146</w:t>
            </w:r>
          </w:p>
        </w:tc>
      </w:tr>
      <w:tr>
        <w:trPr>
          <w:trHeight w:val="203"/>
        </w:trPr>
        <w:tc>
          <w:tcPr>
            <w:tcW w:w="2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220" w:type="dxa"/>
            <w:vAlign w:val="bottom"/>
            <w:gridSpan w:val="2"/>
          </w:tcPr>
          <w:p>
            <w:pPr>
              <w:jc w:val="right"/>
              <w:ind w:right="38"/>
              <w:spacing w:after="0" w:line="202" w:lineRule="exact"/>
              <w:rPr>
                <w:sz w:val="20"/>
                <w:szCs w:val="20"/>
                <w:color w:val="auto"/>
              </w:rPr>
            </w:pPr>
            <w:r>
              <w:rPr>
                <w:rFonts w:ascii="Arial" w:cs="Arial" w:eastAsia="Arial" w:hAnsi="Arial"/>
                <w:sz w:val="18"/>
                <w:szCs w:val="18"/>
                <w:color w:val="auto"/>
              </w:rPr>
              <w:t>1,019</w:t>
            </w:r>
          </w:p>
        </w:tc>
        <w:tc>
          <w:tcPr>
            <w:tcW w:w="13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1,686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496</w:t>
            </w:r>
          </w:p>
        </w:tc>
        <w:tc>
          <w:tcPr>
            <w:tcW w:w="11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416</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r>
      <w:tr>
        <w:trPr>
          <w:trHeight w:val="210"/>
        </w:trPr>
        <w:tc>
          <w:tcPr>
            <w:tcW w:w="20" w:type="dxa"/>
            <w:vAlign w:val="bottom"/>
          </w:tcPr>
          <w:p>
            <w:pPr>
              <w:spacing w:after="0"/>
              <w:rPr>
                <w:sz w:val="18"/>
                <w:szCs w:val="18"/>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(7,883)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(7,809)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(679)</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$(5,181)</w:t>
            </w: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p>
        </w:tc>
        <w:tc>
          <w:tcPr>
            <w:tcW w:w="1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(5,002)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 (5,506)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192</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$(3,230)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See the section titled “</w:t>
      </w:r>
      <w:r>
        <w:rPr>
          <w:rFonts w:ascii="Arial" w:cs="Arial" w:eastAsia="Arial" w:hAnsi="Arial"/>
          <w:sz w:val="18"/>
          <w:szCs w:val="18"/>
          <w:i w:val="1"/>
          <w:iCs w:val="1"/>
          <w:color w:val="auto"/>
        </w:rPr>
        <w:t>Selected Consolidated Financial Data</w:t>
      </w:r>
      <w:r>
        <w:rPr>
          <w:rFonts w:ascii="Arial" w:cs="Arial" w:eastAsia="Arial" w:hAnsi="Arial"/>
          <w:sz w:val="18"/>
          <w:szCs w:val="18"/>
          <w:color w:val="auto"/>
        </w:rPr>
        <w:t>” for more information and for a reconciliation of Adjusted EBITDA.</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8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w w:val="98"/>
              </w:rPr>
              <w:t>Year Ended</w:t>
            </w:r>
          </w:p>
        </w:tc>
        <w:tc>
          <w:tcPr>
            <w:tcW w:w="680" w:type="dxa"/>
            <w:vAlign w:val="bottom"/>
          </w:tcPr>
          <w:p>
            <w:pPr>
              <w:spacing w:after="0"/>
              <w:rPr>
                <w:sz w:val="16"/>
                <w:szCs w:val="16"/>
                <w:color w:val="auto"/>
              </w:rPr>
            </w:pPr>
          </w:p>
        </w:tc>
        <w:tc>
          <w:tcPr>
            <w:tcW w:w="20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580" w:type="dxa"/>
            <w:vAlign w:val="bottom"/>
            <w:tcBorders>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rPr>
              <w:t>2016</w:t>
            </w:r>
          </w:p>
        </w:tc>
        <w:tc>
          <w:tcPr>
            <w:tcW w:w="1380" w:type="dxa"/>
            <w:vAlign w:val="bottom"/>
            <w:tcBorders>
              <w:bottom w:val="single" w:sz="8" w:color="auto"/>
            </w:tcBorders>
            <w:gridSpan w:val="3"/>
          </w:tcPr>
          <w:p>
            <w:pPr>
              <w:jc w:val="right"/>
              <w:ind w:right="74"/>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40" w:type="dxa"/>
            <w:vAlign w:val="bottom"/>
            <w:gridSpan w:val="5"/>
          </w:tcPr>
          <w:p>
            <w:pPr>
              <w:ind w:left="40"/>
              <w:spacing w:after="0" w:line="143" w:lineRule="exact"/>
              <w:rPr>
                <w:sz w:val="20"/>
                <w:szCs w:val="20"/>
                <w:color w:val="auto"/>
              </w:rPr>
            </w:pPr>
            <w:r>
              <w:rPr>
                <w:rFonts w:ascii="Arial" w:cs="Arial" w:eastAsia="Arial" w:hAnsi="Arial"/>
                <w:sz w:val="14"/>
                <w:szCs w:val="14"/>
                <w:b w:val="1"/>
                <w:bCs w:val="1"/>
                <w:color w:val="auto"/>
              </w:rPr>
              <w:t>(as a percentage of revenue)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380" w:type="dxa"/>
            <w:vAlign w:val="bottom"/>
            <w:gridSpan w:val="3"/>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58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79</w:t>
            </w:r>
          </w:p>
        </w:tc>
        <w:tc>
          <w:tcPr>
            <w:tcW w:w="6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45</w:t>
            </w:r>
          </w:p>
        </w:tc>
        <w:tc>
          <w:tcPr>
            <w:tcW w:w="680" w:type="dxa"/>
            <w:vAlign w:val="bottom"/>
          </w:tcPr>
          <w:p>
            <w:pPr>
              <w:spacing w:after="0"/>
              <w:rPr>
                <w:sz w:val="18"/>
                <w:szCs w:val="18"/>
                <w:color w:val="auto"/>
              </w:rPr>
            </w:pPr>
          </w:p>
        </w:tc>
        <w:tc>
          <w:tcPr>
            <w:tcW w:w="680" w:type="dxa"/>
            <w:vAlign w:val="bottom"/>
            <w:tcBorders>
              <w:bottom w:val="single" w:sz="8" w:color="auto"/>
            </w:tcBorders>
          </w:tcPr>
          <w:p>
            <w:pPr>
              <w:jc w:val="right"/>
              <w:ind w:right="238"/>
              <w:spacing w:after="0" w:line="202" w:lineRule="exact"/>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1"/>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Gross Margin</w:t>
            </w:r>
          </w:p>
        </w:tc>
        <w:tc>
          <w:tcPr>
            <w:tcW w:w="580" w:type="dxa"/>
            <w:vAlign w:val="bottom"/>
            <w:tcBorders>
              <w:bottom w:val="single" w:sz="8" w:color="auto"/>
            </w:tcBorders>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21</w:t>
            </w:r>
          </w:p>
        </w:tc>
        <w:tc>
          <w:tcPr>
            <w:tcW w:w="60" w:type="dxa"/>
            <w:vAlign w:val="bottom"/>
            <w:tcBorders>
              <w:bottom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55</w:t>
            </w:r>
          </w:p>
        </w:tc>
        <w:tc>
          <w:tcPr>
            <w:tcW w:w="68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38"/>
              <w:spacing w:after="0" w:line="202" w:lineRule="exact"/>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580" w:type="dxa"/>
            <w:vAlign w:val="bottom"/>
          </w:tcPr>
          <w:p>
            <w:pPr>
              <w:jc w:val="right"/>
              <w:ind w:right="153"/>
              <w:spacing w:after="0"/>
              <w:rPr>
                <w:sz w:val="20"/>
                <w:szCs w:val="20"/>
                <w:color w:val="auto"/>
              </w:rPr>
            </w:pPr>
            <w:r>
              <w:rPr>
                <w:rFonts w:ascii="Arial" w:cs="Arial" w:eastAsia="Arial" w:hAnsi="Arial"/>
                <w:sz w:val="18"/>
                <w:szCs w:val="18"/>
                <w:color w:val="auto"/>
              </w:rPr>
              <w:t>9</w:t>
            </w:r>
          </w:p>
        </w:tc>
        <w:tc>
          <w:tcPr>
            <w:tcW w:w="1380" w:type="dxa"/>
            <w:vAlign w:val="bottom"/>
            <w:gridSpan w:val="3"/>
          </w:tcPr>
          <w:p>
            <w:pPr>
              <w:jc w:val="right"/>
              <w:ind w:right="194"/>
              <w:spacing w:after="0"/>
              <w:rPr>
                <w:sz w:val="20"/>
                <w:szCs w:val="20"/>
                <w:color w:val="auto"/>
              </w:rPr>
            </w:pPr>
            <w:r>
              <w:rPr>
                <w:rFonts w:ascii="Arial" w:cs="Arial" w:eastAsia="Arial" w:hAnsi="Arial"/>
                <w:sz w:val="18"/>
                <w:szCs w:val="18"/>
                <w:color w:val="auto"/>
              </w:rPr>
              <w:t>15</w:t>
            </w:r>
          </w:p>
        </w:tc>
        <w:tc>
          <w:tcPr>
            <w:tcW w:w="1360" w:type="dxa"/>
            <w:vAlign w:val="bottom"/>
            <w:gridSpan w:val="2"/>
          </w:tcPr>
          <w:p>
            <w:pPr>
              <w:jc w:val="right"/>
              <w:ind w:right="238"/>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2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5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28</w:t>
            </w:r>
          </w:p>
        </w:tc>
        <w:tc>
          <w:tcPr>
            <w:tcW w:w="1380" w:type="dxa"/>
            <w:vAlign w:val="bottom"/>
            <w:gridSpan w:val="3"/>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238"/>
              <w:spacing w:after="0" w:line="202" w:lineRule="exact"/>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58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39</w:t>
            </w:r>
          </w:p>
        </w:tc>
        <w:tc>
          <w:tcPr>
            <w:tcW w:w="6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42</w:t>
            </w:r>
          </w:p>
        </w:tc>
        <w:tc>
          <w:tcPr>
            <w:tcW w:w="680" w:type="dxa"/>
            <w:vAlign w:val="bottom"/>
          </w:tcPr>
          <w:p>
            <w:pPr>
              <w:spacing w:after="0"/>
              <w:rPr>
                <w:sz w:val="18"/>
                <w:szCs w:val="18"/>
                <w:color w:val="auto"/>
              </w:rPr>
            </w:pPr>
          </w:p>
        </w:tc>
        <w:tc>
          <w:tcPr>
            <w:tcW w:w="680" w:type="dxa"/>
            <w:vAlign w:val="bottom"/>
            <w:tcBorders>
              <w:bottom w:val="single" w:sz="8" w:color="auto"/>
            </w:tcBorders>
          </w:tcPr>
          <w:p>
            <w:pPr>
              <w:jc w:val="right"/>
              <w:ind w:right="238"/>
              <w:spacing w:after="0" w:line="202" w:lineRule="exact"/>
              <w:rPr>
                <w:sz w:val="20"/>
                <w:szCs w:val="20"/>
                <w:color w:val="auto"/>
              </w:rPr>
            </w:pPr>
            <w:r>
              <w:rPr>
                <w:rFonts w:ascii="Arial" w:cs="Arial" w:eastAsia="Arial" w:hAnsi="Arial"/>
                <w:sz w:val="18"/>
                <w:szCs w:val="18"/>
                <w:color w:val="auto"/>
              </w:rPr>
              <w:t>31</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1"/>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58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(56)</w:t>
            </w:r>
          </w:p>
        </w:tc>
        <w:tc>
          <w:tcPr>
            <w:tcW w:w="1380" w:type="dxa"/>
            <w:vAlign w:val="bottom"/>
            <w:gridSpan w:val="3"/>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(37)</w:t>
            </w:r>
          </w:p>
        </w:tc>
        <w:tc>
          <w:tcPr>
            <w:tcW w:w="1360" w:type="dxa"/>
            <w:vAlign w:val="bottom"/>
            <w:gridSpan w:val="2"/>
            <w:shd w:val="clear" w:color="auto" w:fill="CCEEFF"/>
          </w:tcPr>
          <w:p>
            <w:pPr>
              <w:jc w:val="right"/>
              <w:ind w:right="178"/>
              <w:spacing w:after="0" w:line="202" w:lineRule="exact"/>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11"/>
        </w:trPr>
        <w:tc>
          <w:tcPr>
            <w:tcW w:w="6340" w:type="dxa"/>
            <w:vAlign w:val="bottom"/>
            <w:gridSpan w:val="2"/>
          </w:tcPr>
          <w:p>
            <w:pPr>
              <w:spacing w:after="0"/>
              <w:rPr>
                <w:sz w:val="20"/>
                <w:szCs w:val="20"/>
                <w:color w:val="auto"/>
              </w:rPr>
            </w:pPr>
            <w:r>
              <w:rPr>
                <w:rFonts w:ascii="Arial" w:cs="Arial" w:eastAsia="Arial" w:hAnsi="Arial"/>
                <w:sz w:val="18"/>
                <w:szCs w:val="18"/>
                <w:color w:val="auto"/>
              </w:rPr>
              <w:t>Foreign exchange loss (gain), net</w:t>
            </w:r>
          </w:p>
        </w:tc>
        <w:tc>
          <w:tcPr>
            <w:tcW w:w="58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380" w:type="dxa"/>
            <w:vAlign w:val="bottom"/>
            <w:gridSpan w:val="3"/>
          </w:tcPr>
          <w:p>
            <w:pPr>
              <w:jc w:val="right"/>
              <w:ind w:right="134"/>
              <w:spacing w:after="0"/>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178"/>
              <w:spacing w:after="0"/>
              <w:rPr>
                <w:sz w:val="20"/>
                <w:szCs w:val="20"/>
                <w:color w:val="auto"/>
              </w:rPr>
            </w:pPr>
            <w:r>
              <w:rPr>
                <w:rFonts w:ascii="Arial" w:cs="Arial" w:eastAsia="Arial" w:hAnsi="Arial"/>
                <w:sz w:val="18"/>
                <w:szCs w:val="18"/>
                <w:color w:val="auto"/>
              </w:rPr>
              <w:t>(4)</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2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ind w:right="153"/>
              <w:spacing w:after="0" w:line="202" w:lineRule="exact"/>
              <w:rPr>
                <w:sz w:val="20"/>
                <w:szCs w:val="20"/>
                <w:color w:val="auto"/>
              </w:rPr>
            </w:pPr>
            <w:r>
              <w:rPr>
                <w:rFonts w:ascii="Arial" w:cs="Arial" w:eastAsia="Arial" w:hAnsi="Arial"/>
                <w:sz w:val="18"/>
                <w:szCs w:val="18"/>
                <w:color w:val="auto"/>
              </w:rPr>
              <w:t>8</w:t>
            </w:r>
          </w:p>
        </w:tc>
        <w:tc>
          <w:tcPr>
            <w:tcW w:w="1380" w:type="dxa"/>
            <w:vAlign w:val="bottom"/>
            <w:gridSpan w:val="3"/>
            <w:shd w:val="clear" w:color="auto" w:fill="CCEEFF"/>
          </w:tcPr>
          <w:p>
            <w:pPr>
              <w:jc w:val="right"/>
              <w:ind w:right="194"/>
              <w:spacing w:after="0" w:line="202" w:lineRule="exact"/>
              <w:rPr>
                <w:sz w:val="20"/>
                <w:szCs w:val="20"/>
                <w:color w:val="auto"/>
              </w:rPr>
            </w:pPr>
            <w:r>
              <w:rPr>
                <w:rFonts w:ascii="Arial" w:cs="Arial" w:eastAsia="Arial" w:hAnsi="Arial"/>
                <w:sz w:val="18"/>
                <w:szCs w:val="18"/>
                <w:color w:val="auto"/>
              </w:rPr>
              <w:t>8</w:t>
            </w:r>
          </w:p>
        </w:tc>
        <w:tc>
          <w:tcPr>
            <w:tcW w:w="1360" w:type="dxa"/>
            <w:vAlign w:val="bottom"/>
            <w:gridSpan w:val="2"/>
            <w:shd w:val="clear" w:color="auto" w:fill="CCEEFF"/>
          </w:tcPr>
          <w:p>
            <w:pPr>
              <w:jc w:val="right"/>
              <w:ind w:right="238"/>
              <w:spacing w:after="0" w:line="202" w:lineRule="exact"/>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3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58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Borders>
              <w:bottom w:val="single" w:sz="8" w:color="auto"/>
            </w:tcBorders>
          </w:tcPr>
          <w:p>
            <w:pPr>
              <w:jc w:val="right"/>
              <w:ind w:right="194"/>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80" w:type="dxa"/>
            <w:vAlign w:val="bottom"/>
            <w:tcBorders>
              <w:bottom w:val="single" w:sz="8" w:color="auto"/>
            </w:tcBorders>
          </w:tcPr>
          <w:p>
            <w:pPr>
              <w:jc w:val="right"/>
              <w:ind w:right="238"/>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loss</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Financial Data</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EEFF"/>
          </w:tcPr>
          <w:p>
            <w:pPr>
              <w:jc w:val="right"/>
              <w:ind w:right="78"/>
              <w:spacing w:after="0" w:line="202" w:lineRule="exact"/>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520" w:hanging="316"/>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less than one percent.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Three Months Ended March 31, 2017 and 2018 (unaudited)</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2017</w:t>
            </w:r>
          </w:p>
        </w:tc>
        <w:tc>
          <w:tcPr>
            <w:tcW w:w="98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3"/>
                <w:szCs w:val="13"/>
                <w:color w:val="auto"/>
              </w:rPr>
            </w:pPr>
          </w:p>
        </w:tc>
        <w:tc>
          <w:tcPr>
            <w:tcW w:w="1180" w:type="dxa"/>
            <w:vAlign w:val="bottom"/>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5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(dollars in thousands, except percentages)</w:t>
            </w:r>
          </w:p>
        </w:tc>
        <w:tc>
          <w:tcPr>
            <w:tcW w:w="54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2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$ 5,027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$ 7,808</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$ 2,781</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55%</w:t>
            </w:r>
          </w:p>
        </w:tc>
      </w:tr>
    </w:tbl>
    <w:p>
      <w:pPr>
        <w:spacing w:after="0" w:line="21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Revenue growth was driven by increased patient demand, bulk sales to other Licensed Producers and wholesale distribution in export markets. In January 2018, we launched high CBD oil drops, which helped drive extract sales in Canada. Our extract products revenue was $3.1 million for the three months ended March 31, 2018 compared to $1.0 million for the three months ended March 31, 2017. On a percentage of revenue basis, extract products accounted for 40% of revenue for the first quarter of 2018 and 20% of revenue for the first quarter of 2017.</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For the three months ended March 31, 2018, total kilogram equivalents sold increased by 421 kilograms, or 48%, as compared with the same period in 2017. The average net selling price per gram increased from $5.53 to $5.94 for the three months ended March 31, 2017 and 2018, respectively. The positive factors that contributed to this metric, which were higher potency dried flower and extract sales, were partially offset by our revenue generated through the wholesale channel. We expect the average net selling price per gram to decline going forward as we shift from primarily a DTP sales channel under the ACMPR to wholesale channels serving the anticipated adult-use market in Canada and developing international medical-use markets.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sales and gross margin</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11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980" w:type="dxa"/>
            <w:vAlign w:val="bottom"/>
          </w:tcPr>
          <w:p>
            <w:pPr>
              <w:jc w:val="right"/>
              <w:ind w:right="368"/>
              <w:spacing w:after="0" w:line="155" w:lineRule="exact"/>
              <w:rPr>
                <w:sz w:val="20"/>
                <w:szCs w:val="20"/>
                <w:color w:val="auto"/>
              </w:rPr>
            </w:pPr>
            <w:r>
              <w:rPr>
                <w:rFonts w:ascii="Arial" w:cs="Arial" w:eastAsia="Arial" w:hAnsi="Arial"/>
                <w:sz w:val="14"/>
                <w:szCs w:val="14"/>
                <w:b w:val="1"/>
                <w:bCs w:val="1"/>
                <w:color w:val="auto"/>
              </w:rPr>
              <w:t>2017</w:t>
            </w:r>
          </w:p>
        </w:tc>
        <w:tc>
          <w:tcPr>
            <w:tcW w:w="106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3"/>
                <w:szCs w:val="13"/>
                <w:color w:val="auto"/>
              </w:rPr>
            </w:pPr>
          </w:p>
        </w:tc>
        <w:tc>
          <w:tcPr>
            <w:tcW w:w="11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t>
            </w: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4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64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thousands, except percentages)</w:t>
            </w:r>
          </w:p>
        </w:tc>
        <w:tc>
          <w:tcPr>
            <w:tcW w:w="4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440" w:type="dxa"/>
            <w:vAlign w:val="bottom"/>
            <w:gridSpan w:val="2"/>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$2,259</w:t>
            </w:r>
          </w:p>
        </w:tc>
        <w:tc>
          <w:tcPr>
            <w:tcW w:w="106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$3,912</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$1,653</w:t>
            </w: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73%</w:t>
            </w: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344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2,768</w:t>
            </w:r>
          </w:p>
        </w:tc>
        <w:tc>
          <w:tcPr>
            <w:tcW w:w="106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3,896</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1,128</w:t>
            </w:r>
          </w:p>
        </w:tc>
        <w:tc>
          <w:tcPr>
            <w:tcW w:w="480" w:type="dxa"/>
            <w:vAlign w:val="bottom"/>
          </w:tcPr>
          <w:p>
            <w:pPr>
              <w:spacing w:after="0"/>
              <w:rPr>
                <w:sz w:val="17"/>
                <w:szCs w:val="17"/>
                <w:color w:val="auto"/>
              </w:rPr>
            </w:pPr>
          </w:p>
        </w:tc>
        <w:tc>
          <w:tcPr>
            <w:tcW w:w="480" w:type="dxa"/>
            <w:vAlign w:val="bottom"/>
          </w:tcPr>
          <w:p>
            <w:pPr>
              <w:jc w:val="center"/>
              <w:spacing w:after="0" w:line="202" w:lineRule="exact"/>
              <w:rPr>
                <w:sz w:val="20"/>
                <w:szCs w:val="20"/>
                <w:color w:val="auto"/>
              </w:rPr>
            </w:pPr>
            <w:r>
              <w:rPr>
                <w:rFonts w:ascii="Arial" w:cs="Arial" w:eastAsia="Arial" w:hAnsi="Arial"/>
                <w:sz w:val="18"/>
                <w:szCs w:val="18"/>
                <w:color w:val="auto"/>
                <w:w w:val="99"/>
              </w:rPr>
              <w:t>41%</w:t>
            </w: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percentage</w:t>
            </w:r>
          </w:p>
        </w:tc>
        <w:tc>
          <w:tcPr>
            <w:tcW w:w="344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55%</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bl>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the three months ended March 31, 2018, cost of sales increased by $1.7 million, or 73%, as compared to the same period in 2017.</w:t>
      </w:r>
    </w:p>
    <w:p>
      <w:pPr>
        <w:ind w:left="200"/>
        <w:spacing w:after="0" w:line="234" w:lineRule="auto"/>
        <w:rPr>
          <w:sz w:val="20"/>
          <w:szCs w:val="20"/>
          <w:color w:val="auto"/>
        </w:rPr>
      </w:pPr>
      <w:r>
        <w:rPr>
          <w:rFonts w:ascii="Arial" w:cs="Arial" w:eastAsia="Arial" w:hAnsi="Arial"/>
          <w:sz w:val="18"/>
          <w:szCs w:val="18"/>
          <w:color w:val="auto"/>
        </w:rPr>
        <w:t>Gross margin for the same period increased by $1.1 million, or 41%. This represents a gross margin of 50% for the three months ended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31, 2018 as compared to 55% in the same period in 2017.</w:t>
      </w:r>
    </w:p>
    <w:p>
      <w:pPr>
        <w:spacing w:after="0" w:line="21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decline in gross margin was primarily attributable to no longer charging patients for freight and procuring cannabis through third parties. The results can be explained by our pre-harvest, post-harvest and shipment and fulfillment per gram metrics. For the three months ended March 31, 2018, our pre-harvest cost per gram increased to $0.83 compared to $0.48 in the same period in 2017 mainly due to increased headcount, and an increase in depreciation of production equipment and upgrade improvements related to the flowering rooms. For the three months ended March 31, 2018, our post-harvest cost per gram increased to $1.59 compared to $1.36 in the same period in 2017 mainly due to procurement of third party supply. For the three months ended March 31, 2018, our shipment and fulfillment cost per gram improved to $0.39 compared to $0.66 in the same period in 2017 mainly due to a larger portion of our revenue being attributable to wholesale channels. We believe that our pre-harvest cost per gram should improve as we bring on large-scale greenhouse growing operations in Canada and Portugal.</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Expenses</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40" w:type="dxa"/>
            <w:vAlign w:val="bottom"/>
          </w:tcPr>
          <w:p>
            <w:pPr>
              <w:jc w:val="right"/>
              <w:ind w:right="2"/>
              <w:spacing w:after="0" w:line="155" w:lineRule="exact"/>
              <w:rPr>
                <w:sz w:val="20"/>
                <w:szCs w:val="20"/>
                <w:color w:val="auto"/>
              </w:rPr>
            </w:pPr>
            <w:r>
              <w:rPr>
                <w:rFonts w:ascii="Arial" w:cs="Arial" w:eastAsia="Arial" w:hAnsi="Arial"/>
                <w:sz w:val="14"/>
                <w:szCs w:val="14"/>
                <w:b w:val="1"/>
                <w:bCs w:val="1"/>
                <w:color w:val="auto"/>
              </w:rPr>
              <w:t>2017</w:t>
            </w:r>
          </w:p>
        </w:tc>
        <w:tc>
          <w:tcPr>
            <w:tcW w:w="1560" w:type="dxa"/>
            <w:vAlign w:val="bottom"/>
            <w:gridSpan w:val="3"/>
          </w:tcPr>
          <w:p>
            <w:pPr>
              <w:jc w:val="right"/>
              <w:ind w:right="150"/>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58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center"/>
              <w:ind w:right="570"/>
              <w:spacing w:after="0" w:line="143" w:lineRule="exact"/>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thousands, except percentages)</w:t>
            </w:r>
          </w:p>
        </w:tc>
        <w:tc>
          <w:tcPr>
            <w:tcW w:w="5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320" w:type="dxa"/>
            <w:vAlign w:val="bottom"/>
            <w:gridSpan w:val="2"/>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  663</w:t>
            </w:r>
          </w:p>
        </w:tc>
        <w:tc>
          <w:tcPr>
            <w:tcW w:w="1560" w:type="dxa"/>
            <w:vAlign w:val="bottom"/>
            <w:gridSpan w:val="3"/>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  975</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312</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2320" w:type="dxa"/>
            <w:vAlign w:val="bottom"/>
            <w:gridSpan w:val="2"/>
          </w:tcPr>
          <w:p>
            <w:pPr>
              <w:jc w:val="right"/>
              <w:ind w:right="2"/>
              <w:spacing w:after="0" w:line="202" w:lineRule="exact"/>
              <w:rPr>
                <w:sz w:val="20"/>
                <w:szCs w:val="20"/>
                <w:color w:val="auto"/>
              </w:rPr>
            </w:pPr>
            <w:r>
              <w:rPr>
                <w:rFonts w:ascii="Arial" w:cs="Arial" w:eastAsia="Arial" w:hAnsi="Arial"/>
                <w:sz w:val="18"/>
                <w:szCs w:val="18"/>
                <w:color w:val="auto"/>
              </w:rPr>
              <w:t>928</w:t>
            </w:r>
          </w:p>
        </w:tc>
        <w:tc>
          <w:tcPr>
            <w:tcW w:w="156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2,263</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1,335</w:t>
            </w:r>
          </w:p>
        </w:tc>
        <w:tc>
          <w:tcPr>
            <w:tcW w:w="6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6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rPr>
              <w:t>1,565</w:t>
            </w: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4,398</w:t>
            </w:r>
          </w:p>
        </w:tc>
        <w:tc>
          <w:tcPr>
            <w:tcW w:w="6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2,833</w:t>
            </w:r>
          </w:p>
        </w:tc>
        <w:tc>
          <w:tcPr>
            <w:tcW w:w="6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w:t>
            </w:r>
          </w:p>
        </w:tc>
      </w:tr>
      <w:tr>
        <w:trPr>
          <w:trHeight w:val="210"/>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320" w:type="dxa"/>
            <w:vAlign w:val="bottom"/>
            <w:gridSpan w:val="2"/>
          </w:tcPr>
          <w:p>
            <w:pPr>
              <w:jc w:val="right"/>
              <w:ind w:right="2"/>
              <w:spacing w:after="0"/>
              <w:rPr>
                <w:sz w:val="20"/>
                <w:szCs w:val="20"/>
                <w:color w:val="auto"/>
              </w:rPr>
            </w:pPr>
            <w:r>
              <w:rPr>
                <w:rFonts w:ascii="Arial" w:cs="Arial" w:eastAsia="Arial" w:hAnsi="Arial"/>
                <w:sz w:val="18"/>
                <w:szCs w:val="18"/>
                <w:color w:val="auto"/>
              </w:rPr>
              <w:t>3,156</w:t>
            </w:r>
          </w:p>
        </w:tc>
        <w:tc>
          <w:tcPr>
            <w:tcW w:w="1560" w:type="dxa"/>
            <w:vAlign w:val="bottom"/>
            <w:gridSpan w:val="3"/>
          </w:tcPr>
          <w:p>
            <w:pPr>
              <w:jc w:val="right"/>
              <w:ind w:right="130"/>
              <w:spacing w:after="0"/>
              <w:rPr>
                <w:sz w:val="20"/>
                <w:szCs w:val="20"/>
                <w:color w:val="auto"/>
              </w:rPr>
            </w:pPr>
            <w:r>
              <w:rPr>
                <w:rFonts w:ascii="Arial" w:cs="Arial" w:eastAsia="Arial" w:hAnsi="Arial"/>
                <w:sz w:val="18"/>
                <w:szCs w:val="18"/>
                <w:color w:val="auto"/>
              </w:rPr>
              <w:t>7,636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4,480</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Percentage of revenue</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w:t>
            </w:r>
          </w:p>
        </w:tc>
        <w:tc>
          <w:tcPr>
            <w:tcW w:w="2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4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w:t>
            </w:r>
          </w:p>
        </w:tc>
        <w:tc>
          <w:tcPr>
            <w:tcW w:w="24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24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the three months ended March 31, 2018, research and development expenses increased by $ 0.3 million, or 47%, as compared with the same period in 2017. The increase was primarily attributable to an increase in management fees charged by Privateer Holdings for packaging design and product consulting for the anticipated adult-use market. We expect our research and development expenses to increase as we pursue more clinical trial opportunities and continue to invest in developing non-combustible delivery formats and formulations.</w:t>
      </w:r>
    </w:p>
    <w:p>
      <w:pPr>
        <w:spacing w:after="0" w:line="203"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In the three months ended March 31, 2018, sales and marketing expenses increased by $1.3 million, or 144%, as compared with the same period in 2017. The increase was primarily attributable to a $0.5 million increase in sales and marketing costs associated with Tilray Germany and Tilray Australia, $0.4 million due to headcount related expenses and $0.4 million due to increased sales and promotional expenses related to Tilray Canada. We expect our overall sales and marketing expenses to increase as we expand into newly regulated federal cannabis markets.</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three months ended March 31, 2018, general and administrative expenses increased by $2.8 million, or 181%, as compared with the same period in 2017. The increase was attributable to a $1.2 million increase from professional fees related to legal, audit, human resource and IT services to support our growth and expansion plans as well as costs related to this offering. We also incurred $1.2 million for the startup of High Park Farms, High Park and Tilray Portugal and $0.4 million of fees charged by Privateer Holdings for additional support from key personnel related to operations at High Park Farms and High Park. We will continue to pursue international opportunities as part of our core strategy and invest in the governance and compliance resources necessary to operate in countries that implement federally regulated medical cannabis frameworks.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Foreign exchange gains and losses, net</w:t>
      </w:r>
    </w:p>
    <w:p>
      <w:pPr>
        <w:spacing w:after="0" w:line="122"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In the three months ended March 31, 2018, foreign exchange loss was $1.1 million compared to a $0.2 million gain recognized in same period in 2017. The decrease was related to foreign currency transaction losses on our Privateer Holdings debt facilities and current portion long-term debt.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expense</w:t>
      </w:r>
    </w:p>
    <w:p>
      <w:pPr>
        <w:spacing w:after="0" w:line="122"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In the three months ended March 31, 2018, interest expense was $0.4 million compared to a $0.5 million recognized in same period in 2017. Interest expense is related to existing Privateer Holdings debt facilities, which had nominal changes in balances.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loss and Adjusted EBITDA</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Amount</w:t>
            </w: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7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(dollars in thousands)</w:t>
            </w: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4000" w:type="dxa"/>
            <w:vAlign w:val="bottom"/>
            <w:gridSpan w:val="2"/>
            <w:shd w:val="clear" w:color="auto" w:fill="CCEEFF"/>
          </w:tcPr>
          <w:p>
            <w:pPr>
              <w:ind w:left="3420"/>
              <w:spacing w:after="0" w:line="202" w:lineRule="exact"/>
              <w:rPr>
                <w:sz w:val="20"/>
                <w:szCs w:val="20"/>
                <w:color w:val="auto"/>
              </w:rPr>
            </w:pPr>
            <w:r>
              <w:rPr>
                <w:rFonts w:ascii="Arial" w:cs="Arial" w:eastAsia="Arial" w:hAnsi="Arial"/>
                <w:sz w:val="18"/>
                <w:szCs w:val="18"/>
                <w:color w:val="auto"/>
              </w:rPr>
              <w:t>$(679)</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(5,181)</w:t>
            </w:r>
          </w:p>
        </w:tc>
        <w:tc>
          <w:tcPr>
            <w:tcW w:w="10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$(4,502)</w:t>
            </w:r>
          </w:p>
        </w:tc>
      </w:tr>
      <w:tr>
        <w:trPr>
          <w:trHeight w:val="217"/>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Adjusted EBITDA</w:t>
            </w:r>
          </w:p>
        </w:tc>
        <w:tc>
          <w:tcPr>
            <w:tcW w:w="4000" w:type="dxa"/>
            <w:vAlign w:val="bottom"/>
            <w:gridSpan w:val="2"/>
          </w:tcPr>
          <w:p>
            <w:pPr>
              <w:ind w:left="3420"/>
              <w:spacing w:after="0"/>
              <w:rPr>
                <w:sz w:val="20"/>
                <w:szCs w:val="20"/>
                <w:color w:val="auto"/>
              </w:rPr>
            </w:pPr>
            <w:r>
              <w:rPr>
                <w:rFonts w:ascii="Arial" w:cs="Arial" w:eastAsia="Arial" w:hAnsi="Arial"/>
                <w:sz w:val="18"/>
                <w:szCs w:val="18"/>
                <w:color w:val="auto"/>
              </w:rPr>
              <w:t>$ 192</w:t>
            </w:r>
          </w:p>
        </w:tc>
        <w:tc>
          <w:tcPr>
            <w:tcW w:w="1120" w:type="dxa"/>
            <w:vAlign w:val="bottom"/>
          </w:tcPr>
          <w:p>
            <w:pPr>
              <w:jc w:val="right"/>
              <w:spacing w:after="0"/>
              <w:rPr>
                <w:sz w:val="20"/>
                <w:szCs w:val="20"/>
                <w:color w:val="auto"/>
              </w:rPr>
            </w:pPr>
            <w:r>
              <w:rPr>
                <w:rFonts w:ascii="Arial" w:cs="Arial" w:eastAsia="Arial" w:hAnsi="Arial"/>
                <w:sz w:val="18"/>
                <w:szCs w:val="18"/>
                <w:color w:val="auto"/>
              </w:rPr>
              <w:t>$ (3,230)</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$(3,422)</w:t>
            </w:r>
          </w:p>
        </w:tc>
      </w:tr>
    </w:tbl>
    <w:p>
      <w:pPr>
        <w:spacing w:after="0" w:line="201"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In the three months ended March 31, 2018, net loss was $5.2 million compared to $0.7 million for same period in 2017. Adjusted EBITDA loss was $3.2 million and Adjusted EBITDA income was $ 0.2 million for the three months ended March 31, 2018 and 2017, respectively. Net loss and Adjusted EBITDA declined compared to the prior period primarily due to an increase in operating expenses related to continued growth, expansion of our international teams, and costs related to the offering.</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Years Ended December 31, 2016 and 2017</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9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2016</w:t>
            </w:r>
          </w:p>
        </w:tc>
        <w:tc>
          <w:tcPr>
            <w:tcW w:w="900" w:type="dxa"/>
            <w:vAlign w:val="bottom"/>
          </w:tcPr>
          <w:p>
            <w:pPr>
              <w:jc w:val="right"/>
              <w:ind w:right="119"/>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98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44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66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280" w:type="dxa"/>
            <w:vAlign w:val="bottom"/>
            <w:gridSpan w:val="2"/>
            <w:shd w:val="clear" w:color="auto" w:fill="CCEEFF"/>
          </w:tcPr>
          <w:p>
            <w:pPr>
              <w:jc w:val="right"/>
              <w:ind w:right="128"/>
              <w:spacing w:after="0" w:line="202" w:lineRule="exact"/>
              <w:rPr>
                <w:sz w:val="20"/>
                <w:szCs w:val="20"/>
                <w:color w:val="auto"/>
              </w:rPr>
            </w:pPr>
            <w:r>
              <w:rPr>
                <w:rFonts w:ascii="Arial" w:cs="Arial" w:eastAsia="Arial" w:hAnsi="Arial"/>
                <w:sz w:val="18"/>
                <w:szCs w:val="18"/>
                <w:color w:val="auto"/>
              </w:rPr>
              <w:t>$12,644</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$20,538</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$7,894</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62%</w:t>
            </w: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Revenue for 2017 increased by $7.9 million, or 62%, compared to 2016.</w:t>
      </w:r>
    </w:p>
    <w:p>
      <w:pPr>
        <w:spacing w:after="0" w:line="212"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Revenue growth was driven by increased patient demand, ramp-up of production, new product introductions, bulk sales to other Licensed Producers and wholesale distribution in export markets. In 2017, we launched new extract products and formulations, including capsules, which helped drive extract sales in Canada. Our extract products revenue was $ 1.1 million in 2016 compared to $4.0 million in 2017. On a percentage of revenue basis, extract products accounted for 9% of revenue in 2016 and 19% of revenue in 2017.</w:t>
      </w:r>
    </w:p>
    <w:p>
      <w:pPr>
        <w:spacing w:after="0" w:line="202"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Total kilogram equivalents sold in 2016 was 2,216 and 3,024 in 2017, respectively, representing period over period growth of 36%. The average net selling price per gram increased from $5.41 to $6.52 over the same time period due to a greater proportion of higher potency dried flower and extract sales, introduction of capsules and international export sales. We expect the average net selling price per gram to decline going forward as we shift from primarily a DTP sales channel in ACMPR to wholesale channels serving the anticipated adult-use market in Canada and developing international medical-use markets.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sales and gross margin</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20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20" w:type="dxa"/>
            <w:vAlign w:val="bottom"/>
            <w:tcBorders>
              <w:top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2016</w:t>
            </w:r>
          </w:p>
        </w:tc>
        <w:tc>
          <w:tcPr>
            <w:tcW w:w="1360" w:type="dxa"/>
            <w:vAlign w:val="bottom"/>
            <w:tcBorders>
              <w:top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120" w:type="dxa"/>
            <w:vAlign w:val="bottom"/>
            <w:gridSpan w:val="2"/>
            <w:shd w:val="clear" w:color="auto" w:fill="CCEEFF"/>
          </w:tcPr>
          <w:p>
            <w:pPr>
              <w:jc w:val="right"/>
              <w:ind w:right="188"/>
              <w:spacing w:after="0" w:line="202" w:lineRule="exact"/>
              <w:rPr>
                <w:sz w:val="20"/>
                <w:szCs w:val="20"/>
                <w:color w:val="auto"/>
              </w:rPr>
            </w:pPr>
            <w:r>
              <w:rPr>
                <w:rFonts w:ascii="Arial" w:cs="Arial" w:eastAsia="Arial" w:hAnsi="Arial"/>
                <w:sz w:val="18"/>
                <w:szCs w:val="18"/>
                <w:color w:val="auto"/>
              </w:rPr>
              <w:t>$9,974</w:t>
            </w:r>
          </w:p>
        </w:tc>
        <w:tc>
          <w:tcPr>
            <w:tcW w:w="1360" w:type="dxa"/>
            <w:vAlign w:val="bottom"/>
            <w:shd w:val="clear" w:color="auto" w:fill="CCEEFF"/>
          </w:tcPr>
          <w:p>
            <w:pPr>
              <w:jc w:val="right"/>
              <w:ind w:right="237"/>
              <w:spacing w:after="0" w:line="202" w:lineRule="exact"/>
              <w:rPr>
                <w:sz w:val="20"/>
                <w:szCs w:val="20"/>
                <w:color w:val="auto"/>
              </w:rPr>
            </w:pPr>
            <w:r>
              <w:rPr>
                <w:rFonts w:ascii="Arial" w:cs="Arial" w:eastAsia="Arial" w:hAnsi="Arial"/>
                <w:sz w:val="18"/>
                <w:szCs w:val="18"/>
                <w:color w:val="auto"/>
              </w:rPr>
              <w:t>$ 9,161</w:t>
            </w: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 (813)</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r>
      <w:tr>
        <w:trPr>
          <w:trHeight w:val="203"/>
        </w:trPr>
        <w:tc>
          <w:tcPr>
            <w:tcW w:w="20" w:type="dxa"/>
            <w:vAlign w:val="bottom"/>
          </w:tcPr>
          <w:p>
            <w:pPr>
              <w:spacing w:after="0"/>
              <w:rPr>
                <w:sz w:val="17"/>
                <w:szCs w:val="17"/>
                <w:color w:val="auto"/>
              </w:rPr>
            </w:pPr>
          </w:p>
        </w:tc>
        <w:tc>
          <w:tcPr>
            <w:tcW w:w="430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312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2,670</w:t>
            </w:r>
          </w:p>
        </w:tc>
        <w:tc>
          <w:tcPr>
            <w:tcW w:w="136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11,377</w:t>
            </w:r>
          </w:p>
        </w:tc>
        <w:tc>
          <w:tcPr>
            <w:tcW w:w="320" w:type="dxa"/>
            <w:vAlign w:val="bottom"/>
          </w:tcPr>
          <w:p>
            <w:pPr>
              <w:spacing w:after="0"/>
              <w:rPr>
                <w:sz w:val="17"/>
                <w:szCs w:val="17"/>
                <w:color w:val="auto"/>
              </w:rPr>
            </w:pPr>
          </w:p>
        </w:tc>
        <w:tc>
          <w:tcPr>
            <w:tcW w:w="88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8,707</w:t>
            </w:r>
          </w:p>
        </w:tc>
        <w:tc>
          <w:tcPr>
            <w:tcW w:w="400" w:type="dxa"/>
            <w:vAlign w:val="bottom"/>
          </w:tcPr>
          <w:p>
            <w:pPr>
              <w:spacing w:after="0"/>
              <w:rPr>
                <w:sz w:val="17"/>
                <w:szCs w:val="17"/>
                <w:color w:val="auto"/>
              </w:rPr>
            </w:pPr>
          </w:p>
        </w:tc>
        <w:tc>
          <w:tcPr>
            <w:tcW w:w="6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326</w:t>
            </w: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 percentage</w:t>
            </w:r>
          </w:p>
        </w:tc>
        <w:tc>
          <w:tcPr>
            <w:tcW w:w="31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21%</w:t>
            </w:r>
          </w:p>
        </w:tc>
        <w:tc>
          <w:tcPr>
            <w:tcW w:w="136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jc w:val="both"/>
        <w:ind w:left="200" w:right="60" w:firstLine="331"/>
        <w:spacing w:after="0" w:line="246" w:lineRule="auto"/>
        <w:rPr>
          <w:sz w:val="20"/>
          <w:szCs w:val="20"/>
          <w:color w:val="auto"/>
        </w:rPr>
      </w:pPr>
      <w:r>
        <w:rPr>
          <w:rFonts w:ascii="Arial" w:cs="Arial" w:eastAsia="Arial" w:hAnsi="Arial"/>
          <w:sz w:val="18"/>
          <w:szCs w:val="18"/>
          <w:color w:val="auto"/>
        </w:rPr>
        <w:t>Cost of sales in 2017 decreased by $0.8 million, or 8%, compared to 2016. Gross margin for 2017 increased by $8.7 million, or 326%, compared to 2016. This represents a gross margin percentage of 55% in 2017 compared to 21% in 2016.</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The improvement in gross margin was attributable to higher pricing per gram, efficiency gains on production costs and the implementation of automation in post-harvest processes. The results can be seen in our pre-harvest, post-harvest and shipment and fulfillment per gram metrics. Our pre-harvest cost per gram improved from $1.29 in 2016 to $0.58 in 2017 mainly due to Tilray Nanaimo reaching full utilization and increased yields per harvest. Our post-harvest cost per gram improved from $ 2.00 in 2016 to $1.56 in 2017 due to automation efficiencies in oil extraction, trimming and drying. Our shipment and fulfillment cost per gram improved from $0.75 in 2016 to $0.69 in 2017 due to changing courier service providers with improved terms. We believe our average cost per gram metric will continue to decline as we bring on large-scale greenhouse growing operations in Canada and Portugal in 2018.</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Years Ended</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92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right"/>
              <w:ind w:right="99"/>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6"/>
          </w:tcPr>
          <w:p>
            <w:pPr>
              <w:ind w:left="20"/>
              <w:spacing w:after="0" w:line="143" w:lineRule="exact"/>
              <w:rPr>
                <w:sz w:val="20"/>
                <w:szCs w:val="20"/>
                <w:color w:val="auto"/>
              </w:rPr>
            </w:pPr>
            <w:r>
              <w:rPr>
                <w:rFonts w:ascii="Arial" w:cs="Arial" w:eastAsia="Arial" w:hAnsi="Arial"/>
                <w:sz w:val="14"/>
                <w:szCs w:val="14"/>
                <w:b w:val="1"/>
                <w:bCs w:val="1"/>
                <w:color w:val="auto"/>
              </w:rPr>
              <w:t>(dollars in thousands, except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percentages)</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$1,136</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$ 3,171</w:t>
            </w:r>
          </w:p>
        </w:tc>
        <w:tc>
          <w:tcPr>
            <w:tcW w:w="4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$2,035</w:t>
            </w:r>
          </w:p>
        </w:tc>
        <w:tc>
          <w:tcPr>
            <w:tcW w:w="3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179%</w:t>
            </w: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3,599</w:t>
            </w:r>
          </w:p>
        </w:tc>
        <w:tc>
          <w:tcPr>
            <w:tcW w:w="1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7,164</w:t>
            </w:r>
          </w:p>
        </w:tc>
        <w:tc>
          <w:tcPr>
            <w:tcW w:w="480" w:type="dxa"/>
            <w:vAlign w:val="bottom"/>
          </w:tcPr>
          <w:p>
            <w:pPr>
              <w:spacing w:after="0"/>
              <w:rPr>
                <w:sz w:val="17"/>
                <w:szCs w:val="17"/>
                <w:color w:val="auto"/>
              </w:rPr>
            </w:pPr>
          </w:p>
        </w:tc>
        <w:tc>
          <w:tcPr>
            <w:tcW w:w="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3,565</w:t>
            </w:r>
          </w:p>
        </w:tc>
        <w:tc>
          <w:tcPr>
            <w:tcW w:w="360" w:type="dxa"/>
            <w:vAlign w:val="bottom"/>
          </w:tcPr>
          <w:p>
            <w:pPr>
              <w:spacing w:after="0"/>
              <w:rPr>
                <w:sz w:val="17"/>
                <w:szCs w:val="17"/>
                <w:color w:val="auto"/>
              </w:rPr>
            </w:pPr>
          </w:p>
        </w:tc>
        <w:tc>
          <w:tcPr>
            <w:tcW w:w="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1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4,984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8,540</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3,556</w:t>
            </w:r>
          </w:p>
        </w:tc>
        <w:tc>
          <w:tcPr>
            <w:tcW w:w="3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w:t>
            </w:r>
          </w:p>
        </w:tc>
      </w:tr>
      <w:tr>
        <w:trPr>
          <w:trHeight w:val="210"/>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9,719</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18,875</w:t>
            </w:r>
          </w:p>
        </w:tc>
        <w:tc>
          <w:tcPr>
            <w:tcW w:w="4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9,156</w:t>
            </w:r>
          </w:p>
        </w:tc>
        <w:tc>
          <w:tcPr>
            <w:tcW w:w="3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Percentage of revenue</w:t>
            </w:r>
          </w:p>
        </w:tc>
        <w:tc>
          <w:tcPr>
            <w:tcW w:w="2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2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14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28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14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140" w:type="dxa"/>
            <w:vAlign w:val="bottom"/>
          </w:tcPr>
          <w:p>
            <w:pPr>
              <w:spacing w:after="0"/>
              <w:rPr>
                <w:sz w:val="17"/>
                <w:szCs w:val="17"/>
                <w:color w:val="auto"/>
              </w:rPr>
            </w:pP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14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operating expenses</w:t>
            </w:r>
          </w:p>
        </w:tc>
        <w:tc>
          <w:tcPr>
            <w:tcW w:w="2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76%</w:t>
            </w:r>
          </w:p>
        </w:tc>
        <w:tc>
          <w:tcPr>
            <w:tcW w:w="148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Research and development expenses in 2017 increased by $2.0 million, or 179%, compared to 2016. Research and development expenses were 15% of revenue in 2017 and 9% of revenue in 2016. The increase was primarily due to an increase of $0.8 million in employee-related expenses and $0.8 million due to professional consulting fees related to our clinical trials. We also incurred costs related to the production of the clinical study drug and new product development. We expect our research and development expenses to increase as we pursue more clinical trial opportunities and continue to invest in developing non-combustible delivery formats and formulations.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Sales and marketing expenses in 2017 increased by $3.6 million, or 99%, compared to 2016. Sales and marketing expenses were</w:t>
      </w:r>
    </w:p>
    <w:p>
      <w:pPr>
        <w:ind w:left="200"/>
        <w:spacing w:after="0" w:line="234" w:lineRule="auto"/>
        <w:rPr>
          <w:sz w:val="20"/>
          <w:szCs w:val="20"/>
          <w:color w:val="auto"/>
        </w:rPr>
      </w:pPr>
      <w:r>
        <w:rPr>
          <w:rFonts w:ascii="Arial" w:cs="Arial" w:eastAsia="Arial" w:hAnsi="Arial"/>
          <w:sz w:val="18"/>
          <w:szCs w:val="18"/>
          <w:color w:val="auto"/>
        </w:rPr>
        <w:t>35% of revenue in 2017 and 28% of revenue in 2016. Growth in sales and marketing expenses was primarily due to an increase of</w:t>
      </w:r>
    </w:p>
    <w:p>
      <w:pPr>
        <w:ind w:left="200"/>
        <w:spacing w:after="0" w:line="235" w:lineRule="auto"/>
        <w:rPr>
          <w:sz w:val="20"/>
          <w:szCs w:val="20"/>
          <w:color w:val="auto"/>
        </w:rPr>
      </w:pPr>
      <w:r>
        <w:rPr>
          <w:rFonts w:ascii="Arial" w:cs="Arial" w:eastAsia="Arial" w:hAnsi="Arial"/>
          <w:sz w:val="18"/>
          <w:szCs w:val="18"/>
          <w:color w:val="auto"/>
        </w:rPr>
        <w:t>$1.9 million in employee-related expenses and an increase of $1.4 million due to professional services. We expanded our sales teams</w:t>
      </w:r>
    </w:p>
    <w:p>
      <w:pPr>
        <w:ind w:left="200"/>
        <w:spacing w:after="0" w:line="235" w:lineRule="auto"/>
        <w:rPr>
          <w:sz w:val="20"/>
          <w:szCs w:val="20"/>
          <w:color w:val="auto"/>
        </w:rPr>
      </w:pPr>
      <w:r>
        <w:rPr>
          <w:rFonts w:ascii="Arial" w:cs="Arial" w:eastAsia="Arial" w:hAnsi="Arial"/>
          <w:sz w:val="18"/>
          <w:szCs w:val="18"/>
          <w:color w:val="auto"/>
        </w:rPr>
        <w:t>globally along with our patient care group, which works directly with our patients to onboard them and find the right product and dosage.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expect our overall sales and marketing expenses to increase as we expand into newly regulated federal cannabis markets.</w:t>
      </w:r>
    </w:p>
    <w:p>
      <w:pPr>
        <w:spacing w:after="0" w:line="212"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General and administrative expenses in 2017 increased by $3.6 million, or 71%, compared to 2016. General and administrative expenses were 42% of revenue in 2017 and 39% of revenue in 2016. General and administrative expenses increased due to our global efforts to commercialize and grow our business. Employee-related expenses increased by $2.4 million due to head count growth. Our legal, tax and professional fees increased by $0.4 million to set up foreign legal entities and our facilities-related expense increased by $0.3 million due to the expansion of production capacity in</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Canada and Portugal. Further, our information technology costs increased by $0.3 million due to the implementation of an ERP system. We will continue to pursue international opportunities as part of our core strategy and invest in the governance and compliance resources necessary to operate in countries that implement federally regulated medical cannabis frameworks.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Foreign exchange gain, net</w:t>
      </w:r>
    </w:p>
    <w:p>
      <w:pPr>
        <w:spacing w:after="0" w:line="95"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Foreign exchange gain in 2017 was $1.4 million compared to $0.2 million in 2016. The increase was related to foreign currency transaction gains on our Privateer Holdings debt facilities.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Interest expense in 2017 was $1.7 million compared to $1.0 million in 2016. Interest expense is related to loans from a third-party mortgage on Tilray Nanaimo and Privateer Holdings debt facilities.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Net loss and Adjusted EBITDA</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2016</w:t>
            </w:r>
          </w:p>
        </w:tc>
        <w:tc>
          <w:tcPr>
            <w:tcW w:w="1220" w:type="dxa"/>
            <w:vAlign w:val="bottom"/>
            <w:tcBorders>
              <w:top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top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w:t>
            </w:r>
          </w:p>
        </w:tc>
      </w:tr>
      <w:tr>
        <w:trPr>
          <w:trHeight w:val="156"/>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$(7,883)</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$(7,809)</w:t>
            </w:r>
          </w:p>
        </w:tc>
        <w:tc>
          <w:tcPr>
            <w:tcW w:w="3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17"/>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Adjusted EBITDA</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$(5,002)</w:t>
            </w:r>
          </w:p>
        </w:tc>
        <w:tc>
          <w:tcPr>
            <w:tcW w:w="1220" w:type="dxa"/>
            <w:vAlign w:val="bottom"/>
          </w:tcPr>
          <w:p>
            <w:pPr>
              <w:jc w:val="right"/>
              <w:spacing w:after="0"/>
              <w:rPr>
                <w:sz w:val="20"/>
                <w:szCs w:val="20"/>
                <w:color w:val="auto"/>
              </w:rPr>
            </w:pPr>
            <w:r>
              <w:rPr>
                <w:rFonts w:ascii="Arial" w:cs="Arial" w:eastAsia="Arial" w:hAnsi="Arial"/>
                <w:sz w:val="18"/>
                <w:szCs w:val="18"/>
                <w:color w:val="auto"/>
              </w:rPr>
              <w:t>$(5,506)</w:t>
            </w:r>
          </w:p>
        </w:tc>
        <w:tc>
          <w:tcPr>
            <w:tcW w:w="3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9"/>
              </w:rPr>
              <w:t>(504)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ind w:right="36"/>
              <w:spacing w:after="0"/>
              <w:rPr>
                <w:sz w:val="20"/>
                <w:szCs w:val="20"/>
                <w:color w:val="auto"/>
              </w:rPr>
            </w:pPr>
            <w:r>
              <w:rPr>
                <w:rFonts w:ascii="Arial" w:cs="Arial" w:eastAsia="Arial" w:hAnsi="Arial"/>
                <w:sz w:val="18"/>
                <w:szCs w:val="18"/>
                <w:color w:val="auto"/>
                <w:w w:val="99"/>
              </w:rPr>
              <w:t>10%</w:t>
            </w:r>
          </w:p>
        </w:tc>
      </w:tr>
    </w:tbl>
    <w:p>
      <w:pPr>
        <w:spacing w:after="0" w:line="201"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Net loss in 2017 was $7.8 million compared to $7.9 million in 2016. Adjusted EBITDA loss in 2017 was $5.5 million compared to $5.0 million in 2016. Net loss and Adjusted EBITDA remained relatively flat as the growth in gross profit was offset by the increase in operating expenses.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85" w:lineRule="exact"/>
        <w:rPr>
          <w:sz w:val="20"/>
          <w:szCs w:val="20"/>
          <w:color w:val="auto"/>
        </w:rPr>
      </w:pPr>
    </w:p>
    <w:p>
      <w:pPr>
        <w:jc w:val="both"/>
        <w:ind w:left="200" w:right="140" w:firstLine="331"/>
        <w:spacing w:after="0" w:line="239" w:lineRule="auto"/>
        <w:rPr>
          <w:sz w:val="20"/>
          <w:szCs w:val="20"/>
          <w:color w:val="auto"/>
        </w:rPr>
      </w:pPr>
      <w:r>
        <w:rPr>
          <w:rFonts w:ascii="Arial" w:cs="Arial" w:eastAsia="Arial" w:hAnsi="Arial"/>
          <w:sz w:val="18"/>
          <w:szCs w:val="18"/>
          <w:color w:val="auto"/>
        </w:rPr>
        <w:t>Our primary need for liquidity is to fund working capital requirements, capital expenditures, debt service requirements and for general corporate purposes. Our primary source of liquidity historically has been from funds received from Privateer Holdings and senior secured debt financing. Our ability to fund operations, make planned capital expenditures and meet debt service requirements depends on future operating performance and cash flows, which are subject to prevailing economic conditions and financial, business and other factors.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the major components of our consolidated statements of cash flows for the periods presented:</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center"/>
              <w:ind w:right="12"/>
              <w:spacing w:after="0" w:line="143"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(3,318)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(6,003)</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(11,815)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(42,784)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10,919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12,235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1,084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53,920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line="202" w:lineRule="exact"/>
              <w:rPr>
                <w:sz w:val="20"/>
                <w:szCs w:val="20"/>
                <w:color w:val="auto"/>
              </w:rPr>
            </w:pPr>
            <w:r>
              <w:rPr>
                <w:rFonts w:ascii="Arial" w:cs="Arial" w:eastAsia="Arial" w:hAnsi="Arial"/>
                <w:sz w:val="18"/>
                <w:szCs w:val="18"/>
                <w:color w:val="auto"/>
              </w:rPr>
              <w:t>Effect of foreign currency translation on cash</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2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2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24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6,802</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(5,208)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beginning of year</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729</w:t>
            </w:r>
          </w:p>
        </w:tc>
        <w:tc>
          <w:tcPr>
            <w:tcW w:w="24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7,531</w:t>
            </w:r>
          </w:p>
        </w:tc>
        <w:tc>
          <w:tcPr>
            <w:tcW w:w="24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7,531</w:t>
            </w:r>
          </w:p>
        </w:tc>
        <w:tc>
          <w:tcPr>
            <w:tcW w:w="24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2,323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ending of year</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7,531</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2,323</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8,064</w:t>
            </w:r>
          </w:p>
        </w:tc>
        <w:tc>
          <w:tcPr>
            <w:tcW w:w="2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95" w:lineRule="exact"/>
        <w:rPr>
          <w:sz w:val="20"/>
          <w:szCs w:val="20"/>
          <w:color w:val="auto"/>
        </w:rPr>
      </w:pPr>
    </w:p>
    <w:p>
      <w:pPr>
        <w:jc w:val="both"/>
        <w:ind w:left="200" w:right="60" w:firstLine="331"/>
        <w:spacing w:after="0" w:line="246" w:lineRule="auto"/>
        <w:rPr>
          <w:sz w:val="20"/>
          <w:szCs w:val="20"/>
          <w:color w:val="auto"/>
        </w:rPr>
      </w:pPr>
      <w:r>
        <w:rPr>
          <w:rFonts w:ascii="Arial" w:cs="Arial" w:eastAsia="Arial" w:hAnsi="Arial"/>
          <w:sz w:val="18"/>
          <w:szCs w:val="18"/>
          <w:color w:val="auto"/>
        </w:rPr>
        <w:t>Net cash used in operating activities in the three months ended March 31, 2018 was $1.7 million compared to $0.2 million in the same period in 2017. Net loss in the three months ended March 31,</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2018 was $5.2 million compared to $0.7 million in the same period in 2017. Other items included depreciation and amortization, which totaled $0.5 million in each period. The cash provided by operating activities related to changes in working capital was $1.6 million in the three months ended March 31, 2018 and cash used was $0.1 million in the same period in 2017. Other items included foreign currency loss, which totaled $1.1 million in the three months ended March 31, 2018 and $0.2 million in 2017 and foreign currency gain of $0.2 million in 2017.</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Net cash used in operating activities was $6.0 million in 2017 compared to $3.3 million in 2016. Net loss in 2017 was $7.8 million compared to $7.9 million in 2016. Other items included depreciation and amortization, which totaled $1.9 million and $2.0 million in 2017 and 2016, respectively. The cash provided by operating activities related to changes in working capital was $0.3 million in 2017 compared to $1.7 million in 2016.</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9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Net cash used in investing activities was $42.8 million in the three months ended March 31, 2018 compared to $0.4 million in the same period in 2017. In the three months ended March 31, 2018, we invested $29.6 million into short-term investments from our Series A preferred financing and invested $12.9 million into our Canada and Portugal expansion projects.</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Net cash used in investing activities was $11.8 million in 2017 compared to $1.0 million in 2016. The increase was primarily due to expansion projects in Canada and Portugal.</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81"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Net cash provided by financing activities was $53.9 million in the three months ended March 31, 2018 compared to $1.1 million in the same period in 2017. Net proceeds from the Series A preferred financing was $52.6 million net of placement fees and we drew $1.5 million from Privateer Holdings debt facilities in the three months ended March 31, 2018.</w:t>
      </w:r>
    </w:p>
    <w:p>
      <w:pPr>
        <w:spacing w:after="0" w:line="203"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Net cash provided by financing activities was $12.2 million in 2017 compared to $10.9 million in 2016. Our financing activities have primarily consisted of advances on the Privateer Holdings debt facilities and our third-party mortgage. In 2016, net proceeds of the mortgage were $6.5 million which included the extinguishment of the prior mortgage. In 2016 and 2017, we drew down $4.4 million and $12.4 million, respectively, from the Privateer Holdings debt facilities.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sets out the cash, short-term investments, inventory and contractual obligations and commitments: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w:t>
            </w:r>
          </w:p>
        </w:tc>
      </w:tr>
      <w:tr>
        <w:trPr>
          <w:trHeight w:val="175"/>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5"/>
                <w:szCs w:val="15"/>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3"/>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5"/>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center"/>
              <w:ind w:right="33"/>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7,531</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2,323</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12,140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98"/>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29,506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4,103</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7,421</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7,537</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line="202" w:lineRule="exact"/>
              <w:rPr>
                <w:sz w:val="20"/>
                <w:szCs w:val="20"/>
                <w:color w:val="auto"/>
              </w:rPr>
            </w:pPr>
            <w:r>
              <w:rPr>
                <w:rFonts w:ascii="Arial" w:cs="Arial" w:eastAsia="Arial" w:hAnsi="Arial"/>
                <w:sz w:val="18"/>
                <w:szCs w:val="18"/>
                <w:color w:val="auto"/>
              </w:rPr>
              <w:t>Privateer Holdings debt facilities</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8"/>
              <w:spacing w:after="0" w:line="202" w:lineRule="exact"/>
              <w:rPr>
                <w:sz w:val="20"/>
                <w:szCs w:val="20"/>
                <w:color w:val="auto"/>
              </w:rPr>
            </w:pPr>
            <w:r>
              <w:rPr>
                <w:rFonts w:ascii="Arial" w:cs="Arial" w:eastAsia="Arial" w:hAnsi="Arial"/>
                <w:sz w:val="18"/>
                <w:szCs w:val="18"/>
                <w:color w:val="auto"/>
                <w:w w:val="98"/>
              </w:rPr>
              <w:t>20,126</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32,826</w:t>
            </w:r>
          </w:p>
        </w:tc>
        <w:tc>
          <w:tcPr>
            <w:tcW w:w="5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34,573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 and long-term debt</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8,576</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9,432</w:t>
            </w:r>
          </w:p>
        </w:tc>
        <w:tc>
          <w:tcPr>
            <w:tcW w:w="54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9,259</w:t>
            </w:r>
          </w:p>
        </w:tc>
        <w:tc>
          <w:tcPr>
            <w:tcW w:w="6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As of March 31, 2018, we had cash and cash equivalents of $12.1 million and $29.5 million in short-term investments, compared to cash and cash equivalents of $ 2.3 million and no short-term or long-term investments as of December 31, 2017. We raised C$69.2 million, or approximately $55.0 million, in aggregate gross proceeds in February and March 2018 in our Series A preferred stock</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financing. We believe that our existing cash will be sufficient to meet our working capital requirements for at least the next 12 months. However, our liquidity assumptions may prove to be incorrect, and we could utilize our available financial resources sooner than we currently expect. Our future capital requirements and the adequacy of available funds will depend on many factors, including those set forth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02"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We manage our liquidity risk by preparing budgets and cash forecasts to ensure we have sufficient funds to meet obligations. In managing working capital, we may limit the amount of our cash needs by: selling inventory at wholesale rates, pursuing additional financing sources and managing the timing of capital expenditures. While we believe we have sufficient cash to meet working capital requirements in the short term, we may need additional sources of capital and/or financing, including the proceeds from this offering, to meet planned growth requirements and to fund construction activities at our cultivation and processing facilities.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As of March 31, 2018, our inventory balance was $7.5 million. As of March 31, 2018, our inventory quantities totaled 3,498 kilogram equivalents, which consisted of 2,019 kilograms of dried flower and 1,479 kilogram equivalents of cannabis extracts and extract-ready by-product.</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As of December 31, 2017, our inventory balance was $7.4 million compared to $4.1 million as of December 31, 2016. As of December 31, 2017, our inventory quantities totaled 3,791 kilogram equivalents, which consisted of 1,961 kilograms of dried flower and 1,830 kilogram equivalents of cannabis extracts and extract-ready by-product. This compares to December 31, 2016, when our inventory quantities totaled 2,514 kilogram equivalents, comprised of 1,852 kilograms of dried flower and 662 kilogram equivalents of cannabis extracts and extract-ready by-product.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w:t>
      </w:r>
    </w:p>
    <w:p>
      <w:pPr>
        <w:spacing w:after="0" w:line="99" w:lineRule="exact"/>
        <w:rPr>
          <w:sz w:val="20"/>
          <w:szCs w:val="20"/>
          <w:color w:val="auto"/>
        </w:rPr>
      </w:pPr>
    </w:p>
    <w:p>
      <w:pPr>
        <w:jc w:val="both"/>
        <w:ind w:left="200" w:right="320" w:firstLine="331"/>
        <w:spacing w:after="0" w:line="234" w:lineRule="auto"/>
        <w:rPr>
          <w:sz w:val="20"/>
          <w:szCs w:val="20"/>
          <w:color w:val="auto"/>
        </w:rPr>
      </w:pPr>
      <w:r>
        <w:rPr>
          <w:rFonts w:ascii="Arial" w:cs="Arial" w:eastAsia="Arial" w:hAnsi="Arial"/>
          <w:sz w:val="18"/>
          <w:szCs w:val="18"/>
          <w:color w:val="auto"/>
        </w:rPr>
        <w:t>In December 2016, we entered into a mortgage with a financial institution secured by our property at Tilray Nanaimo with Privateer Holdings as the guarantor. The mortgage is an interest payment only loan of C$12.0 million, or $8.9 million at the time, bearing annual interest at 11.5%, compounded and payable monthly, with an 18-month term, maturing in June 2018. The total amount was</w:t>
      </w:r>
    </w:p>
    <w:p>
      <w:pPr>
        <w:spacing w:after="0" w:line="2"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C$12.0 million, less deferred financing costs of C$0.5 million. The outstanding principal and accrued interest on the mortgages originated in 2014 were both fully repaid. The balance of the mortgage remained C$12.0 million, recorded as $9.3 million as of March 31, 2018.</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Privateer Holdings Debt Facilities and Loans</w:t>
      </w:r>
    </w:p>
    <w:p>
      <w:pPr>
        <w:spacing w:after="0" w:line="85"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Effective January 1, 2016, we entered into an agreement with Privateer Holdings for a demand revolving credit facility in an aggregate principal amount not to exceed $25.0 million. As at December 31, 2017, the facility bears interest at a floating rate of 2.54%, reset annually based on the mid-term applicable federal U.S. rate. As of March 31, 2018, $24.3 million remained outstanding against the facility.</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Effective November 1, 2017, we entered into an agreement with Privateer Holdings for a demand revolving construction facility in an aggregate principal amount not to exceed $10.0 million to be used for the construction of our High Park Processing Facility in Enniskillen, Ontario, Canada. Beginning January 1, 2018, the facility bears interest at a floating rate of 2.54%, reset annually based on the mid-term applicable federal U.S. rate. As of March 31, 2018, $8.1 million remained outstanding against the facility.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331"/>
        <w:spacing w:after="0" w:line="257" w:lineRule="auto"/>
        <w:rPr>
          <w:sz w:val="20"/>
          <w:szCs w:val="20"/>
          <w:color w:val="auto"/>
        </w:rPr>
      </w:pPr>
      <w:r>
        <w:rPr>
          <w:rFonts w:ascii="Arial" w:cs="Arial" w:eastAsia="Arial" w:hAnsi="Arial"/>
          <w:sz w:val="17"/>
          <w:szCs w:val="17"/>
          <w:color w:val="auto"/>
        </w:rPr>
        <w:t>As part of our strategic initiative to expand into additional geographic locations, Privateer Holdings provided us with initial working capital funding in the form of non-interest-bearing loans. The advances are repayable upon demand. As of March 31, 2018, our balance on the Privateer Holdings non-interest-bearing loan was $2.2 million compared to $1.7 million as of December 31, 2017. As of March 31, 2018, the total balance on our Privateer Holdings debt facilities was $34.6 million compared to $32.8 million as of December 31, 2017.</w:t>
      </w:r>
    </w:p>
    <w:p>
      <w:pPr>
        <w:spacing w:after="0" w:line="189"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 summary of our consolidated contractual obligations as of December 31, 2017, based on foreign exchange rates at December 31, 2017, is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540" w:type="dxa"/>
            <w:vAlign w:val="bottom"/>
            <w:gridSpan w:val="3"/>
          </w:tcPr>
          <w:p>
            <w:pPr>
              <w:ind w:left="1760"/>
              <w:spacing w:after="0"/>
              <w:rPr>
                <w:sz w:val="20"/>
                <w:szCs w:val="20"/>
                <w:color w:val="auto"/>
              </w:rPr>
            </w:pPr>
            <w:r>
              <w:rPr>
                <w:rFonts w:ascii="Arial" w:cs="Arial" w:eastAsia="Arial" w:hAnsi="Arial"/>
                <w:sz w:val="14"/>
                <w:szCs w:val="14"/>
                <w:b w:val="1"/>
                <w:bCs w:val="1"/>
                <w:color w:val="auto"/>
              </w:rPr>
              <w:t>thousands)</w:t>
            </w:r>
          </w:p>
        </w:tc>
        <w:tc>
          <w:tcPr>
            <w:tcW w:w="4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&lt; 1 Year</w:t>
            </w: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Years</w:t>
            </w:r>
          </w:p>
        </w:tc>
        <w:tc>
          <w:tcPr>
            <w:tcW w:w="1260" w:type="dxa"/>
            <w:vAlign w:val="bottom"/>
            <w:gridSpan w:val="4"/>
          </w:tcPr>
          <w:p>
            <w:pPr>
              <w:ind w:left="400"/>
              <w:spacing w:after="0"/>
              <w:rPr>
                <w:sz w:val="20"/>
                <w:szCs w:val="20"/>
                <w:color w:val="auto"/>
              </w:rPr>
            </w:pPr>
            <w:r>
              <w:rPr>
                <w:rFonts w:ascii="Arial" w:cs="Arial" w:eastAsia="Arial" w:hAnsi="Arial"/>
                <w:sz w:val="14"/>
                <w:szCs w:val="14"/>
                <w:b w:val="1"/>
                <w:bCs w:val="1"/>
                <w:color w:val="auto"/>
              </w:rPr>
              <w:t>4-5 Years</w:t>
            </w:r>
          </w:p>
        </w:tc>
        <w:tc>
          <w:tcPr>
            <w:tcW w:w="2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&gt; 5 Years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Long-term debt</w:t>
            </w:r>
          </w:p>
        </w:tc>
        <w:tc>
          <w:tcPr>
            <w:tcW w:w="17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9,432</w:t>
            </w: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9,432</w:t>
            </w: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Privateer Holdings debt facilities</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32,826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32,826</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color w:val="auto"/>
              </w:rPr>
              <w:t>Capital leases</w:t>
            </w:r>
          </w:p>
        </w:tc>
        <w:tc>
          <w:tcPr>
            <w:tcW w:w="1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4,439</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Total</w:t>
            </w:r>
          </w:p>
        </w:tc>
        <w:tc>
          <w:tcPr>
            <w:tcW w:w="1900" w:type="dxa"/>
            <w:vAlign w:val="bottom"/>
            <w:gridSpan w:val="2"/>
            <w:shd w:val="clear" w:color="auto" w:fill="CCEEFF"/>
          </w:tcPr>
          <w:p>
            <w:pPr>
              <w:ind w:left="1760"/>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46,951</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9"/>
              </w:rPr>
              <w:t>43,223</w:t>
            </w:r>
          </w:p>
        </w:tc>
        <w:tc>
          <w:tcPr>
            <w:tcW w:w="5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1,605</w:t>
            </w:r>
          </w:p>
        </w:tc>
        <w:tc>
          <w:tcPr>
            <w:tcW w:w="52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1,544</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A summary of our consolidated contractual obligations as of March 31, 2018, based on foreign exchange rates at March 31, 2018, is as follows:</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Current portion of long-term debt and long-term debt</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Privateer Holdings debt facilities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leases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Capital leases</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120015</wp:posOffset>
            </wp:positionV>
            <wp:extent cx="18180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Payments due by Period (unaudited):</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4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&lt; 1 Year*</w:t>
            </w:r>
          </w:p>
        </w:tc>
        <w:tc>
          <w:tcPr>
            <w:tcW w:w="4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1-3 Years</w:t>
            </w:r>
          </w:p>
        </w:tc>
        <w:tc>
          <w:tcPr>
            <w:tcW w:w="1460" w:type="dxa"/>
            <w:vAlign w:val="bottom"/>
            <w:gridSpan w:val="4"/>
          </w:tcPr>
          <w:p>
            <w:pPr>
              <w:ind w:left="400"/>
              <w:spacing w:after="0"/>
              <w:rPr>
                <w:sz w:val="20"/>
                <w:szCs w:val="20"/>
                <w:color w:val="auto"/>
              </w:rPr>
            </w:pPr>
            <w:r>
              <w:rPr>
                <w:rFonts w:ascii="Arial" w:cs="Arial" w:eastAsia="Arial" w:hAnsi="Arial"/>
                <w:sz w:val="14"/>
                <w:szCs w:val="14"/>
                <w:b w:val="1"/>
                <w:bCs w:val="1"/>
                <w:color w:val="auto"/>
              </w:rPr>
              <w:t>4-5 Years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&gt; 5 Years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line="190"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9,259</w:t>
            </w:r>
          </w:p>
        </w:tc>
        <w:tc>
          <w:tcPr>
            <w:tcW w:w="420" w:type="dxa"/>
            <w:vAlign w:val="bottom"/>
          </w:tcPr>
          <w:p>
            <w:pPr>
              <w:spacing w:after="0"/>
              <w:rPr>
                <w:sz w:val="16"/>
                <w:szCs w:val="16"/>
                <w:color w:val="auto"/>
              </w:rPr>
            </w:pPr>
          </w:p>
        </w:tc>
        <w:tc>
          <w:tcPr>
            <w:tcW w:w="10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9,259</w:t>
            </w:r>
          </w:p>
        </w:tc>
        <w:tc>
          <w:tcPr>
            <w:tcW w:w="4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line="190"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420" w:type="dxa"/>
            <w:vAlign w:val="bottom"/>
          </w:tcPr>
          <w:p>
            <w:pPr>
              <w:spacing w:after="0"/>
              <w:rPr>
                <w:sz w:val="16"/>
                <w:szCs w:val="16"/>
                <w:color w:val="auto"/>
              </w:rPr>
            </w:pPr>
          </w:p>
        </w:tc>
        <w:tc>
          <w:tcPr>
            <w:tcW w:w="120" w:type="dxa"/>
            <w:vAlign w:val="bottom"/>
            <w:tcBorders>
              <w:top w:val="single" w:sz="8" w:color="auto"/>
            </w:tcBorders>
          </w:tcPr>
          <w:p>
            <w:pPr>
              <w:spacing w:after="0" w:line="190"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34,573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9"/>
              </w:rPr>
              <w:t>34,573</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4,341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434</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893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830</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2,184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4,246</w:t>
            </w: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w:t>
            </w:r>
          </w:p>
        </w:tc>
        <w:tc>
          <w:tcPr>
            <w:tcW w:w="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w:t>
            </w:r>
          </w:p>
        </w:tc>
        <w:tc>
          <w:tcPr>
            <w:tcW w:w="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196"/>
        </w:trPr>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52,419</w:t>
            </w:r>
          </w:p>
        </w:tc>
        <w:tc>
          <w:tcPr>
            <w:tcW w:w="5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9"/>
              </w:rPr>
              <w:t>44,845</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2,437</w:t>
            </w:r>
          </w:p>
        </w:tc>
        <w:tc>
          <w:tcPr>
            <w:tcW w:w="5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2,374</w:t>
            </w:r>
          </w:p>
        </w:tc>
        <w:tc>
          <w:tcPr>
            <w:tcW w:w="4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2,763</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-676910</wp:posOffset>
            </wp:positionV>
            <wp:extent cx="699770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-419735</wp:posOffset>
            </wp:positionV>
            <wp:extent cx="699770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-145415</wp:posOffset>
            </wp:positionV>
            <wp:extent cx="699770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70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720"/>
            <w:col w:w="5080"/>
          </w:cols>
          <w:pgMar w:left="240" w:top="459" w:right="419" w:bottom="1440" w:gutter="0" w:footer="0" w:header="0"/>
          <w:type w:val="continuous"/>
        </w:sectPr>
      </w:pPr>
    </w:p>
    <w:p>
      <w:pPr>
        <w:spacing w:after="0" w:line="2" w:lineRule="exact"/>
        <w:rPr>
          <w:sz w:val="20"/>
          <w:szCs w:val="20"/>
          <w:color w:val="auto"/>
        </w:rPr>
      </w:pPr>
    </w:p>
    <w:p>
      <w:pPr>
        <w:ind w:left="520" w:hanging="316"/>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&lt; 1 Year amounts are for the nine months ending December 31, 2018</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do not have any off-balance sheet arrangements for any of the periods presented.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have nine wholly owned direct and indirect subsidiaries. Tilray Canada, Ltd. was formed on September 6, 2013 under the British Columbia Business Corporation Act, initially under the name Lafitte Ventures, Ltd., with a subsequent name change to Tilray Canada, Ltd. on May 4, 2017. Dorada Ventures, Ltd. was formed on October 18, 2013 under the British Columbia Business Corporation Act as a wholly owned subsidiary of Tilray Canada, Ltd. High Park Farms, Ltd. was formed on February 19, 2016 under the British Columbia Business Corporation Act, initially under the name Bouchard Ventures Ltd., with a subsequent name change to High Park Farms, Ltd. on February 8, 2018. Decatur was formed on March 8, 2016 as a Dutch private limited liability company (besloten vennootschap) and acquired 100% of the capital stock of Tilray Canada, Ltd. and High Park Farms, Ltd. by way of a contribution agreement with Privateer Holdings. Tilray Deutschland GmbH was formed on November 3, 2016 under the German Limited Liability Companies Act (GmbHG), initially under the name Pining Ventures GmbH, with a subsequent name change to Tilray Deutschland GmbH on June 9, 2017. Tilray</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55" w:lineRule="auto"/>
        <w:rPr>
          <w:sz w:val="20"/>
          <w:szCs w:val="20"/>
          <w:color w:val="auto"/>
        </w:rPr>
      </w:pPr>
      <w:r>
        <w:rPr>
          <w:rFonts w:ascii="Arial" w:cs="Arial" w:eastAsia="Arial" w:hAnsi="Arial"/>
          <w:sz w:val="17"/>
          <w:szCs w:val="17"/>
          <w:color w:val="auto"/>
        </w:rPr>
        <w:t>Australia New Zealand Pty. Ltd. was formed on May 9, 2017 under the Australian Corporations Act 2001. Tilray Portugal Unipessoal, Lda. was formed on April 5, 2017 under Portugal’s Companies Code. Pardal Holdings Lda. was formed on April 24, 2017 under Portugal’s Companies Code as a majority-owned subsidiary of Tilray Portugal Unipessoal, Lda., with Decatur as the minority shareholder. High Park was formed on February 8, 2018 under the British Columbia Business Corporation Act. Each of Tilray Deutschland GmbH, Tilray Australia New Zealand Pty. Ltd., Tilray Portugal Unipessoal, Lda., and High Park was formed as a wholly owned subsidiary of Decatur Holdings BV.</w:t>
      </w:r>
    </w:p>
    <w:p>
      <w:pPr>
        <w:spacing w:after="0" w:line="191"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The following chart illustrates, as of the date hereof, our corporate structure including details of the jurisdiction of formation of each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142875</wp:posOffset>
            </wp:positionV>
            <wp:extent cx="4330700" cy="2821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30700" cy="282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left="200" w:right="120" w:firstLine="331"/>
        <w:spacing w:after="0" w:line="267" w:lineRule="auto"/>
        <w:rPr>
          <w:sz w:val="20"/>
          <w:szCs w:val="20"/>
          <w:color w:val="auto"/>
        </w:rPr>
      </w:pPr>
      <w:r>
        <w:rPr>
          <w:rFonts w:ascii="Arial" w:cs="Arial" w:eastAsia="Arial" w:hAnsi="Arial"/>
          <w:sz w:val="18"/>
          <w:szCs w:val="18"/>
          <w:color w:val="auto"/>
        </w:rPr>
        <w:t xml:space="preserve">See the section titled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for details on the Privateer Holdings debt facilities. In addition, see the section titled “</w:t>
      </w:r>
      <w:r>
        <w:rPr>
          <w:rFonts w:ascii="Arial" w:cs="Arial" w:eastAsia="Arial" w:hAnsi="Arial"/>
          <w:sz w:val="18"/>
          <w:szCs w:val="18"/>
          <w:i w:val="1"/>
          <w:iCs w:val="1"/>
          <w:color w:val="auto"/>
        </w:rPr>
        <w:t>Certain Relationships and Related-Party Transactions.</w:t>
      </w:r>
      <w:r>
        <w:rPr>
          <w:rFonts w:ascii="Arial" w:cs="Arial" w:eastAsia="Arial" w:hAnsi="Arial"/>
          <w:sz w:val="18"/>
          <w:szCs w:val="18"/>
          <w:color w:val="auto"/>
        </w:rPr>
        <w:t>”</w:t>
      </w:r>
    </w:p>
    <w:p>
      <w:pPr>
        <w:spacing w:after="0" w:line="179"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We accrue management fees charged to us by Privateer Holdings for services performed. Personnel compensation fees are charged at cost plus a 3.0% markup, whereas other associated expenses are charged at cost. The interest on the management services fee accrues at a floating rate of 2.54%, reset annually based on the mid-term applicable federal U.S. rate. Total Privateer Holdings management service fees in 2016 were $ 1.6 million compared to $4.3 million in 2017, and $0.6 million for the three months ended March 31, 2017 compared to $1.3 million for the same period in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normal course of business, we may receive inquiries or become involved in legal disputes regarding various litigation matters. In the opinion of management, any potential liabilities resulting from such claims would not have a material adverse effect on our consolidated financial statements.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Segment and Geographic Information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segment and geographic information refer to Note 13 to our consolidated financial statements.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The critical accounting estimates, assumptions and judgments that we believe to have the most significant impact on our consolidated financial statements are described below.</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85"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The financial statements have been prepared in accordance with U.S. GAAP. To the extent relevant, the financial statements include expense allocations for certain corporate functions historically provided by Privateer Holdings. The assumptions underlying the financial statements, including the assumptions regarding allocated expenses, reasonably reflect the utilization of services provided to or the benefit received by us during the periods presented.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consolidated financial statements have been prepared reflecting our historical operations, which were operated as Decatur prior to an internal reorganization by Privateer Holdings under which Privateer Holdings contributed 100% ownership interest in Decatur to us in January 2018. The financial statements include the accounts of a number of entities wholly owned by us. All intercompany accounts and transactions have been eliminated upon consolidation.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preparation of the financial statements requires management to make judgments, estimates and assumptions that affect the reported amounts in the financial statements and accompanying notes. Key estimates in these financial statements include the allowance for doubtful accounts, inventory write-downs, capitalization of internally developed software costs, estimated useful lives of property, plant and equipment and intangible assets, valuation allowance of deferred income tax assets, expected usage rate on customer loyalty awards and fair value of stock options granted under Privateer Holdings stock-based compensation plan. We believe that the estimates, judgments and assumptions used to determine certain amounts that affect the financial statements are reasonable, based on information available at the time they are made. To the extent there are differences between these estimates and actual results, our consolidated financial statements may be materially affected.</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recognize revenue as earned when the following four criteria have been met: (i) when persuasive evidence of an arrangement exists, (ii) the product has been delivered to a customer, (iii) the sales price is fixed or determinable and (iv) collection is reasonably assured. Revenue is recognized net of sales incentives, after discounts and allowances for the assurance program and veterans coverage program.</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Direct-to-patient sales to patients are recognized when the products are shipped to the customers. Bulk sales under wholesale agreements are recognized based on the shipping terms of the agreements. Export sales under pharmaceutical distribution and pharmacy supply agreements are recognized when products are delivered to the end customers or patients.</w:t>
      </w:r>
    </w:p>
    <w:p>
      <w:pPr>
        <w:spacing w:after="0" w:line="203"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Customer loyalty awards are accounted for as a separate component of the sales transaction in which they are granted. A portion of the consideration received in a transaction that includes the issuance of an award is deferred until the awards are ultimately redeemed. The allocation of the consideration to the award is based on an evaluation of the award’s estimated fair value at the date of the transaction. The customer loyalty program was discontinued in September 2017 and all customer loyalty awards expired as at December 31, 2017.</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Sales</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Cost of sales represents costs directly related to manufacturing and distribution of our products. Primary costs include raw materials, packaging, direct labor, overhead, shipping and handling and the depreciation of manufacturing equipment and production facilities. Manufacturing overhead and related expenses include salaries, wages, employee benefits, utilities, maintenance and property taxes. We recognize the cost of sales as the associated revenues are recognized.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Inventory</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Inventory is comprised of raw materials, finished goods and work-in-progress such as pre-harvested cannabis plants and by-products to be extracted. The costs of growing cannabis including but not limited to labor, utilities, nutrition and irrigation, are capitalized into inventory until the time of harvest.</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Inventory is stated at the lower of cost or net realizable value, determined using weighted average cost. Cost includes costs directly related to manufacturing and distribution of the products. Primary costs include raw materials, packaging, direct labor, overhead, shipping and the depreciation of manufacturing equipment and production facilities determined at normal capacity. Manufacturing overhead and related expenses include salaries, wages, employee benefits, utilities, maintenance and property taxes.</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Net realizable value is defined as the estimated selling price in the ordinary course of business, less reasonably predictable costs of completion, disposal and transportation. At the end of each reporting period, we perform an assessment of inventory obsolescence and to measure inventory at the lower of cost or net realizable value. Factors considered in the determination of obsolescence include slow-moving or non-marketable items.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85" w:lineRule="exact"/>
        <w:rPr>
          <w:sz w:val="20"/>
          <w:szCs w:val="20"/>
          <w:color w:val="auto"/>
        </w:rPr>
      </w:pPr>
    </w:p>
    <w:p>
      <w:pPr>
        <w:ind w:left="200" w:right="520" w:firstLine="331"/>
        <w:spacing w:after="0"/>
        <w:rPr>
          <w:sz w:val="20"/>
          <w:szCs w:val="20"/>
          <w:color w:val="auto"/>
        </w:rPr>
      </w:pPr>
      <w:r>
        <w:rPr>
          <w:rFonts w:ascii="Arial" w:cs="Arial" w:eastAsia="Arial" w:hAnsi="Arial"/>
          <w:sz w:val="18"/>
          <w:szCs w:val="18"/>
          <w:color w:val="auto"/>
        </w:rPr>
        <w:t>Construction in progress includes direct and indirect expenditures for the construction and expansion of our High Park Farms in Enniskillen, Ontario and is stated at its acquisition cost. Independent contractors perform substantially all of the construction and expansion efforts of our facility.</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Construction in progress includes construction progress payments, deposits, engineering costs, borrowing costs for long-term construction projects and other costs directly related to the construction of the facilities. Expenditures are capitalized during the construction period and construction in progress is transferred to the relevant class of property, plant and equipment when the assets are available for use, at which point the depreciation of the asset commences.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Property, plant and equipment are recorded at cost net of accumulated depreciation. Depreciation is computed using the straight-line method over the estimated useful lives of the assets with the exception of land, which is not depreciated. Capital lease assets for which ownership is transferred at the end of the lease, or there is a bargain purchase option, are amortized over the useful life that would be assigned if the asset were owned.</w:t>
      </w:r>
    </w:p>
    <w:p>
      <w:pPr>
        <w:spacing w:after="0" w:line="202"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When assets are retired or disposed of, the cost and accumulated depreciation are removed from the respective accounts and any related gain or loss is recognized. Maintenance and repairs are charged to expense as incurred. Significant expenditures, which extend the useful lives of assets or increase productivity, are capitalized.</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We review long-lived assets for impairment whenever events or changes in circumstances indicate that the carrying value of an asset may not be recoverable.</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60"/>
          </w:cols>
          <w:pgMar w:left="24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Original Stock Option Plan</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Our employees participate in the Equity Incentive Plan of Privateer Holdings, or the Original Plan. The fair value of each award to employees is estimated on the date of grant using the Black-Scholes option pricing model with the following weighted average assumptions as of December 31, 2017: expected life of 5.53 years, risk-free interest rates of 2.01%; expected volatility of 56.32% and no dividends during the expected life. Expected volatility is based on historical volatilities of public companies operating in a similar industry to Privateer Holdings. The expected life of the options represents the period of time options are expected to be outstanding and is estimated considering vesting terms and employees’ historical exercise and post-vesting employment termination behavior. 25% of the options cliff vest on the first anniversary of the grant date and the remainder vest ratably thereafter over a total of four years from the date of grant. The vested options expire, if not exercised, 10 years from the date of grant. The risk-free rate is based on the U.S. Treasury yield curve in effect at the time of grant. The assumptions for the three months ending March 31, 2018 were not significantly different than the assumptions as of December 31, 2017.</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New Stock Option Plan</w:t>
      </w:r>
    </w:p>
    <w:p>
      <w:pPr>
        <w:spacing w:after="0" w:line="81"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In February 2018, we adopted the Amended and Restated 2018 Equity Incentive Plan, or the New Plan. We reserved 6,711,621 shares of common stock for issuance under the New Plan. As at March 31, 2018, there were no stock options, restricted stock units or restricted stock awards granted under the New Plan. Thus, no stock compensation expense under the New Plan has been recognized. The New Plan provides for the granting of stock options, restricted stock units and restricted stock awards to employees, directors, and consultants. Options granted under the New Plan may be either incentive stock options or nonqualified stock options. Incentive stock options may be granted only to employees. Nonqualified stock options and restricted stock awards may be granted to our employees, directors and consultants.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Options under the New Plan may be outstanding for periods of up to 10 years following the grant date. Options and shares of common stock issued under the New Plan are determined by the Board of Directors and may not be issued at less than 100% of the fair value of the shares on the date of the grant provided that the exercise price of any option granted to a stockholder who owns greater than 10% of our outstanding capital stock cannot be less than 110% of the fair value of the shares on the date of grant. Fair value is based on the quoted price of the common stock or is determined by the Board of Directors if a quoted price is not available. Stock options will generally vest over a period of four years and expire, if not exercised, 10 years from the date of grant. Stock options granted to a stockholder that owns greater than 10% of our capital stock expire, if not exercised, five years from the date of grant. Shares of common stock may be issued in exchange for services based on the fair value of the services or the fair value of the common stock at the time of grant, as determined by the Board of Directors.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These financial statements are presented in U.S. dollars, which is our reporting currency. Functional currencies for the entities in these financial statements are their respective local currencies, including the Canadian dollar, Australian dollar and the Euro.</w:t>
      </w:r>
    </w:p>
    <w:p>
      <w:pPr>
        <w:spacing w:after="0" w:line="197"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The assets and liabilities of each entity are translated to U.S. dollars at the exchange rate in effect at the periods ended March 31, 2017 and 2018 and December 31, 2016 and 2017. Certain transactions affecting the stockholder’s equity (deficit) are translated at historical foreign exchange rates. The consolidated statements of net loss and comprehensive loss and statements of cash flows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are translated to U.S. dollars applying the average foreign exchange rate in effect during the reporting period. The resulting translation adjustments are included in other comprehensive income.</w:t>
      </w:r>
    </w:p>
    <w:p>
      <w:pPr>
        <w:spacing w:after="0" w:line="197"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Monetary assets and liabilities denominated in foreign currencies are translated to the functional currency applying the foreign exchange rate in effect at balance sheet date. Revenues and expenses are translated using the average foreign exchange rate for the reporting period. Realized and unrealized foreign currency differences are recognized in the consolidated statement of net loss and comprehensive loss.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an “emerging growth company” as defined in Section 2(a) of the Exchange Act, as modified by the JOBS Act, provides that an emerging growth company can take advantage of the extended transition period provided in Section 13(a) of the Exchange Act for complying with new or revised accounting standards applicable to public companies. We have elected to take advantage of this extended transition period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$ 1.07 billion in annual revenue, have more than $700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Risks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Our exposure to market risk for changes in interest rates relates primarily to our debt facility and investment in marketable securities. Our current mortgage, which expires in June 2018, is at a fixed interest rate. We are currently in the process of refinancing the mortgage, which will be used to repay the mortgage at a more favorable interest rate. However, the new interest rate can fluctuate based on our credit risk and market conditions.</w:t>
      </w:r>
    </w:p>
    <w:p>
      <w:pPr>
        <w:spacing w:after="0" w:line="202"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In February and March 2018, we sold shares of our Series A preferred stock for aggregate gross proceeds of C$69.2 million, or approximately $55.1 million. A portion of the proceeds is invested within the guidelines of our investment policy, which requires investments to be investment grade, with the primary objective of minimizing the potential risk of principal loss.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Our consolidated financial statements are expressed in the U.S. dollar, but the majority of our net assets and liabilities are denominated in the Canadian dollar through our operations in Canada. As a result, we are exposed to foreign currency translation gains and losses. Revenue and expenses of all Canadian operations are translated into the U.S. dollar at the foreign currency exchange rates that approximate the rates in effect at the dates when such items are recognized. Appreciating foreign currencies relative to the U.S. dollar, including the Canadian dollar, will adversely impact operating income and net earnings, while depreciating foreign currencies relative to the U.S. dollar will have positive impact. In addition, our obligations under our credit facilities with Privateer Holdings are denominated in U.S. dollars. A weakening of the Canadian dollar against the U.S. dollar would make it more difficult for us to meet our obligations under our credit facilities with Privateer Holdings. We have not historically engaged in hedging transactions and do not currently contemplate engaging in hedging transactions to mitigate foreign exchange risks. As we continue to recognize gains and losses in</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foreign currency transactions, depending upon changes in future currency rates, such gains or losses could have a significant, and potentially adverse, effect on our results of operations.</w:t>
      </w:r>
    </w:p>
    <w:p>
      <w:pPr>
        <w:spacing w:after="0" w:line="19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February and March 2018, we sold shares of our Series A preferred stock for aggregate gross proceeds of C $69.2 million, or approximately $55.1 million. A portion of the proceeds is invested in U.S. dollars. A depreciating U.S. dollar relative to the Canadian dollar will negatively impact our cash position to fund Canadian operations, while an appreciating U.S. dollar relative to the Canadian dollar will have the opposite impact.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left="200" w:right="880" w:firstLine="331"/>
        <w:spacing w:after="0" w:line="246" w:lineRule="auto"/>
        <w:rPr>
          <w:sz w:val="20"/>
          <w:szCs w:val="20"/>
          <w:color w:val="auto"/>
        </w:rPr>
      </w:pPr>
      <w:r>
        <w:rPr>
          <w:rFonts w:ascii="Arial" w:cs="Arial" w:eastAsia="Arial" w:hAnsi="Arial"/>
          <w:sz w:val="18"/>
          <w:szCs w:val="18"/>
          <w:color w:val="auto"/>
        </w:rPr>
        <w:t>See Note 2 of our consolidated financial statements included elsewhere in this prospectus for recently adopted accounting pronouncements and recently issued accounting pronouncements not yet adopted as of the date of this prospectus.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240" w:top="459" w:right="5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Vision</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We are pioneering the future of medical cannabis research, cultivation, processing and distribution globally, and we intend to become a leader in the adult-use cannabis market in Canada once legalized.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aspire to lead, legitimize and define the future of our industry by building the world’s most trusted cannabis company.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Beliefs</w:t>
      </w:r>
    </w:p>
    <w:p>
      <w:pPr>
        <w:spacing w:after="0" w:line="85"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Our founders started our company because they believe that patients suffering from a diverse range of conditions should be able to access a safe and reliable supply of pure, precise and predictable cannabis products.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company is anchored around three core beliefs:</w:t>
      </w:r>
    </w:p>
    <w:p>
      <w:pPr>
        <w:spacing w:after="0" w:line="239" w:lineRule="exact"/>
        <w:rPr>
          <w:sz w:val="20"/>
          <w:szCs w:val="20"/>
          <w:color w:val="auto"/>
        </w:rPr>
      </w:pPr>
    </w:p>
    <w:p>
      <w:pPr>
        <w:ind w:left="520" w:right="800" w:hanging="316"/>
        <w:spacing w:after="0" w:line="246" w:lineRule="auto"/>
        <w:tabs>
          <w:tab w:leader="none" w:pos="520" w:val="left"/>
        </w:tabs>
        <w:numPr>
          <w:ilvl w:val="0"/>
          <w:numId w:val="41"/>
        </w:numPr>
        <w:rPr>
          <w:rFonts w:ascii="Arial" w:cs="Arial" w:eastAsia="Arial" w:hAnsi="Arial"/>
          <w:sz w:val="15"/>
          <w:szCs w:val="15"/>
          <w:color w:val="auto"/>
        </w:rPr>
      </w:pPr>
      <w:r>
        <w:rPr>
          <w:rFonts w:ascii="Arial" w:cs="Arial" w:eastAsia="Arial" w:hAnsi="Arial"/>
          <w:sz w:val="18"/>
          <w:szCs w:val="18"/>
          <w:color w:val="auto"/>
        </w:rPr>
        <w:t>Medical cannabis is a mainstream medicine consumed by mainstream patients. Similarly, we believe adult-use cannabis is a mainstream product consumed by mainstream consumers;</w:t>
      </w:r>
    </w:p>
    <w:p>
      <w:pPr>
        <w:spacing w:after="0" w:line="21" w:lineRule="exact"/>
        <w:rPr>
          <w:rFonts w:ascii="Arial" w:cs="Arial" w:eastAsia="Arial" w:hAnsi="Arial"/>
          <w:sz w:val="15"/>
          <w:szCs w:val="15"/>
          <w:color w:val="auto"/>
        </w:rPr>
      </w:pPr>
    </w:p>
    <w:p>
      <w:pPr>
        <w:ind w:left="520" w:right="460" w:hanging="316"/>
        <w:spacing w:after="0" w:line="246" w:lineRule="auto"/>
        <w:tabs>
          <w:tab w:leader="none" w:pos="520" w:val="left"/>
        </w:tabs>
        <w:numPr>
          <w:ilvl w:val="0"/>
          <w:numId w:val="41"/>
        </w:numPr>
        <w:rPr>
          <w:rFonts w:ascii="Arial" w:cs="Arial" w:eastAsia="Arial" w:hAnsi="Arial"/>
          <w:sz w:val="15"/>
          <w:szCs w:val="15"/>
          <w:color w:val="auto"/>
        </w:rPr>
      </w:pPr>
      <w:r>
        <w:rPr>
          <w:rFonts w:ascii="Arial" w:cs="Arial" w:eastAsia="Arial" w:hAnsi="Arial"/>
          <w:sz w:val="18"/>
          <w:szCs w:val="18"/>
          <w:color w:val="auto"/>
        </w:rPr>
        <w:t>We are witnessing a global paradigm shift with regard to cannabis, and as a result of this shift, the transformation of a multibillion dollar industry from a state of prohibition to a state of legalization; and</w:t>
      </w:r>
    </w:p>
    <w:p>
      <w:pPr>
        <w:spacing w:after="0" w:line="21" w:lineRule="exact"/>
        <w:rPr>
          <w:rFonts w:ascii="Arial" w:cs="Arial" w:eastAsia="Arial" w:hAnsi="Arial"/>
          <w:sz w:val="15"/>
          <w:szCs w:val="15"/>
          <w:color w:val="auto"/>
        </w:rPr>
      </w:pPr>
    </w:p>
    <w:p>
      <w:pPr>
        <w:ind w:left="520" w:right="160" w:hanging="316"/>
        <w:spacing w:after="0" w:line="246" w:lineRule="auto"/>
        <w:tabs>
          <w:tab w:leader="none" w:pos="520" w:val="left"/>
        </w:tabs>
        <w:numPr>
          <w:ilvl w:val="0"/>
          <w:numId w:val="41"/>
        </w:numPr>
        <w:rPr>
          <w:rFonts w:ascii="Arial" w:cs="Arial" w:eastAsia="Arial" w:hAnsi="Arial"/>
          <w:sz w:val="15"/>
          <w:szCs w:val="15"/>
          <w:color w:val="auto"/>
        </w:rPr>
      </w:pPr>
      <w:r>
        <w:rPr>
          <w:rFonts w:ascii="Arial" w:cs="Arial" w:eastAsia="Arial" w:hAnsi="Arial"/>
          <w:sz w:val="18"/>
          <w:szCs w:val="18"/>
          <w:color w:val="auto"/>
        </w:rPr>
        <w:t>As this transformation occurs, trusted global brands with multinational supply chains will win the market by earning the confidence of patients, doctors, governments and adult consumers around the world.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We have supplied high-quality cannabis products to tens of thousands of patients in 10 countries spanning five continents through our subsidiaries in Australia, Canada and Germany and through agreements with established pharmaceutical distributors, and we produce medical cannabis in Canada and Europe.</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We operate only in countries where cannabis is legal, by which we mean the activities in those countries are permitted under all applicable federal and state or provincial laws. We do not produce, process or distribute cannabis in the United States, where it remains a controlled substance under U.S. federal law despite being authorized for medical and adult use by many U.S. states.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have been an early leader in the development of the global medical cannabis market. We were one of the first companies to be licensed by Health Canada to cultivate and sell medical cannabis in Canada, and also one of the first companies to become a licensed dealer of medical cannabis in Canada. These licenses allow us to produce and sell medical cannabis in Canada, to develop new and innovative cannabis products and to export medical cannabis products to other countries in accordance with applicable laws. The cannabis industry is expanding rapidly in Canada, with more than 100 other companies that are currently licensed, though only a few were licensed earlier than us, and there are hundreds more applications for licenses that are being processed by Health Canada. Our products are currently available in Argentina, Australia, Canada, Chile, Croatia, Cyprus, the Czech Republic, Germany, New Zealand and South Africa. While there are other Licensed Producers operating in multiple countries, including some licensed in Canada, and other non-cannabis companies expanding into the cannabis market internationally, we were the first company to legally export medical cannabis from North America to Africa, Australia, Europe and South America, and we were among the first companies to be licensed to cultivate and process medical cannabis in two countries, Canada and Portugal.</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Our company is led by a team of visionary entrepreneurs, experienced operators and cannabis industry experts as well as PhD scientists, horticulturists and extraction specialists who apply the latest scientific knowledge and technology to deliver quality-controlled, rigorously tested cannabis products on a large scale. We have made significant investments to establish Tilray as a scientifically rigorous medical cannabis brand. Recognizing the opportunity associated with growing cannabis on a large scale, we have invested capital to develop innovative cultivation practices, proprietary product formulations and automated production processes. We have also invested in clinical trials and recruited a Medical Advisory Board comprised of highly accomplished researchers and physicians. We were the first cannabis company with a North American production facility to be GMP-certified in accordance with EMA standards. An internationally recognized standard, GMP certification is the primary quality standard that pharmaceutical manufacturers must meet in their production processes.</w:t>
      </w:r>
    </w:p>
    <w:p>
      <w:pPr>
        <w:spacing w:after="0" w:line="207" w:lineRule="exact"/>
        <w:rPr>
          <w:sz w:val="20"/>
          <w:szCs w:val="20"/>
          <w:color w:val="auto"/>
        </w:rPr>
      </w:pPr>
    </w:p>
    <w:p>
      <w:pPr>
        <w:ind w:left="200" w:right="400" w:firstLine="331"/>
        <w:spacing w:after="0" w:line="239" w:lineRule="auto"/>
        <w:rPr>
          <w:sz w:val="20"/>
          <w:szCs w:val="20"/>
          <w:color w:val="auto"/>
        </w:rPr>
      </w:pPr>
      <w:r>
        <w:rPr>
          <w:rFonts w:ascii="Arial" w:cs="Arial" w:eastAsia="Arial" w:hAnsi="Arial"/>
          <w:sz w:val="18"/>
          <w:szCs w:val="18"/>
          <w:color w:val="auto"/>
        </w:rPr>
        <w:t>We believe our growth to date is a result of our global strategy, our multinational supply chain and distribution network and our methodical commitment to research, innovation, quality and operational excellence. We believe that recognized and trusted brands distributed through multinational supply chains will be best positioned to become global market leaders. Our strategy is to build these brands by consistently producing high-quality, differentiated products on a large scale.</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expect to have a competitive advantage in the Canadian adult-use market pending the adoption of proposed federal legislation and corresponding provincial legislation that is anticipated to legalize adult-use cannabis in Canada in 2018. Based on the currently proposed legislation, we believe our existing medical licenses under the ACMPR will grant us the ability to produce and sell cannabis for the adult-use market. To capitalize on this opportunity, we have secured the exclusive rights to produce and distribute a broad-based portfolio of certain adult-use brands and products in Canada. The brand licensing agreement includes the rights to recognized brands and proprietary formulations for a wide range of products. We have not been granted exclusive rights by the Canadian government to produce or distribute any category of cannabis products.</w:t>
      </w:r>
    </w:p>
    <w:p>
      <w:pPr>
        <w:spacing w:after="0" w:line="203" w:lineRule="exact"/>
        <w:rPr>
          <w:sz w:val="20"/>
          <w:szCs w:val="20"/>
          <w:color w:val="auto"/>
        </w:rPr>
      </w:pPr>
    </w:p>
    <w:p>
      <w:pPr>
        <w:ind w:left="200" w:firstLine="331"/>
        <w:spacing w:after="0" w:line="248" w:lineRule="auto"/>
        <w:rPr>
          <w:sz w:val="20"/>
          <w:szCs w:val="20"/>
          <w:color w:val="auto"/>
        </w:rPr>
      </w:pPr>
      <w:r>
        <w:rPr>
          <w:rFonts w:ascii="Arial" w:cs="Arial" w:eastAsia="Arial" w:hAnsi="Arial"/>
          <w:sz w:val="17"/>
          <w:szCs w:val="17"/>
          <w:color w:val="auto"/>
        </w:rPr>
        <w:t>We were originally formed as a subsidiary of Privateer Holdings, one of the first institutionally backed private investment firms to focus exclusively on the cannabis industry. Privateer Holdings’ portfolio of brands also includes Leafly, Marley Natural and Goodship. Following</w:t>
      </w:r>
    </w:p>
    <w:p>
      <w:pPr>
        <w:spacing w:after="0" w:line="1"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this offering, we expect that Privateer Holdings will own approximately % of our equity interest and % of the voting power in our capital stock. In addition, our ongoing relationship with Privateer Holdings will continue to include the provision of certain management services, the licensing of many of our anticipated adult-use brands and products and certain debt obligations.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60"/>
          </w:cols>
          <w:pgMar w:left="24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88585" cy="3155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8858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Industry</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believe we are witnessing a global paradigm shift transforming the multibillion dollar cannabis industry from a state of prohibition to a state of legalization, but the legal market is still in its early stages. Moreover, we expect the number of countries with legalized regimes to continue to increase, creating numerous and sizable opportunities for market participants, including us. According to the United Nations, the global cannabis market, including the illicit market, is estimated to be $150 billion annually, and approximately 3.8% of the adult population, or over 180 million people, are estimated to be cannabis users.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3738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3985" cy="373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Global Medical Market</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Although cannabis is still heavily regulated, medical use is now authorized at the national or federal level in 28 countries. The pace of regulatory change globally has been rapid, with more than 24 countries having introduced significant reforms to their cannabis-use laws to broaden the scope of permitted use since the beginning of 2015. Given many countries have only recently legalized medical cannabis and, in many cases, only within narrowly defined parameters, we expect significant growth of cannabis products within these countries as these parameters are broadened and adoption increases.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Canada</w:t>
      </w:r>
    </w:p>
    <w:p>
      <w:pPr>
        <w:spacing w:after="0" w:line="81"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Canadian medical cannabis industry has experienced extensive growth since 2014. According to data published by Health Canada, there were 7,914 patients registered to use cannabis in Canada under the Access to Cannabis for Medical Purposes, or the ACMPR, in June 2014, which had increased to 235,621 registered patients as of September 2017. Health Canada projects the Canadian medical cannabis market will reach 450,000 registered patients and C$1.3 billion in annual value by 2024.</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43649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4364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European Union</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With a population of more than 500 million, 14 times the population of Canada, and the largest regional economy in the world with a GDP 11 times the GDP of Canada, we expect the European Union to eventually become the largest medical cannabis market. This is expected to be driven by the availability of medical cannabis through government-subsidized health care systems. Currently, 10 of the 28 countries in the European Union have authorized medical cannabis use with an additional two countries, Denmark and Luxembourg, having authorized multi-year pilot programs in advance of permanent authorization. Some of these countries allow the import of only small quantities of cannabis for patient use, while others, such as the Czech Republic, Italy and the Netherlands, have developed regulations governing limited domestic cultivation for medical use. We expect the European market to grow as established medical programs are expanded, as adoption by physicians and patients increases and as more countries introduce medical programs. Prohibition Partners projects a €36 billion annual medical cannabis market in Europe based on a fully legal and regulated market.</w:t>
      </w:r>
    </w:p>
    <w:p>
      <w:pPr>
        <w:spacing w:after="0" w:line="22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believe that Germany, which legalized medical cannabis in March 2017, presents the largest market opportunity in the European Union in the near term. While the German market is still in its early stages, its population, which is 2.2 times the population of Canada, GDP, which is 2.3 times the GDP of Canada, and regulatory framework, which enables insurance company coverage of medical cannabis claims for certain</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60"/>
          </w:cols>
          <w:pgMar w:left="24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conditions, lead us to believe there is substantial market potential. Prohibition Partners projects a €10 billion annual medical cannabis market in Germany based on a fully legal and regulated market.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Rest of World</w:t>
      </w:r>
    </w:p>
    <w:p>
      <w:pPr>
        <w:spacing w:after="0" w:line="95" w:lineRule="exact"/>
        <w:rPr>
          <w:sz w:val="20"/>
          <w:szCs w:val="20"/>
          <w:color w:val="auto"/>
        </w:rPr>
      </w:pPr>
    </w:p>
    <w:p>
      <w:pPr>
        <w:jc w:val="both"/>
        <w:ind w:left="200" w:right="660" w:firstLine="331"/>
        <w:spacing w:after="0"/>
        <w:rPr>
          <w:sz w:val="20"/>
          <w:szCs w:val="20"/>
          <w:color w:val="auto"/>
        </w:rPr>
      </w:pPr>
      <w:r>
        <w:rPr>
          <w:rFonts w:ascii="Arial" w:cs="Arial" w:eastAsia="Arial" w:hAnsi="Arial"/>
          <w:sz w:val="18"/>
          <w:szCs w:val="18"/>
          <w:color w:val="auto"/>
        </w:rPr>
        <w:t>While Canada and the European Union represent the largest near-term opportunities with regard to medical sales, many other countries around the world are also legalizing medical cannabis at a rapid pace. Australia, Argentina, Brazil, Colombia, Chile, New Zealand and South Africa are among countries that have legalized medical cannabis for certain accepted uses.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Adult Use</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In 2018, Canada is expected to become the first major industrialized nation to legalize adult-use cannabis at both the federal and provincial levels. With legalization, we expect most illicit cannabis consumption to transition to the legal market. In the 2016 publication by Deloitte Insights and Opportunities, Recreational Marijuana, the projected size of the Canadian adult-use market ranged from C$4.9 billion to C$8.7 billion annually. We also expect a number of new entrants into the market following legalization.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Opportunity</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are approaching our industry from a long-term, global perspective and see opportunities to:</w:t>
      </w:r>
    </w:p>
    <w:p>
      <w:pPr>
        <w:spacing w:after="0" w:line="190"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b w:val="1"/>
          <w:bCs w:val="1"/>
          <w:i w:val="1"/>
          <w:iCs w:val="1"/>
          <w:color w:val="auto"/>
        </w:rPr>
        <w:t xml:space="preserve">Build global brands that lead, legitimize and define the future of cannabis. </w:t>
      </w:r>
      <w:r>
        <w:rPr>
          <w:rFonts w:ascii="Arial" w:cs="Arial" w:eastAsia="Arial" w:hAnsi="Arial"/>
          <w:sz w:val="18"/>
          <w:szCs w:val="18"/>
          <w:color w:val="auto"/>
        </w:rPr>
        <w:t>Historically, cannabis has been an unbranded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As the legal cannabis industry emerges in more countries around the world, we see an opportunity to create a broad-based portfolio of differentiated professional brands that appeal to a diverse set of patients and consumers. We believe that we have the ability to develop dominant global brands and that as we develop these brands, we will expand the addressable market for our products. We believe our business has the potential to disrupt the pharmaceuticals, alcohol, tobacco and functional food and beverages industries because the emergence of the legal cannabis industry may result in a shift of discretionary income and/or a change in consumer preferences in favor of cannabis products versus their products. Recognizing the potential of this disruption, several companies in these sectors have already formed partnerships or made investments to gain exposure to the legal cannabis industry, including Sandoz Canada, Apotex Inc., Alliance One International, Inc., and Constellation Brands, Inc. In addition, several alcohol companies have noted in regulatory filings that legal cannabis could have an adverse impact on their business, including Boston Beer Company, Molson Coors Brewing Company, and Craft Brew Alliance, Inc. We further believe that many patients rely on medical cannabis as a substitute to opioids and other narcotics, which has been validated by our annual patient study and peer-reviewed academic research which has demonstrated that the legalization of cannabis has coincided with a decline in the use of prescription drugs. Lastly, we believe that functional food and beverages, that is, products containing or enhanced with vitamins, caffeine, electrolytes, probiotics and other additives and ingredients, will see increased competition from products containing cannabinoids. For example, we believe that many consumers will choose cannabinoid-enhanced beverages in favor of sports drinks or energy drinks.</w:t>
      </w:r>
    </w:p>
    <w:p>
      <w:pPr>
        <w:spacing w:after="0" w:line="187" w:lineRule="exact"/>
        <w:rPr>
          <w:sz w:val="20"/>
          <w:szCs w:val="20"/>
          <w:color w:val="auto"/>
        </w:rPr>
      </w:pPr>
    </w:p>
    <w:p>
      <w:pPr>
        <w:ind w:left="200" w:firstLine="331"/>
        <w:spacing w:after="0" w:line="244" w:lineRule="auto"/>
        <w:rPr>
          <w:sz w:val="20"/>
          <w:szCs w:val="20"/>
          <w:color w:val="auto"/>
        </w:rPr>
      </w:pPr>
      <w:r>
        <w:rPr>
          <w:rFonts w:ascii="Arial" w:cs="Arial" w:eastAsia="Arial" w:hAnsi="Arial"/>
          <w:sz w:val="18"/>
          <w:szCs w:val="18"/>
          <w:b w:val="1"/>
          <w:bCs w:val="1"/>
          <w:i w:val="1"/>
          <w:iCs w:val="1"/>
          <w:color w:val="auto"/>
        </w:rPr>
        <w:t xml:space="preserve">Develop innovative products and form factors that change the way the world consumes cannabis. </w:t>
      </w:r>
      <w:r>
        <w:rPr>
          <w:rFonts w:ascii="Arial" w:cs="Arial" w:eastAsia="Arial" w:hAnsi="Arial"/>
          <w:sz w:val="18"/>
          <w:szCs w:val="18"/>
          <w:color w:val="auto"/>
        </w:rPr>
        <w:t>We believe the future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cannabis industry lies primarily in non-combustible products that will offer patients and consumers alternatives to smoking. We see an opportunity to partner with established pharmaceutical, food, beverage and consumer product companies to develop new non-combustible form factors that will appeal to consumers who are not interested in smoking cannabis. By developing these products, we believe we will expand the addressable market for our products.</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Expand the availability of pure, precise and predictable medical cannabis products for patients in need around the world.</w:t>
      </w:r>
    </w:p>
    <w:p>
      <w:pPr>
        <w:spacing w:after="0" w:line="18"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Over the past four years we have seen significant increases in demand from patients and governments for pharmaceutical -grade cannabis products. We believe we are well-positioned to expand availability of these products to more patients in more countries as medical cannabis is increasingly recognized as a viable treatment option for patients suffering from a variety of diseases and conditions. Importantly, most European countries have required that all medical products sold be sourced from GMP-certified facilities. As such, GMP-certified producers, such as us, are well-positioned to establish market share in the European medical cannabis market. There are currently five GMP-certified Licensed Producers, including us.</w:t>
      </w:r>
    </w:p>
    <w:p>
      <w:pPr>
        <w:spacing w:after="0" w:line="183" w:lineRule="exact"/>
        <w:rPr>
          <w:sz w:val="20"/>
          <w:szCs w:val="20"/>
          <w:color w:val="auto"/>
        </w:rPr>
      </w:pPr>
    </w:p>
    <w:p>
      <w:pPr>
        <w:ind w:left="200" w:right="60" w:firstLine="331"/>
        <w:spacing w:after="0" w:line="244" w:lineRule="auto"/>
        <w:rPr>
          <w:sz w:val="20"/>
          <w:szCs w:val="20"/>
          <w:color w:val="auto"/>
        </w:rPr>
      </w:pPr>
      <w:r>
        <w:rPr>
          <w:rFonts w:ascii="Arial" w:cs="Arial" w:eastAsia="Arial" w:hAnsi="Arial"/>
          <w:sz w:val="18"/>
          <w:szCs w:val="18"/>
          <w:b w:val="1"/>
          <w:bCs w:val="1"/>
          <w:i w:val="1"/>
          <w:iCs w:val="1"/>
          <w:color w:val="auto"/>
        </w:rPr>
        <w:t xml:space="preserve">Foster mainstream acceptance of the therapeutic potential of medical cannabis and cannabinoid-based medicines. </w:t>
      </w:r>
      <w:r>
        <w:rPr>
          <w:rFonts w:ascii="Arial" w:cs="Arial" w:eastAsia="Arial" w:hAnsi="Arial"/>
          <w:sz w:val="18"/>
          <w:szCs w:val="18"/>
          <w:color w:val="auto"/>
        </w:rPr>
        <w:t>We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opportunity to significantly expand the global market for medical cannabis products by conducting clinical research into the safety and efficacy of medical cannabis for a diverse range of conditions. By generating clinical data demonstrating the safety and efficacy of medical cannabis and cannabinoid-based medicines for various conditions, we see an opportunity to significantly expand and dominate the global medical cannabis market.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Strengths</w:t>
      </w:r>
    </w:p>
    <w:p>
      <w:pPr>
        <w:spacing w:after="0" w:line="77" w:lineRule="exact"/>
        <w:rPr>
          <w:sz w:val="20"/>
          <w:szCs w:val="20"/>
          <w:color w:val="auto"/>
        </w:rPr>
      </w:pPr>
    </w:p>
    <w:p>
      <w:pPr>
        <w:ind w:left="200" w:right="40" w:firstLine="331"/>
        <w:spacing w:after="0" w:line="242" w:lineRule="auto"/>
        <w:rPr>
          <w:sz w:val="20"/>
          <w:szCs w:val="20"/>
          <w:color w:val="auto"/>
        </w:rPr>
      </w:pPr>
      <w:r>
        <w:rPr>
          <w:rFonts w:ascii="Arial" w:cs="Arial" w:eastAsia="Arial" w:hAnsi="Arial"/>
          <w:sz w:val="18"/>
          <w:szCs w:val="18"/>
          <w:b w:val="1"/>
          <w:bCs w:val="1"/>
          <w:i w:val="1"/>
          <w:iCs w:val="1"/>
          <w:color w:val="auto"/>
        </w:rPr>
        <w:t xml:space="preserve">We are a global pioneer with a multinational supply chain and distribution network. </w:t>
      </w:r>
      <w:r>
        <w:rPr>
          <w:rFonts w:ascii="Arial" w:cs="Arial" w:eastAsia="Arial" w:hAnsi="Arial"/>
          <w:sz w:val="18"/>
          <w:szCs w:val="18"/>
          <w:color w:val="auto"/>
        </w:rPr>
        <w:t>In a fragmented industry, we believe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the only cannabis companies to establish a global footprint. We were the first cannabis producer to export medical cannabis from North America and legally import cannabis into the European Union. We have licenses to cultivate cannabis in Canada and Portugal. Today, our products are available in 10 countries spanning five continents, which we believe is more than any other Licensed Producer. To distribute our medical products today and in the future, we have signed agreements or binding letters of intent with established pharmaceutical distributors and retailers including:</w:t>
      </w:r>
    </w:p>
    <w:p>
      <w:pPr>
        <w:spacing w:after="0" w:line="228" w:lineRule="exact"/>
        <w:rPr>
          <w:sz w:val="20"/>
          <w:szCs w:val="20"/>
          <w:color w:val="auto"/>
        </w:rPr>
      </w:pPr>
    </w:p>
    <w:p>
      <w:pPr>
        <w:ind w:left="520" w:right="360" w:hanging="316"/>
        <w:spacing w:after="0"/>
        <w:tabs>
          <w:tab w:leader="none" w:pos="520" w:val="left"/>
        </w:tabs>
        <w:numPr>
          <w:ilvl w:val="0"/>
          <w:numId w:val="42"/>
        </w:numPr>
        <w:rPr>
          <w:rFonts w:ascii="Arial" w:cs="Arial" w:eastAsia="Arial" w:hAnsi="Arial"/>
          <w:sz w:val="15"/>
          <w:szCs w:val="15"/>
          <w:color w:val="auto"/>
        </w:rPr>
      </w:pPr>
      <w:r>
        <w:rPr>
          <w:rFonts w:ascii="Arial" w:cs="Arial" w:eastAsia="Arial" w:hAnsi="Arial"/>
          <w:sz w:val="18"/>
          <w:szCs w:val="18"/>
          <w:color w:val="auto"/>
        </w:rPr>
        <w:t>Binding letter of intent with Sandoz Canada, a division of Novartis, to collaborate on the creation and sale of co-branded and co-developed non-combustible medical cannabis products. To date, we have not received any revenue or paid any fees under this agreement, but have begun co-branding activities as we work towards the finalization of a definitive agreement.</w:t>
      </w:r>
    </w:p>
    <w:p>
      <w:pPr>
        <w:spacing w:after="0" w:line="27" w:lineRule="exact"/>
        <w:rPr>
          <w:rFonts w:ascii="Arial" w:cs="Arial" w:eastAsia="Arial" w:hAnsi="Arial"/>
          <w:sz w:val="15"/>
          <w:szCs w:val="15"/>
          <w:color w:val="auto"/>
        </w:rPr>
      </w:pPr>
    </w:p>
    <w:p>
      <w:pPr>
        <w:ind w:left="520" w:hanging="316"/>
        <w:spacing w:after="0" w:line="272"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7"/>
          <w:szCs w:val="17"/>
          <w:color w:val="auto"/>
        </w:rPr>
        <w:t>Supply agreement with Shoppers Drug Mart Inc., or Shoppers, Canada’s largest pharmacy chain with more than 1,200 pharmacies. We expect to supply Tilray products under this agreement following approval of Shoppers’ application to become a Licensed Producer.</w:t>
      </w:r>
    </w:p>
    <w:p>
      <w:pPr>
        <w:spacing w:after="0" w:line="2" w:lineRule="exact"/>
        <w:rPr>
          <w:rFonts w:ascii="Arial" w:cs="Arial" w:eastAsia="Arial" w:hAnsi="Arial"/>
          <w:sz w:val="14"/>
          <w:szCs w:val="14"/>
          <w:color w:val="auto"/>
        </w:rPr>
      </w:pPr>
    </w:p>
    <w:p>
      <w:pPr>
        <w:ind w:left="520" w:hanging="316"/>
        <w:spacing w:after="0" w:line="239" w:lineRule="auto"/>
        <w:tabs>
          <w:tab w:leader="none" w:pos="520" w:val="left"/>
        </w:tabs>
        <w:numPr>
          <w:ilvl w:val="0"/>
          <w:numId w:val="42"/>
        </w:numPr>
        <w:rPr>
          <w:rFonts w:ascii="Arial" w:cs="Arial" w:eastAsia="Arial" w:hAnsi="Arial"/>
          <w:sz w:val="15"/>
          <w:szCs w:val="15"/>
          <w:color w:val="auto"/>
        </w:rPr>
      </w:pPr>
      <w:r>
        <w:rPr>
          <w:rFonts w:ascii="Arial" w:cs="Arial" w:eastAsia="Arial" w:hAnsi="Arial"/>
          <w:sz w:val="18"/>
          <w:szCs w:val="18"/>
          <w:color w:val="auto"/>
        </w:rPr>
        <w:t>Binding letter of intent with Pharmasave Drugs (National) Ltd., or Pharmasave, one of Canada’s leading independent pharmacy chains with more than 650 pharmacies. We are currently negotiating definitive agreements, which we anticipate will allow us to supply Pharmasave stores with Tilray products contingent upon a change in laws that permits Canadian pharmacies to distribute medical cannabis to patients.</w:t>
      </w:r>
    </w:p>
    <w:p>
      <w:pPr>
        <w:spacing w:after="0" w:line="26" w:lineRule="exact"/>
        <w:rPr>
          <w:rFonts w:ascii="Arial" w:cs="Arial" w:eastAsia="Arial" w:hAnsi="Arial"/>
          <w:sz w:val="15"/>
          <w:szCs w:val="15"/>
          <w:color w:val="auto"/>
        </w:rPr>
      </w:pPr>
    </w:p>
    <w:p>
      <w:pPr>
        <w:ind w:left="520" w:right="420" w:hanging="316"/>
        <w:spacing w:after="0" w:line="261" w:lineRule="auto"/>
        <w:tabs>
          <w:tab w:leader="none" w:pos="520" w:val="left"/>
        </w:tabs>
        <w:numPr>
          <w:ilvl w:val="0"/>
          <w:numId w:val="42"/>
        </w:numPr>
        <w:rPr>
          <w:rFonts w:ascii="Arial" w:cs="Arial" w:eastAsia="Arial" w:hAnsi="Arial"/>
          <w:sz w:val="14"/>
          <w:szCs w:val="14"/>
          <w:color w:val="auto"/>
        </w:rPr>
      </w:pPr>
      <w:r>
        <w:rPr>
          <w:rFonts w:ascii="Arial" w:cs="Arial" w:eastAsia="Arial" w:hAnsi="Arial"/>
          <w:sz w:val="17"/>
          <w:szCs w:val="17"/>
          <w:color w:val="auto"/>
        </w:rPr>
        <w:t>Partnership agreement with Noweda, one of Germany’s largest pharmaceutical wholesalers, for Noweda’s purchase, storage and distribution of Tilray medical products of cannabis products to pharmacies in Germany. To date, we have supplied approximately 1,100 extract units of product to Noweda for fulfillment to pharmacies, which represents approximately C$220,000 in revenue.</w:t>
      </w:r>
    </w:p>
    <w:p>
      <w:pPr>
        <w:spacing w:after="0" w:line="186"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We have also signed agreements to supply adult-use cannabis to two provinces and one territory when legalization occurs in Canada. We expect to make the first shipments under these agreements on or around the effective date of adult-use legalization in Canada, and we intend to sign similar agreements to supply crown corporations and private entities in other provinces and territories later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2033270</wp:posOffset>
            </wp:positionH>
            <wp:positionV relativeFrom="paragraph">
              <wp:posOffset>-324485</wp:posOffset>
            </wp:positionV>
            <wp:extent cx="317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firstLine="331"/>
        <w:spacing w:after="0" w:line="241" w:lineRule="auto"/>
        <w:rPr>
          <w:sz w:val="20"/>
          <w:szCs w:val="20"/>
          <w:color w:val="auto"/>
        </w:rPr>
      </w:pPr>
      <w:r>
        <w:rPr>
          <w:rFonts w:ascii="Arial" w:cs="Arial" w:eastAsia="Arial" w:hAnsi="Arial"/>
          <w:sz w:val="18"/>
          <w:szCs w:val="18"/>
          <w:b w:val="1"/>
          <w:bCs w:val="1"/>
          <w:i w:val="1"/>
          <w:iCs w:val="1"/>
          <w:color w:val="auto"/>
        </w:rPr>
        <w:t xml:space="preserve">We have a scientifically rigorous medical cannabis brand approved by governments to supply patients and researchers on five continents. </w:t>
      </w:r>
      <w:r>
        <w:rPr>
          <w:rFonts w:ascii="Arial" w:cs="Arial" w:eastAsia="Arial" w:hAnsi="Arial"/>
          <w:sz w:val="18"/>
          <w:szCs w:val="18"/>
          <w:color w:val="auto"/>
        </w:rPr>
        <w:t>Governments in 10 countries have issued permits allowing our medical cannabis products to be imported for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patients. We believe governments have approved the importation of our products in part because of our reputation for being a scientifically rigorous medical cannabis company known for delivering safe, high-quality products. We are committed to advancing scientific knowledge about the therapeutic potential of cannabis, as demonstrated by our success receiving federal authorizations to supply cannabinoid products to clinical trials in Australia and Canada and by recruiting a Medical Advisory Board comprised of highly accomplished researchers and physicians specializing in autism, epilepsy, cancer, dermatology and neuropathic pain.</w:t>
      </w:r>
    </w:p>
    <w:p>
      <w:pPr>
        <w:spacing w:after="0" w:line="179" w:lineRule="exact"/>
        <w:rPr>
          <w:sz w:val="20"/>
          <w:szCs w:val="20"/>
          <w:color w:val="auto"/>
        </w:rPr>
      </w:pPr>
    </w:p>
    <w:p>
      <w:pPr>
        <w:ind w:left="200" w:right="120" w:firstLine="331"/>
        <w:spacing w:after="0" w:line="242" w:lineRule="auto"/>
        <w:rPr>
          <w:sz w:val="20"/>
          <w:szCs w:val="20"/>
          <w:color w:val="auto"/>
        </w:rPr>
      </w:pPr>
      <w:r>
        <w:rPr>
          <w:rFonts w:ascii="Arial" w:cs="Arial" w:eastAsia="Arial" w:hAnsi="Arial"/>
          <w:sz w:val="18"/>
          <w:szCs w:val="18"/>
          <w:b w:val="1"/>
          <w:bCs w:val="1"/>
          <w:i w:val="1"/>
          <w:iCs w:val="1"/>
          <w:color w:val="auto"/>
        </w:rPr>
        <w:t xml:space="preserve">We have secured the exclusive rights to produce and distribute a broad-based portfolio of certain adult-use brands and products to Canadian consumers when adult-use legalization occurs. </w:t>
      </w:r>
      <w:r>
        <w:rPr>
          <w:rFonts w:ascii="Arial" w:cs="Arial" w:eastAsia="Arial" w:hAnsi="Arial"/>
          <w:sz w:val="18"/>
          <w:szCs w:val="18"/>
          <w:color w:val="auto"/>
        </w:rPr>
        <w:t>The brand licensing agreement between a wholly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ours and a wholly owned subsidiary of Privateer Holdings provides us with intellectual property that we believe will give us a competitive advantage when the adult-use market launches in Canada. The brand licensing agreement includes the rights to recognized brand names and proprietary product formulations for a wide range of products. We have not been granted exclusive rights by the Canadian government to produce or distribute any category of cannabis products.</w:t>
      </w:r>
    </w:p>
    <w:p>
      <w:pPr>
        <w:spacing w:after="0" w:line="179" w:lineRule="exact"/>
        <w:rPr>
          <w:sz w:val="20"/>
          <w:szCs w:val="20"/>
          <w:color w:val="auto"/>
        </w:rPr>
      </w:pPr>
    </w:p>
    <w:p>
      <w:pPr>
        <w:ind w:left="200" w:right="20" w:firstLine="331"/>
        <w:spacing w:after="0" w:line="244" w:lineRule="auto"/>
        <w:rPr>
          <w:sz w:val="20"/>
          <w:szCs w:val="20"/>
          <w:color w:val="auto"/>
        </w:rPr>
      </w:pPr>
      <w:r>
        <w:rPr>
          <w:rFonts w:ascii="Arial" w:cs="Arial" w:eastAsia="Arial" w:hAnsi="Arial"/>
          <w:sz w:val="18"/>
          <w:szCs w:val="18"/>
          <w:b w:val="1"/>
          <w:bCs w:val="1"/>
          <w:i w:val="1"/>
          <w:iCs w:val="1"/>
          <w:color w:val="auto"/>
        </w:rPr>
        <w:t xml:space="preserve">We have a track record for pioneering research and innovation within our industry. </w:t>
      </w:r>
      <w:r>
        <w:rPr>
          <w:rFonts w:ascii="Arial" w:cs="Arial" w:eastAsia="Arial" w:hAnsi="Arial"/>
          <w:sz w:val="18"/>
          <w:szCs w:val="18"/>
          <w:color w:val="auto"/>
        </w:rPr>
        <w:t>We believe our commitment to research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innovation at this early stage of our industry’s development differentiates us and gives us a competitive advantage. We have invested significant capital to develop innovative cultivation practices and facilities and proprietary product formulations. Our Licensed Dealer designation under the NCR gives us a competitive advantage because it allows us to access a global marketplace for product formulations and form factors that are currently not approved for sale under the ACMPR.</w:t>
      </w:r>
    </w:p>
    <w:p>
      <w:pPr>
        <w:spacing w:after="0" w:line="177" w:lineRule="exact"/>
        <w:rPr>
          <w:sz w:val="20"/>
          <w:szCs w:val="20"/>
          <w:color w:val="auto"/>
        </w:rPr>
      </w:pPr>
    </w:p>
    <w:p>
      <w:pPr>
        <w:ind w:left="200" w:firstLine="331"/>
        <w:spacing w:after="0" w:line="244" w:lineRule="auto"/>
        <w:rPr>
          <w:sz w:val="20"/>
          <w:szCs w:val="20"/>
          <w:color w:val="auto"/>
        </w:rPr>
      </w:pPr>
      <w:r>
        <w:rPr>
          <w:rFonts w:ascii="Arial" w:cs="Arial" w:eastAsia="Arial" w:hAnsi="Arial"/>
          <w:sz w:val="18"/>
          <w:szCs w:val="18"/>
          <w:b w:val="1"/>
          <w:bCs w:val="1"/>
          <w:i w:val="1"/>
          <w:iCs w:val="1"/>
          <w:color w:val="auto"/>
        </w:rPr>
        <w:t xml:space="preserve">We have developed a rigorous, proprietary production process to ensure consistency and quality as we increase the scale of our operations globally. </w:t>
      </w:r>
      <w:r>
        <w:rPr>
          <w:rFonts w:ascii="Arial" w:cs="Arial" w:eastAsia="Arial" w:hAnsi="Arial"/>
          <w:sz w:val="18"/>
          <w:szCs w:val="18"/>
          <w:color w:val="auto"/>
        </w:rPr>
        <w:t>We pride ourselves on consistently delivering high-quality products with precise chemical compositions.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the first cannabis company with a North American production facility to be GMP-certified in accordance with EMA standards. We believe GMP certification provides regulators and health care providers in countries new to medical cannabis with confidence that our products are a safe, high-quality choice.</w:t>
      </w:r>
    </w:p>
    <w:p>
      <w:pPr>
        <w:spacing w:after="0" w:line="177" w:lineRule="exact"/>
        <w:rPr>
          <w:sz w:val="20"/>
          <w:szCs w:val="20"/>
          <w:color w:val="auto"/>
        </w:rPr>
      </w:pPr>
    </w:p>
    <w:p>
      <w:pPr>
        <w:ind w:left="200" w:right="100" w:firstLine="331"/>
        <w:spacing w:after="0" w:line="244" w:lineRule="auto"/>
        <w:rPr>
          <w:sz w:val="20"/>
          <w:szCs w:val="20"/>
          <w:color w:val="auto"/>
        </w:rPr>
      </w:pPr>
      <w:r>
        <w:rPr>
          <w:rFonts w:ascii="Arial" w:cs="Arial" w:eastAsia="Arial" w:hAnsi="Arial"/>
          <w:sz w:val="18"/>
          <w:szCs w:val="18"/>
          <w:b w:val="1"/>
          <w:bCs w:val="1"/>
          <w:i w:val="1"/>
          <w:iCs w:val="1"/>
          <w:color w:val="auto"/>
        </w:rPr>
        <w:t xml:space="preserve">We have a highly experienced management team. </w:t>
      </w:r>
      <w:r>
        <w:rPr>
          <w:rFonts w:ascii="Arial" w:cs="Arial" w:eastAsia="Arial" w:hAnsi="Arial"/>
          <w:sz w:val="18"/>
          <w:szCs w:val="18"/>
          <w:color w:val="auto"/>
        </w:rPr>
        <w:t>We believe our management team is one of the most knowledgeable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experienced in the cannabis industry. We recognize that our industry is in the early stages of its development and that we are taking a long-term, global view towards its development. Our management team has significant experience evaluating potential transactions, partnerships and other growth opportunities, and we pride ourselves on making investment decisions that we believe will allow us to grow our business over the long term.</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aspire to build the world’s most trusted global cannabis company through the following key strategies:</w:t>
      </w:r>
    </w:p>
    <w:p>
      <w:pPr>
        <w:spacing w:after="0" w:line="190" w:lineRule="exact"/>
        <w:rPr>
          <w:sz w:val="20"/>
          <w:szCs w:val="20"/>
          <w:color w:val="auto"/>
        </w:rPr>
      </w:pPr>
    </w:p>
    <w:p>
      <w:pPr>
        <w:ind w:left="2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Expanding our production capacity in North America and Europe to meet current and expected long-term demand growth. </w:t>
      </w:r>
      <w:r>
        <w:rPr>
          <w:rFonts w:ascii="Arial" w:cs="Arial" w:eastAsia="Arial" w:hAnsi="Arial"/>
          <w:sz w:val="18"/>
          <w:szCs w:val="18"/>
          <w:color w:val="auto"/>
        </w:rPr>
        <w:t>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 on the market opportunity in Canada and globally, we are investing aggressively to expand our production capacity and to automate certain cultivation, processing and packaging processes to gain efficiencies as we increase the scale of our operations.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firstLine="331"/>
        <w:spacing w:after="0" w:line="244" w:lineRule="auto"/>
        <w:rPr>
          <w:sz w:val="20"/>
          <w:szCs w:val="20"/>
          <w:color w:val="auto"/>
        </w:rPr>
      </w:pPr>
      <w:r>
        <w:rPr>
          <w:rFonts w:ascii="Arial" w:cs="Arial" w:eastAsia="Arial" w:hAnsi="Arial"/>
          <w:sz w:val="18"/>
          <w:szCs w:val="18"/>
          <w:b w:val="1"/>
          <w:bCs w:val="1"/>
          <w:i w:val="1"/>
          <w:iCs w:val="1"/>
          <w:color w:val="auto"/>
        </w:rPr>
        <w:t xml:space="preserve">Partnering with established distributors and retailers. </w:t>
      </w:r>
      <w:r>
        <w:rPr>
          <w:rFonts w:ascii="Arial" w:cs="Arial" w:eastAsia="Arial" w:hAnsi="Arial"/>
          <w:sz w:val="18"/>
          <w:szCs w:val="18"/>
          <w:color w:val="auto"/>
        </w:rPr>
        <w:t>As the industry evolves, we believe that the distribution of medical cannabis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increasingly mirror the distribution of other pharmaceutical products. Likewise, we believe the distribution of adult-use cannabis will increasingly mirror the distribution of other consumer packaged goods for adult use such as alcohol. In order to efficiently and rapidly increase our scale, we are partnering with established pharmaceutical distributors, pharmacy retailers and other organizations expected to become authorized adult-use retailers.</w:t>
      </w:r>
    </w:p>
    <w:p>
      <w:pPr>
        <w:spacing w:after="0" w:line="177" w:lineRule="exact"/>
        <w:rPr>
          <w:sz w:val="20"/>
          <w:szCs w:val="20"/>
          <w:color w:val="auto"/>
        </w:rPr>
      </w:pPr>
    </w:p>
    <w:p>
      <w:pPr>
        <w:ind w:left="200" w:right="100" w:firstLine="331"/>
        <w:spacing w:after="0" w:line="242" w:lineRule="auto"/>
        <w:rPr>
          <w:sz w:val="20"/>
          <w:szCs w:val="20"/>
          <w:color w:val="auto"/>
        </w:rPr>
      </w:pPr>
      <w:r>
        <w:rPr>
          <w:rFonts w:ascii="Arial" w:cs="Arial" w:eastAsia="Arial" w:hAnsi="Arial"/>
          <w:sz w:val="18"/>
          <w:szCs w:val="18"/>
          <w:b w:val="1"/>
          <w:bCs w:val="1"/>
          <w:i w:val="1"/>
          <w:iCs w:val="1"/>
          <w:color w:val="auto"/>
        </w:rPr>
        <w:t xml:space="preserve">Developing a differentiated portfolio of brands and products to appeal to diverse sets of patients and consumers. </w:t>
      </w:r>
      <w:r>
        <w:rPr>
          <w:rFonts w:ascii="Arial" w:cs="Arial" w:eastAsia="Arial" w:hAnsi="Arial"/>
          <w:sz w:val="18"/>
          <w:szCs w:val="18"/>
          <w:color w:val="auto"/>
        </w:rPr>
        <w:t>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Tilray as a global pioneer shaping the future of the medical cannabis industry by developing a portfolio of high-quality medical cannabis and cannabinoid-based products ranging from dried flower to capsules to oils to well-defined clinical preparations. We will continue to invest in a differentiated portfolio of brands and products to appeal to a wide variety of patients and consumers. We will prioritize the development of non-combustible products that offer an alternative to smoking, which we believe will account for the majority of products on the market over the long term.</w:t>
      </w:r>
    </w:p>
    <w:p>
      <w:pPr>
        <w:spacing w:after="0" w:line="179" w:lineRule="exact"/>
        <w:rPr>
          <w:sz w:val="20"/>
          <w:szCs w:val="20"/>
          <w:color w:val="auto"/>
        </w:rPr>
      </w:pPr>
    </w:p>
    <w:p>
      <w:pPr>
        <w:ind w:left="200" w:right="80" w:firstLine="331"/>
        <w:spacing w:after="0" w:line="247" w:lineRule="auto"/>
        <w:rPr>
          <w:sz w:val="20"/>
          <w:szCs w:val="20"/>
          <w:color w:val="auto"/>
        </w:rPr>
      </w:pPr>
      <w:r>
        <w:rPr>
          <w:rFonts w:ascii="Arial" w:cs="Arial" w:eastAsia="Arial" w:hAnsi="Arial"/>
          <w:sz w:val="18"/>
          <w:szCs w:val="18"/>
          <w:b w:val="1"/>
          <w:bCs w:val="1"/>
          <w:i w:val="1"/>
          <w:iCs w:val="1"/>
          <w:color w:val="auto"/>
        </w:rPr>
        <w:t xml:space="preserve">Expanding the addressable medical market by investing in clinical research and winning the trust of regulators, researchers and physicians in countries new to medical cannabis. </w:t>
      </w:r>
      <w:r>
        <w:rPr>
          <w:rFonts w:ascii="Arial" w:cs="Arial" w:eastAsia="Arial" w:hAnsi="Arial"/>
          <w:sz w:val="18"/>
          <w:szCs w:val="18"/>
          <w:color w:val="auto"/>
        </w:rPr>
        <w:t>We are expanding our addressable medical market by working collaboratively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regulators to implement safe access programs for patients. We provide clinical data to physicians and researchers on the safety and efficacy of medical cannabis in order to foster mainstream acceptance and enhance our reputation.</w:t>
      </w:r>
    </w:p>
    <w:p>
      <w:pPr>
        <w:spacing w:after="0" w:line="174" w:lineRule="exact"/>
        <w:rPr>
          <w:sz w:val="20"/>
          <w:szCs w:val="20"/>
          <w:color w:val="auto"/>
        </w:rPr>
      </w:pPr>
    </w:p>
    <w:p>
      <w:pPr>
        <w:ind w:left="200" w:firstLine="331"/>
        <w:spacing w:after="0" w:line="244" w:lineRule="auto"/>
        <w:rPr>
          <w:sz w:val="20"/>
          <w:szCs w:val="20"/>
          <w:color w:val="auto"/>
        </w:rPr>
      </w:pPr>
      <w:r>
        <w:rPr>
          <w:rFonts w:ascii="Arial" w:cs="Arial" w:eastAsia="Arial" w:hAnsi="Arial"/>
          <w:sz w:val="18"/>
          <w:szCs w:val="18"/>
          <w:b w:val="1"/>
          <w:bCs w:val="1"/>
          <w:i w:val="1"/>
          <w:iCs w:val="1"/>
          <w:color w:val="auto"/>
        </w:rPr>
        <w:t xml:space="preserve">Maintaining a rigorous and relentless focus on operational excellence and product quality. </w:t>
      </w:r>
      <w:r>
        <w:rPr>
          <w:rFonts w:ascii="Arial" w:cs="Arial" w:eastAsia="Arial" w:hAnsi="Arial"/>
          <w:sz w:val="18"/>
          <w:szCs w:val="18"/>
          <w:color w:val="auto"/>
        </w:rPr>
        <w:t>We have strategically invested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ahead of our growth in our operations, including cultivation, manufacturing and multichannel distribution. In doing so, we have developed a quality management system that enables us to meet the requirements of regulatory agencies in the markets where we export products, while consistently delivering high-quality products. As we continue to grow, we have the opportunity to leverage these investments while maintaining the highest level of safety and quality.</w:t>
      </w:r>
    </w:p>
    <w:p>
      <w:pPr>
        <w:spacing w:after="0" w:line="177"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b w:val="1"/>
          <w:bCs w:val="1"/>
          <w:i w:val="1"/>
          <w:iCs w:val="1"/>
          <w:color w:val="auto"/>
        </w:rPr>
        <w:t xml:space="preserve">Pioneering innovation within our industry. </w:t>
      </w:r>
      <w:r>
        <w:rPr>
          <w:rFonts w:ascii="Arial" w:cs="Arial" w:eastAsia="Arial" w:hAnsi="Arial"/>
          <w:sz w:val="18"/>
          <w:szCs w:val="18"/>
          <w:color w:val="auto"/>
        </w:rPr>
        <w:t>We have filed three patents in the fields of cannabis processing technology, grinding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formulations and treatment methods. Currently, we have exclusive rights to at least 22 issued or pending patents, several of which allow for a process aimed at significantly shortening the drying and curing periods. We have also developed a number of innovative and proprietary programs designed to improve efficiency and overall product quality, and we are partnering with established pharmaceutical companies and distributors to create co-branded products. We believe our industry is ripe for innovation and that investments in innovation in partnership with established companies will differentiate us and position us to become a dominant leader in our industry over the long term. Our clinical strategy is designed to establish partnerships with leading research institutions to generate safety and efficacy data that can inform treatment decisions, lead to the development of new products, to position us to register medicines for market authorization and to enable us to obtain insurance reimbursement where feasible.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Brands and Products</w:t>
      </w:r>
    </w:p>
    <w:p>
      <w:pPr>
        <w:spacing w:after="0" w:line="99"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Our brand and product strategy centers on developing a broad-based portfolio of differentiated cannabis brands and products designed to appeal to diverse sets of patients and consumers. These brands and products will be tailored to comply with all requirements we expect to accompany adult-use legalization, such as the inclusion of health warnings on labels and restrictions on marketing. Since 2010, members of our management team have been conducting research in more than a dozen countries by consulting third-party industry databases with market and consumer insights data available in various cannabis markets around the world, by commissioning proprietary third-party</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auto"/>
        </w:rPr>
        <w:t>research and by licensing intellectual property from established cannabis brands. In particular, our data licensing agreement with Leafly gives us insight into which brands and products cannabis patients and consumers desire in Canada.</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Medical Brand: Tilray</w:t>
      </w:r>
    </w:p>
    <w:p>
      <w:pPr>
        <w:spacing w:after="0" w:line="99" w:lineRule="exact"/>
        <w:rPr>
          <w:sz w:val="20"/>
          <w:szCs w:val="20"/>
          <w:color w:val="auto"/>
        </w:rPr>
      </w:pPr>
    </w:p>
    <w:p>
      <w:pPr>
        <w:ind w:left="200" w:right="500" w:firstLine="331"/>
        <w:spacing w:after="0"/>
        <w:rPr>
          <w:sz w:val="20"/>
          <w:szCs w:val="20"/>
          <w:color w:val="auto"/>
        </w:rPr>
      </w:pPr>
      <w:r>
        <w:rPr>
          <w:rFonts w:ascii="Arial" w:cs="Arial" w:eastAsia="Arial" w:hAnsi="Arial"/>
          <w:sz w:val="18"/>
          <w:szCs w:val="18"/>
          <w:color w:val="auto"/>
        </w:rPr>
        <w:t>The Tilray brand is designed to target the global medical market by offering a wide range of high-quality medical cannabis and cannabinoid-based products. We offer our products to patients, physicians, pharmacies, governments, hospitals and researchers for commercial purposes, compassionate access and clinical research.</w:t>
      </w:r>
    </w:p>
    <w:p>
      <w:pPr>
        <w:spacing w:after="0" w:line="203"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We believe patients choose Tilray because we are a scientifically rigorous brand known for producing pure, precise and predictable medical-grade products. We have successfully grown over 50 strains of cannabis and developed a wide variety of extract products and formulations. Our portfolio of medical cannabis products includes the following form factor platforms:</w:t>
      </w:r>
    </w:p>
    <w:p>
      <w:pPr>
        <w:spacing w:after="0" w:line="230" w:lineRule="exact"/>
        <w:rPr>
          <w:sz w:val="20"/>
          <w:szCs w:val="20"/>
          <w:color w:val="auto"/>
        </w:rPr>
      </w:pPr>
    </w:p>
    <w:p>
      <w:pPr>
        <w:ind w:left="520" w:hanging="316"/>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Whole flower (available in 5 or 15 gram containers)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Ground flower (available in 15 gram containers)</w:t>
      </w:r>
    </w:p>
    <w:p>
      <w:pPr>
        <w:spacing w:after="0" w:line="36" w:lineRule="exact"/>
        <w:rPr>
          <w:rFonts w:ascii="Arial" w:cs="Arial" w:eastAsia="Arial" w:hAnsi="Arial"/>
          <w:sz w:val="15"/>
          <w:szCs w:val="15"/>
          <w:color w:val="auto"/>
        </w:rPr>
      </w:pPr>
    </w:p>
    <w:p>
      <w:pPr>
        <w:ind w:left="520" w:right="160" w:hanging="316"/>
        <w:spacing w:after="0" w:line="246" w:lineRule="auto"/>
        <w:tabs>
          <w:tab w:leader="none" w:pos="5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Full-spectrum oil drops and capsules (oil drops are available in 25mL and 40mL sizes and capsules are available in 25, 40 or 50 unit packages)</w:t>
      </w:r>
    </w:p>
    <w:p>
      <w:pPr>
        <w:spacing w:after="0" w:line="21" w:lineRule="exact"/>
        <w:rPr>
          <w:rFonts w:ascii="Arial" w:cs="Arial" w:eastAsia="Arial" w:hAnsi="Arial"/>
          <w:sz w:val="15"/>
          <w:szCs w:val="15"/>
          <w:color w:val="auto"/>
        </w:rPr>
      </w:pPr>
    </w:p>
    <w:p>
      <w:pPr>
        <w:ind w:left="520" w:right="640" w:hanging="316"/>
        <w:spacing w:after="0" w:line="246" w:lineRule="auto"/>
        <w:tabs>
          <w:tab w:leader="none" w:pos="5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Purified oil drops and capsules (oil drops are available in 25mL and 40mL sizes and capsules are available in 25, 40 or 50 unit packages)</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8"/>
          <w:szCs w:val="18"/>
          <w:color w:val="auto"/>
        </w:rPr>
        <w:t>Clinical compounds (packaging and quantities customized based on application)</w:t>
      </w:r>
    </w:p>
    <w:p>
      <w:pPr>
        <w:spacing w:after="0" w:line="21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Each form factor platform is divided into three different product categories that correspond with the particular chemical composition of each product based on the concentration of two active ingredients: THC and CBD. The categories are THC-Dominant, CBD-Dominant and THC and CBD Balanced.</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Our product line focuses on active ingredients and standardized, well-defined preparation methods. We use formulations and delivery formats that are intended to allow for consistent and measured dosing, and we test all of our products for potency and purity. Each of our commercial products are developed with comprehensive analysis and thorough documentation, including stability profiles, certificates of analysis, monographs and drug master files. We follow detailed and rigorous documentation standards not only for our own internal purposes but also because this type of documentation is required by researchers, regulators, importers and distributors.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We take a scientific approach to our medical-use product development, which we believe gives us credibility and respect in the medical community. We produce products that are characterized by well-defined and reproducible cannabinoid and terpene, the fragrant oil, content, formulated for stable pharmacokinetic profiles, which are customizable in a variety of formulations and available in capsule or liquid forms. We continue to conduct extensive research and development activities as well as develop and promote new products for medical use. We are also currently working with established pharmaceutical companies, such as Sandoz Canada, a division of Novartis, to develop non-combustible, co-branded products for sale in pharmacies when regulations permit.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96840" cy="37649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96840" cy="376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219"/>
          </w:cols>
          <w:pgMar w:left="240" w:top="459" w:right="1440"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88585" cy="38074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88585"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Adult-Use Brands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anticipation of adult-use legalization in Canada, a wholly owned subsidiary of ours secured the exclusive rights from a wholly owned subsidiary of Privateer Holdings to produce and distribute a broad-based portfolio of certain adult-use brands and products in Canada. The brand licensing agreement includes the rights to recognized brands and proprietary product formulations for a wide range of products. In addition to licensing certain adult-use brands from a wholly owned subsidiary of Privateer Holdings, we are also developing new brands for the adult-use market in Canada that will be wholly owned by Tilray, Inc.</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When proposed Canadian federal legislation and corresponding provincial legislation authorizing the adult use of cannabis comes into effect, we intend to produce and distribute these brands and products to Canadian consumers through High Park, our wholly owned subsidiary formed to serve the pending adult-use market in Canada. The distribution and marketing of these brands and products would be in compliance with all requirements under federal and provincial legislation, including strict marketing regulations which may make it more difficult for us to develop our adult-use brands. Following the adoption of such legislation, we expect to see new entrants into the market. While it is currently proposed that existing holders of licenses relating to medical cannabis, including us, will be automatically licensed for the adult-use market, other individuals and corporations would be able to apply for such licenses if the adult-use legalization legislation is adopted in Canada. Further, all products we distribute into the Canadian adult-use market would need to comply with requirements under Canadian legislation, including with respect to product formats, product packaging, and marketing activities around such products. As such, our portfolio of brands and products would be</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rPr>
          <w:sz w:val="20"/>
          <w:szCs w:val="20"/>
          <w:color w:val="auto"/>
        </w:rPr>
      </w:pPr>
      <w:r>
        <w:rPr>
          <w:rFonts w:ascii="Arial" w:cs="Arial" w:eastAsia="Arial" w:hAnsi="Arial"/>
          <w:sz w:val="18"/>
          <w:szCs w:val="18"/>
          <w:color w:val="auto"/>
        </w:rPr>
        <w:t>specifically adapted, and our marketing activities carefully structured, to enable us to develop our brands in an effective and compliant manner. Additionally, edibles, concentrates and extract vaporizers are not anticipated to be permitted under Canadian adult-use regulations initially, but we anticipate that they will be allowed within 12 months of implementation of federal legalization.</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Although the products and form factors that will be authorized under Canadian legislation are yet to be determined, we believe that the brands and products we have licensed to produce and distribute to Canada through High Park will give us a competitive advantage in the market.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brands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152400</wp:posOffset>
            </wp:positionV>
            <wp:extent cx="5213985" cy="6097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3985" cy="609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firstLine="331"/>
        <w:spacing w:after="0" w:line="253" w:lineRule="auto"/>
        <w:rPr>
          <w:sz w:val="20"/>
          <w:szCs w:val="20"/>
          <w:color w:val="auto"/>
        </w:rPr>
      </w:pPr>
      <w:r>
        <w:rPr>
          <w:rFonts w:ascii="Arial" w:cs="Arial" w:eastAsia="Arial" w:hAnsi="Arial"/>
          <w:sz w:val="18"/>
          <w:szCs w:val="18"/>
          <w:b w:val="1"/>
          <w:bCs w:val="1"/>
          <w:color w:val="auto"/>
        </w:rPr>
        <w:t>The following images depict product mock-ups not intended for Canada and are shown for representation purposes only. Actual products ultimately sold in Canada, if any, may feature changes to form factors, packaging, and labeling to comply with Canadian law.</w:t>
      </w:r>
    </w:p>
    <w:p>
      <w:pPr>
        <w:spacing w:after="0" w:line="12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240" w:top="459" w:right="6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205740</wp:posOffset>
            </wp:positionV>
            <wp:extent cx="5668645" cy="7023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68645" cy="702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200"/>
        <w:spacing w:after="0"/>
        <w:rPr>
          <w:sz w:val="20"/>
          <w:szCs w:val="20"/>
          <w:color w:val="auto"/>
        </w:rPr>
      </w:pPr>
      <w:r>
        <w:rPr>
          <w:rFonts w:ascii="Arial" w:cs="Arial" w:eastAsia="Arial" w:hAnsi="Arial"/>
          <w:sz w:val="11"/>
          <w:szCs w:val="11"/>
          <w:color w:val="auto"/>
        </w:rPr>
        <w:t>*Whole Flower and Ground Flower potencies may vary</w:t>
      </w:r>
    </w:p>
    <w:p>
      <w:pPr>
        <w:jc w:val="center"/>
        <w:ind w:right="-1200"/>
        <w:spacing w:after="0"/>
        <w:rPr>
          <w:sz w:val="20"/>
          <w:szCs w:val="20"/>
          <w:color w:val="auto"/>
        </w:rPr>
      </w:pPr>
      <w:r>
        <w:rPr>
          <w:rFonts w:ascii="Arial" w:cs="Arial" w:eastAsia="Arial" w:hAnsi="Arial"/>
          <w:sz w:val="10"/>
          <w:szCs w:val="10"/>
          <w:color w:val="auto"/>
        </w:rPr>
        <w:t>Images depict products intended for non-Canadian markets. Form factors, packaging, and labeling will be altered to comply with Canadian law.</w:t>
      </w:r>
    </w:p>
    <w:p>
      <w:pPr>
        <w:sectPr>
          <w:pgSz w:w="11900" w:h="16838" w:orient="portrait"/>
          <w:cols w:equalWidth="0" w:num="1">
            <w:col w:w="10219"/>
          </w:cols>
          <w:pgMar w:left="240" w:top="459" w:right="1440"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205740</wp:posOffset>
            </wp:positionV>
            <wp:extent cx="5582920" cy="7374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82920" cy="737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1199"/>
        <w:spacing w:after="0"/>
        <w:rPr>
          <w:sz w:val="20"/>
          <w:szCs w:val="20"/>
          <w:color w:val="auto"/>
        </w:rPr>
      </w:pPr>
      <w:r>
        <w:rPr>
          <w:rFonts w:ascii="Arial" w:cs="Arial" w:eastAsia="Arial" w:hAnsi="Arial"/>
          <w:sz w:val="11"/>
          <w:szCs w:val="11"/>
          <w:color w:val="auto"/>
        </w:rPr>
        <w:t>Images depict products intended for non-Canadian markets. Form factors, packaging, and labeling will be altered to comply with Canadian law.</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205740</wp:posOffset>
            </wp:positionV>
            <wp:extent cx="5017135" cy="7374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17135" cy="737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1099"/>
        <w:spacing w:after="0"/>
        <w:rPr>
          <w:sz w:val="20"/>
          <w:szCs w:val="20"/>
          <w:color w:val="auto"/>
        </w:rPr>
      </w:pPr>
      <w:r>
        <w:rPr>
          <w:rFonts w:ascii="Arial" w:cs="Arial" w:eastAsia="Arial" w:hAnsi="Arial"/>
          <w:sz w:val="11"/>
          <w:szCs w:val="11"/>
          <w:color w:val="auto"/>
        </w:rPr>
        <w:t>Images depict products intended for non-Canadian markets. Form factors, packaging, and labeling will be altered to comply with Canadian law.</w:t>
      </w:r>
    </w:p>
    <w:p>
      <w:pPr>
        <w:sectPr>
          <w:pgSz w:w="11900" w:h="16838" w:orient="portrait"/>
          <w:cols w:equalWidth="0" w:num="1">
            <w:col w:w="10219"/>
          </w:cols>
          <w:pgMar w:left="240" w:top="459" w:right="1440"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205740</wp:posOffset>
            </wp:positionV>
            <wp:extent cx="5574030" cy="7374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4030" cy="737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1099"/>
        <w:spacing w:after="0"/>
        <w:rPr>
          <w:sz w:val="20"/>
          <w:szCs w:val="20"/>
          <w:color w:val="auto"/>
        </w:rPr>
      </w:pPr>
      <w:r>
        <w:rPr>
          <w:rFonts w:ascii="Arial" w:cs="Arial" w:eastAsia="Arial" w:hAnsi="Arial"/>
          <w:sz w:val="11"/>
          <w:szCs w:val="11"/>
          <w:color w:val="auto"/>
        </w:rPr>
        <w:t>Images depict products intended for non-Canadian markets. Form factors, packaging, and labeling will be altered to comply with Canadian law.</w:t>
      </w:r>
    </w:p>
    <w:p>
      <w:pPr>
        <w:sectPr>
          <w:pgSz w:w="11900" w:h="16838" w:orient="portrait"/>
          <w:cols w:equalWidth="0" w:num="1">
            <w:col w:w="10219"/>
          </w:cols>
          <w:pgMar w:left="240" w:top="459" w:right="1440"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205740</wp:posOffset>
            </wp:positionV>
            <wp:extent cx="6260465" cy="7374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60465" cy="737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839"/>
        <w:spacing w:after="0"/>
        <w:rPr>
          <w:sz w:val="20"/>
          <w:szCs w:val="20"/>
          <w:color w:val="auto"/>
        </w:rPr>
      </w:pPr>
      <w:r>
        <w:rPr>
          <w:rFonts w:ascii="Arial" w:cs="Arial" w:eastAsia="Arial" w:hAnsi="Arial"/>
          <w:sz w:val="11"/>
          <w:szCs w:val="11"/>
          <w:b w:val="1"/>
          <w:bCs w:val="1"/>
          <w:color w:val="auto"/>
        </w:rPr>
        <w:t>Images depict products intended for non-Canadian markets. Form factors, packaging, and labeling will be altered to comply with Canadian law.</w:t>
      </w:r>
    </w:p>
    <w:p>
      <w:pPr>
        <w:sectPr>
          <w:pgSz w:w="11900" w:h="16838" w:orient="portrait"/>
          <w:cols w:equalWidth="0" w:num="1">
            <w:col w:w="10219"/>
          </w:cols>
          <w:pgMar w:left="240" w:top="459" w:right="1440"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205740</wp:posOffset>
            </wp:positionV>
            <wp:extent cx="5539740" cy="7374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39740" cy="737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1099"/>
        <w:spacing w:after="0"/>
        <w:rPr>
          <w:sz w:val="20"/>
          <w:szCs w:val="20"/>
          <w:color w:val="auto"/>
        </w:rPr>
      </w:pPr>
      <w:r>
        <w:rPr>
          <w:rFonts w:ascii="Arial" w:cs="Arial" w:eastAsia="Arial" w:hAnsi="Arial"/>
          <w:sz w:val="11"/>
          <w:szCs w:val="11"/>
          <w:color w:val="auto"/>
        </w:rPr>
        <w:t>Images depict products intended for non-Canadian markets. Form factors, packaging, and labeling will be altered to comply with Canadian law.</w:t>
      </w:r>
    </w:p>
    <w:p>
      <w:pPr>
        <w:sectPr>
          <w:pgSz w:w="11900" w:h="16838" w:orient="portrait"/>
          <w:cols w:equalWidth="0" w:num="1">
            <w:col w:w="10219"/>
          </w:cols>
          <w:pgMar w:left="240" w:top="459"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839"/>
        <w:spacing w:after="0"/>
        <w:rPr>
          <w:sz w:val="20"/>
          <w:szCs w:val="20"/>
          <w:color w:val="auto"/>
        </w:rPr>
      </w:pPr>
      <w:r>
        <w:rPr>
          <w:rFonts w:ascii="Arial" w:cs="Arial" w:eastAsia="Arial" w:hAnsi="Arial"/>
          <w:sz w:val="11"/>
          <w:szCs w:val="11"/>
          <w:b w:val="1"/>
          <w:bCs w:val="1"/>
          <w:color w:val="auto"/>
        </w:rPr>
        <w:t>Images depict products intended for non-Canadian markets. Form factors, packaging, and labeling will be altered to comply with Canadian law.</w:t>
      </w:r>
    </w:p>
    <w:p>
      <w:pPr>
        <w:sectPr>
          <w:pgSz w:w="11900" w:h="16838" w:orient="portrait"/>
          <w:cols w:equalWidth="0" w:num="1">
            <w:col w:w="10219"/>
          </w:cols>
          <w:pgMar w:left="240" w:top="459"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205740</wp:posOffset>
            </wp:positionV>
            <wp:extent cx="5676900" cy="7374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76900" cy="737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1099"/>
        <w:spacing w:after="0"/>
        <w:rPr>
          <w:sz w:val="20"/>
          <w:szCs w:val="20"/>
          <w:color w:val="auto"/>
        </w:rPr>
      </w:pPr>
      <w:r>
        <w:rPr>
          <w:rFonts w:ascii="Arial" w:cs="Arial" w:eastAsia="Arial" w:hAnsi="Arial"/>
          <w:sz w:val="11"/>
          <w:szCs w:val="11"/>
          <w:color w:val="auto"/>
        </w:rPr>
        <w:t>Images depict products intended for non-Canadian markets. Form factors, packaging, and labeling will be altered to comply with Canadian law.</w:t>
      </w:r>
    </w:p>
    <w:p>
      <w:pPr>
        <w:sectPr>
          <w:pgSz w:w="11900" w:h="16838" w:orient="portrait"/>
          <w:cols w:equalWidth="0" w:num="1">
            <w:col w:w="10219"/>
          </w:cols>
          <w:pgMar w:left="240" w:top="459"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Operations</w:t>
      </w:r>
    </w:p>
    <w:p>
      <w:pPr>
        <w:spacing w:after="0" w:line="99"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We are building a multinational supply chain and distribution network in order to capitalize on the global medical cannabis market and the anticipated adult-use market in Canada.</w:t>
      </w:r>
    </w:p>
    <w:p>
      <w:pPr>
        <w:spacing w:after="0" w:line="202" w:lineRule="exact"/>
        <w:rPr>
          <w:sz w:val="20"/>
          <w:szCs w:val="20"/>
          <w:color w:val="auto"/>
        </w:rPr>
      </w:pPr>
    </w:p>
    <w:p>
      <w:pPr>
        <w:ind w:left="520" w:hanging="316"/>
        <w:spacing w:after="0" w:line="239" w:lineRule="auto"/>
        <w:tabs>
          <w:tab w:leader="none" w:pos="520" w:val="left"/>
        </w:tabs>
        <w:numPr>
          <w:ilvl w:val="0"/>
          <w:numId w:val="44"/>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Tilray North America Campus – Nanaimo, British Columbia. </w:t>
      </w:r>
      <w:r>
        <w:rPr>
          <w:rFonts w:ascii="Arial" w:cs="Arial" w:eastAsia="Arial" w:hAnsi="Arial"/>
          <w:sz w:val="18"/>
          <w:szCs w:val="18"/>
          <w:color w:val="auto"/>
        </w:rPr>
        <w:t>Our global head office is located at our Tilray North America Campus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Nanaimo, British Columbia. We believe that Tilray Nanaimo is one of the world’s most sophisticated, technologically advanced licensed cannabis production facilities based on the amount of capital we have invested, the amount of data we have generated about how to grow cannabis well and the standard operating procedures we have created to ensure maximum yield and product quality. Tilray Nanaimo is a 60,000-square foot facility. It houses approximately 40,000 plants in 33 cultivation rooms, five manufacturing and processing rooms and three laboratories, including an advanced extraction laboratory, all of which allow us to produce more than</w:t>
      </w:r>
    </w:p>
    <w:p>
      <w:pPr>
        <w:ind w:left="520" w:right="20"/>
        <w:spacing w:after="0" w:line="237" w:lineRule="auto"/>
        <w:rPr>
          <w:rFonts w:ascii="Arial" w:cs="Arial" w:eastAsia="Arial" w:hAnsi="Arial"/>
          <w:sz w:val="15"/>
          <w:szCs w:val="15"/>
          <w:color w:val="auto"/>
        </w:rPr>
      </w:pPr>
      <w:r>
        <w:rPr>
          <w:rFonts w:ascii="Arial" w:cs="Arial" w:eastAsia="Arial" w:hAnsi="Arial"/>
          <w:sz w:val="18"/>
          <w:szCs w:val="18"/>
          <w:color w:val="auto"/>
        </w:rPr>
        <w:t>50 distinct cannabis strains and various cannabis extract products. The primary purpose of Tilray Nanaimo is to continue to serve the Canadian medical market and the global medical export market for the near term. Tilray Nanaimo is licensed by Health Canada and is GMP- certified by multiple EU recognized health regulators, or Competent Authorities. It also features a patient and physician service center that is open 24 hours a day, seven days a week. At this facility we complete each step of the production process including housing mother stock, cutting clones, cultivating pre-vegetative, negative and flowering plants; curing harvest plants; securing product in the vault; trimming product; extracting cannabinoids from harvested products; analyzing products in our lab; and packaging and shipping.</w:t>
      </w:r>
    </w:p>
    <w:p>
      <w:pPr>
        <w:spacing w:after="0" w:line="5" w:lineRule="exact"/>
        <w:rPr>
          <w:rFonts w:ascii="Arial" w:cs="Arial" w:eastAsia="Arial" w:hAnsi="Arial"/>
          <w:sz w:val="15"/>
          <w:szCs w:val="15"/>
          <w:color w:val="auto"/>
        </w:rPr>
      </w:pPr>
    </w:p>
    <w:p>
      <w:pPr>
        <w:ind w:left="520" w:right="320" w:hanging="316"/>
        <w:spacing w:after="0" w:line="258" w:lineRule="auto"/>
        <w:tabs>
          <w:tab w:leader="none" w:pos="520" w:val="left"/>
        </w:tabs>
        <w:numPr>
          <w:ilvl w:val="0"/>
          <w:numId w:val="44"/>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Tilray Toronto Regional Office – Toronto, Ontario. </w:t>
      </w:r>
      <w:r>
        <w:rPr>
          <w:rFonts w:ascii="Arial" w:cs="Arial" w:eastAsia="Arial" w:hAnsi="Arial"/>
          <w:sz w:val="18"/>
          <w:szCs w:val="18"/>
          <w:color w:val="auto"/>
        </w:rPr>
        <w:t>Members of our senior leadership team are based in Toronto, along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sales and marketing staff.</w:t>
      </w:r>
    </w:p>
    <w:p>
      <w:pPr>
        <w:ind w:left="520" w:right="340" w:hanging="316"/>
        <w:spacing w:after="0" w:line="258" w:lineRule="auto"/>
        <w:tabs>
          <w:tab w:leader="none" w:pos="520" w:val="left"/>
        </w:tabs>
        <w:numPr>
          <w:ilvl w:val="0"/>
          <w:numId w:val="44"/>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Tilray European Union Regional Office – Berlin, Germany. </w:t>
      </w:r>
      <w:r>
        <w:rPr>
          <w:rFonts w:ascii="Arial" w:cs="Arial" w:eastAsia="Arial" w:hAnsi="Arial"/>
          <w:sz w:val="18"/>
          <w:szCs w:val="18"/>
          <w:color w:val="auto"/>
        </w:rPr>
        <w:t>Our executive, finance, sales, marketing, operations and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staff for Europe are located in Germany.</w:t>
      </w:r>
    </w:p>
    <w:p>
      <w:pPr>
        <w:ind w:left="520" w:right="120" w:hanging="316"/>
        <w:spacing w:after="0" w:line="250" w:lineRule="auto"/>
        <w:tabs>
          <w:tab w:leader="none" w:pos="520" w:val="left"/>
        </w:tabs>
        <w:numPr>
          <w:ilvl w:val="0"/>
          <w:numId w:val="44"/>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Tilray Australia and New Zealand Regional Office – Sydney, Australia. </w:t>
      </w:r>
      <w:r>
        <w:rPr>
          <w:rFonts w:ascii="Arial" w:cs="Arial" w:eastAsia="Arial" w:hAnsi="Arial"/>
          <w:sz w:val="18"/>
          <w:szCs w:val="18"/>
          <w:color w:val="auto"/>
        </w:rPr>
        <w:t>Our sales, marketing and operations team focused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Australia and New Zealand are based in Sydney. We have signed two government contracts with the largest states in Australia: New South Wales and Victoria to supply medical cannabis to children suffering from pediatric epilepsy.</w:t>
      </w:r>
    </w:p>
    <w:p>
      <w:pPr>
        <w:spacing w:after="0" w:line="1" w:lineRule="exact"/>
        <w:rPr>
          <w:rFonts w:ascii="Arial" w:cs="Arial" w:eastAsia="Arial" w:hAnsi="Arial"/>
          <w:sz w:val="15"/>
          <w:szCs w:val="15"/>
          <w:color w:val="auto"/>
        </w:rPr>
      </w:pPr>
    </w:p>
    <w:p>
      <w:pPr>
        <w:ind w:left="520" w:hanging="316"/>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Tilray European Union Campus – Cantanhede, Portugal. </w:t>
      </w:r>
      <w:r>
        <w:rPr>
          <w:rFonts w:ascii="Arial" w:cs="Arial" w:eastAsia="Arial" w:hAnsi="Arial"/>
          <w:sz w:val="18"/>
          <w:szCs w:val="18"/>
          <w:color w:val="auto"/>
        </w:rPr>
        <w:t>In July 2017, we were awarded a federal license by Portugal’s 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of Medicines and Health Products to cultivate, import and export medical cannabis at Tilray Portugal and in October 2017, we applied for a manufacturing license which we anticipate receiving later this year. Tilray Portugal will serve as our primary supply source for patients in the European Union that have access to cannabis-derived products. Locating cultivation and manufacturing operations in the European Union results in easier and more cost-effective product shipping from one EU country to another. Although each EU member state has its own health and drugs regulatory body, these entities have ongoing cooperation mechanisms that promote similar, though not equal, treatment for medical cannabis, which we believe will facilitate cannabis product sales from Portugal into other EU countries.</w:t>
      </w:r>
    </w:p>
    <w:p>
      <w:pPr>
        <w:spacing w:after="0" w:line="13" w:lineRule="exact"/>
        <w:rPr>
          <w:rFonts w:ascii="Arial" w:cs="Arial" w:eastAsia="Arial" w:hAnsi="Arial"/>
          <w:sz w:val="15"/>
          <w:szCs w:val="15"/>
          <w:color w:val="auto"/>
        </w:rPr>
      </w:pPr>
    </w:p>
    <w:p>
      <w:pPr>
        <w:jc w:val="both"/>
        <w:ind w:left="540" w:right="140"/>
        <w:spacing w:after="0" w:line="239" w:lineRule="auto"/>
        <w:rPr>
          <w:rFonts w:ascii="Arial" w:cs="Arial" w:eastAsia="Arial" w:hAnsi="Arial"/>
          <w:sz w:val="15"/>
          <w:szCs w:val="15"/>
          <w:color w:val="auto"/>
        </w:rPr>
      </w:pPr>
      <w:r>
        <w:rPr>
          <w:rFonts w:ascii="Arial" w:cs="Arial" w:eastAsia="Arial" w:hAnsi="Arial"/>
          <w:sz w:val="18"/>
          <w:szCs w:val="18"/>
          <w:color w:val="auto"/>
        </w:rPr>
        <w:t>We purchased 10 acres of land and are in the process of building a 109,000-square foot greenhouse, a 65,000-square foot outdoor grow plot and a 40,000-square foot processing facility on this property with an expected completion date in the third quarter of 2018. We are leasing 2,800 square feet of laboratory space in an adjacent biotechnology park, where we are currently cultivating cannabis plants for further propagation into the greenhouse. We expect our first harvest at Tilray Portugal to occur in fall 2018.</w:t>
      </w:r>
    </w:p>
    <w:p>
      <w:pPr>
        <w:spacing w:after="0" w:line="4" w:lineRule="exact"/>
        <w:rPr>
          <w:rFonts w:ascii="Arial" w:cs="Arial" w:eastAsia="Arial" w:hAnsi="Arial"/>
          <w:sz w:val="15"/>
          <w:szCs w:val="15"/>
          <w:color w:val="auto"/>
        </w:rPr>
      </w:pPr>
    </w:p>
    <w:p>
      <w:pPr>
        <w:ind w:left="520" w:right="60" w:hanging="316"/>
        <w:spacing w:after="0" w:line="247" w:lineRule="auto"/>
        <w:tabs>
          <w:tab w:leader="none" w:pos="520" w:val="left"/>
        </w:tabs>
        <w:numPr>
          <w:ilvl w:val="0"/>
          <w:numId w:val="44"/>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High Park Farms – Enniskillen, Ontario. </w:t>
      </w:r>
      <w:r>
        <w:rPr>
          <w:rFonts w:ascii="Arial" w:cs="Arial" w:eastAsia="Arial" w:hAnsi="Arial"/>
          <w:sz w:val="18"/>
          <w:szCs w:val="18"/>
          <w:color w:val="auto"/>
        </w:rPr>
        <w:t>We are in the process of repurposing 13 acres of existing non-cannabis greenhouses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100-acre site in Enniskillen, Ontario, to serve as High Park Farms. We have a three-year lease with an option to extend for another three years. We also have a purchase option on the property, which is exercisable at any time during the term of the lease, including the renewal term. The construction of the initial greenhouse has been completed a</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260"/>
        <w:spacing w:after="0"/>
        <w:rPr>
          <w:sz w:val="20"/>
          <w:szCs w:val="20"/>
          <w:color w:val="auto"/>
        </w:rPr>
      </w:pPr>
      <w:r>
        <w:rPr>
          <w:rFonts w:ascii="Arial" w:cs="Arial" w:eastAsia="Arial" w:hAnsi="Arial"/>
          <w:sz w:val="18"/>
          <w:szCs w:val="18"/>
          <w:color w:val="auto"/>
        </w:rPr>
        <w:t>nd the facility was licensed under the ACMPR on April 15, 2018. The facility is intended to primarily serve the Canadian adult-use market and we expect the first harvest to be completed before the adult-use implementation in Canada. The maximum capacity for this parcel is a 20-acre greenhouse.</w:t>
      </w:r>
    </w:p>
    <w:p>
      <w:pPr>
        <w:spacing w:after="0" w:line="5" w:lineRule="exact"/>
        <w:rPr>
          <w:sz w:val="20"/>
          <w:szCs w:val="20"/>
          <w:color w:val="auto"/>
        </w:rPr>
      </w:pPr>
    </w:p>
    <w:p>
      <w:pPr>
        <w:ind w:left="520" w:right="220" w:hanging="316"/>
        <w:spacing w:after="0" w:line="242" w:lineRule="auto"/>
        <w:tabs>
          <w:tab w:leader="none" w:pos="520" w:val="left"/>
        </w:tabs>
        <w:numPr>
          <w:ilvl w:val="0"/>
          <w:numId w:val="45"/>
        </w:numPr>
        <w:rPr>
          <w:rFonts w:ascii="Arial" w:cs="Arial" w:eastAsia="Arial" w:hAnsi="Arial"/>
          <w:sz w:val="15"/>
          <w:szCs w:val="15"/>
          <w:color w:val="auto"/>
        </w:rPr>
      </w:pPr>
      <w:r>
        <w:rPr>
          <w:rFonts w:ascii="Arial" w:cs="Arial" w:eastAsia="Arial" w:hAnsi="Arial"/>
          <w:sz w:val="18"/>
          <w:szCs w:val="18"/>
          <w:b w:val="1"/>
          <w:bCs w:val="1"/>
          <w:i w:val="1"/>
          <w:iCs w:val="1"/>
          <w:color w:val="auto"/>
        </w:rPr>
        <w:t xml:space="preserve">High Park Processing Facility – London, Ontario. </w:t>
      </w:r>
      <w:r>
        <w:rPr>
          <w:rFonts w:ascii="Arial" w:cs="Arial" w:eastAsia="Arial" w:hAnsi="Arial"/>
          <w:sz w:val="18"/>
          <w:szCs w:val="18"/>
          <w:color w:val="auto"/>
        </w:rPr>
        <w:t>We entered into a 10-year lease in February 2018 for a 56,000-square foot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facility in London, Ontario. We have two five-year extension options. We also have a purchase option on the property, which is exercisable in 2022 or 2027. This facility will handle all post-harvest production from cannabis harvested at the High Park Farms. We expect the High Park Processing Facility to be licensed and operational during the third quarter of 2018. We expect to produce a range of products at this facility once permitted under regulations, including edibles, beverages, capsules, vaporizer oils, tinctures, sprays, topicals, pre-rolls and dried flower products.</w:t>
      </w:r>
    </w:p>
    <w:p>
      <w:pPr>
        <w:spacing w:after="0" w:line="17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Total Global Production and Processing Capacity</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Once we complete the initial development of the additional production facilities described above and have obtained the required amendments to our licenses as Licensed Producer to operate at those facilities, we believe that our total production space across all facilities worldwide will total approximately 886,000 square feet by the end of 2018. We believe our current facilities together with the maximum potential development of the parcels we currently own would be more than 1.9 million square feet by the end of 2019. The table below summarizes our production and processing space upon completion of the initial development described above, as well as potential maximum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147955</wp:posOffset>
            </wp:positionV>
            <wp:extent cx="5188585" cy="2958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858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24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88585" cy="30530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858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Distribution</w:t>
      </w:r>
    </w:p>
    <w:p>
      <w:pPr>
        <w:spacing w:after="0" w:line="77" w:lineRule="exact"/>
        <w:rPr>
          <w:sz w:val="20"/>
          <w:szCs w:val="20"/>
          <w:color w:val="auto"/>
        </w:rPr>
      </w:pPr>
    </w:p>
    <w:p>
      <w:pPr>
        <w:ind w:left="200" w:right="680" w:firstLine="331"/>
        <w:spacing w:after="0" w:line="271" w:lineRule="auto"/>
        <w:rPr>
          <w:sz w:val="20"/>
          <w:szCs w:val="20"/>
          <w:color w:val="auto"/>
        </w:rPr>
      </w:pPr>
      <w:r>
        <w:rPr>
          <w:rFonts w:ascii="Arial" w:cs="Arial" w:eastAsia="Arial" w:hAnsi="Arial"/>
          <w:sz w:val="18"/>
          <w:szCs w:val="18"/>
          <w:b w:val="1"/>
          <w:bCs w:val="1"/>
          <w:i w:val="1"/>
          <w:iCs w:val="1"/>
          <w:color w:val="auto"/>
        </w:rPr>
        <w:t xml:space="preserve">Pharmaceutical distribution and pharmacy supply agreements. </w:t>
      </w:r>
      <w:r>
        <w:rPr>
          <w:rFonts w:ascii="Arial" w:cs="Arial" w:eastAsia="Arial" w:hAnsi="Arial"/>
          <w:sz w:val="18"/>
          <w:szCs w:val="18"/>
          <w:color w:val="auto"/>
        </w:rPr>
        <w:t>We work with established pharmaceutical distributors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pharmacy suppliers to sell our products around the world.</w:t>
      </w:r>
    </w:p>
    <w:p>
      <w:pPr>
        <w:spacing w:after="0" w:line="203" w:lineRule="exact"/>
        <w:rPr>
          <w:sz w:val="20"/>
          <w:szCs w:val="20"/>
          <w:color w:val="auto"/>
        </w:rPr>
      </w:pPr>
    </w:p>
    <w:p>
      <w:pPr>
        <w:ind w:left="520" w:right="40" w:hanging="316"/>
        <w:spacing w:after="0" w:line="236" w:lineRule="auto"/>
        <w:tabs>
          <w:tab w:leader="none" w:pos="5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In Canada, we have entered into a definitive agreement to supply Shoppers, the largest pharmacy chain in Canada, with our cannabis products, pending approval of Shoppers’ application to become a Licensed Producer. We believe we are one of four Licensed Producers who have entered into supply agreements with Shoppers. We have also signed a binding letter of intent to be a preferred supplier of cannabis products to Pharmasave, one of the largest independent pharmacy chains in Canada. We believe we are one of only four Licensed Producers to enter into supply agreements with Pharmasave. Additionally, we have signed an exclusive, binding letter of intent with Sandoz Canada, a division of Novartis, to market our non-combustible products to health care practitioners and pharmacists and to co-develop new cannabis products. The parties are currently performing their obligations under this letter of intent and working to finalize a definitive agreement.</w:t>
      </w:r>
    </w:p>
    <w:p>
      <w:pPr>
        <w:spacing w:after="0" w:line="32" w:lineRule="exact"/>
        <w:rPr>
          <w:rFonts w:ascii="Arial" w:cs="Arial" w:eastAsia="Arial" w:hAnsi="Arial"/>
          <w:sz w:val="15"/>
          <w:szCs w:val="15"/>
          <w:color w:val="auto"/>
        </w:rPr>
      </w:pPr>
    </w:p>
    <w:p>
      <w:pPr>
        <w:jc w:val="both"/>
        <w:ind w:left="520" w:right="140" w:hanging="316"/>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In Germany, we have partnered with Noweda, a cooperative comprised of approximately 9,000 pharmacists with a network of 16,000 pharmacies throughout Germany and one of the largest wholesalers of pharmaceutical products in Germany, to fulfill prescriptions of our medical cannabis products across Germany.</w:t>
      </w:r>
    </w:p>
    <w:p>
      <w:pPr>
        <w:spacing w:after="0" w:line="27" w:lineRule="exact"/>
        <w:rPr>
          <w:rFonts w:ascii="Arial" w:cs="Arial" w:eastAsia="Arial" w:hAnsi="Arial"/>
          <w:sz w:val="15"/>
          <w:szCs w:val="15"/>
          <w:color w:val="auto"/>
        </w:rPr>
      </w:pPr>
    </w:p>
    <w:p>
      <w:pPr>
        <w:ind w:left="520" w:hanging="316"/>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8"/>
          <w:szCs w:val="18"/>
          <w:color w:val="auto"/>
        </w:rPr>
        <w:t>Elsewhere around the world, we have agreements with distributors in Argentina, Australia, Chile, Croatia, Cyprus, the Czech Republic, New Zealand and South Africa, pursuant to which we are currently selling our products. We also have agreements in place with distributors in Brazil and Peru, though our products are not currently available in these countries.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205740</wp:posOffset>
            </wp:positionV>
            <wp:extent cx="5213985" cy="32499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324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200" w:right="40" w:firstLine="331"/>
        <w:spacing w:after="0" w:line="253" w:lineRule="auto"/>
        <w:rPr>
          <w:sz w:val="20"/>
          <w:szCs w:val="20"/>
          <w:color w:val="auto"/>
        </w:rPr>
      </w:pPr>
      <w:r>
        <w:rPr>
          <w:rFonts w:ascii="Arial" w:cs="Arial" w:eastAsia="Arial" w:hAnsi="Arial"/>
          <w:sz w:val="18"/>
          <w:szCs w:val="18"/>
          <w:b w:val="1"/>
          <w:bCs w:val="1"/>
          <w:i w:val="1"/>
          <w:iCs w:val="1"/>
          <w:color w:val="auto"/>
        </w:rPr>
        <w:t xml:space="preserve">Adult-use supply agreements. </w:t>
      </w:r>
      <w:r>
        <w:rPr>
          <w:rFonts w:ascii="Arial" w:cs="Arial" w:eastAsia="Arial" w:hAnsi="Arial"/>
          <w:sz w:val="18"/>
          <w:szCs w:val="18"/>
          <w:color w:val="auto"/>
        </w:rPr>
        <w:t>In anticipation of adult-use legalization in Canada in 2018, we have negotiated agreements to supply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provinces and territories with cannabis products, subject to the adoption of authorizing legislation. We anticipate signing additional agreements in other provinces as well.</w:t>
      </w:r>
    </w:p>
    <w:p>
      <w:pPr>
        <w:spacing w:after="0" w:line="218" w:lineRule="exact"/>
        <w:rPr>
          <w:sz w:val="20"/>
          <w:szCs w:val="20"/>
          <w:color w:val="auto"/>
        </w:rPr>
      </w:pPr>
    </w:p>
    <w:p>
      <w:pPr>
        <w:ind w:left="520" w:hanging="316"/>
        <w:spacing w:after="0"/>
        <w:tabs>
          <w:tab w:leader="none" w:pos="520" w:val="left"/>
        </w:tabs>
        <w:numPr>
          <w:ilvl w:val="0"/>
          <w:numId w:val="47"/>
        </w:numPr>
        <w:rPr>
          <w:rFonts w:ascii="Arial" w:cs="Arial" w:eastAsia="Arial" w:hAnsi="Arial"/>
          <w:sz w:val="15"/>
          <w:szCs w:val="15"/>
          <w:color w:val="auto"/>
        </w:rPr>
      </w:pPr>
      <w:r>
        <w:rPr>
          <w:rFonts w:ascii="Arial" w:cs="Arial" w:eastAsia="Arial" w:hAnsi="Arial"/>
          <w:sz w:val="18"/>
          <w:szCs w:val="18"/>
          <w:color w:val="auto"/>
        </w:rPr>
        <w:t>In Quebec, we have signed an agreement to supply Quebec’s Société des alcools du Quebec, or SAQ, with initially up to 5,000 kilograms of cannabis products per year for three years. We believe that we are one of only six Licensed Producers selected to supply SAQ.</w:t>
      </w:r>
    </w:p>
    <w:p>
      <w:pPr>
        <w:spacing w:after="0" w:line="27" w:lineRule="exact"/>
        <w:rPr>
          <w:rFonts w:ascii="Arial" w:cs="Arial" w:eastAsia="Arial" w:hAnsi="Arial"/>
          <w:sz w:val="15"/>
          <w:szCs w:val="15"/>
          <w:color w:val="auto"/>
        </w:rPr>
      </w:pPr>
    </w:p>
    <w:p>
      <w:pPr>
        <w:ind w:left="520" w:right="80" w:hanging="316"/>
        <w:spacing w:after="0"/>
        <w:tabs>
          <w:tab w:leader="none" w:pos="520" w:val="left"/>
        </w:tabs>
        <w:numPr>
          <w:ilvl w:val="0"/>
          <w:numId w:val="47"/>
        </w:numPr>
        <w:rPr>
          <w:rFonts w:ascii="Arial" w:cs="Arial" w:eastAsia="Arial" w:hAnsi="Arial"/>
          <w:sz w:val="15"/>
          <w:szCs w:val="15"/>
          <w:color w:val="auto"/>
        </w:rPr>
      </w:pPr>
      <w:r>
        <w:rPr>
          <w:rFonts w:ascii="Arial" w:cs="Arial" w:eastAsia="Arial" w:hAnsi="Arial"/>
          <w:sz w:val="18"/>
          <w:szCs w:val="18"/>
          <w:color w:val="auto"/>
        </w:rPr>
        <w:t>In the Yukon, we have signed a supply agreement to provide the Yukon Liquor Corporation, or the YLC, with up to 900 kilograms of cannabis products over three years. We believe that we are one of the only two suppliers that have announced a supply deal with the YLC.</w:t>
      </w:r>
    </w:p>
    <w:p>
      <w:pPr>
        <w:spacing w:after="0" w:line="27" w:lineRule="exact"/>
        <w:rPr>
          <w:rFonts w:ascii="Arial" w:cs="Arial" w:eastAsia="Arial" w:hAnsi="Arial"/>
          <w:sz w:val="15"/>
          <w:szCs w:val="15"/>
          <w:color w:val="auto"/>
        </w:rPr>
      </w:pPr>
    </w:p>
    <w:p>
      <w:pPr>
        <w:ind w:left="520" w:right="60" w:hanging="316"/>
        <w:spacing w:after="0"/>
        <w:tabs>
          <w:tab w:leader="none" w:pos="520" w:val="left"/>
        </w:tabs>
        <w:numPr>
          <w:ilvl w:val="0"/>
          <w:numId w:val="47"/>
        </w:numPr>
        <w:rPr>
          <w:rFonts w:ascii="Arial" w:cs="Arial" w:eastAsia="Arial" w:hAnsi="Arial"/>
          <w:sz w:val="15"/>
          <w:szCs w:val="15"/>
          <w:color w:val="auto"/>
        </w:rPr>
      </w:pPr>
      <w:r>
        <w:rPr>
          <w:rFonts w:ascii="Arial" w:cs="Arial" w:eastAsia="Arial" w:hAnsi="Arial"/>
          <w:sz w:val="18"/>
          <w:szCs w:val="18"/>
          <w:color w:val="auto"/>
        </w:rPr>
        <w:t>In Manitoba, we have signed a binding letter of intent with National Access Cannabis Corp., or NAC, one of four retailers conditionally approved to operate retail cannabis stores in the province of Manitoba, to supply up to 3,000 kilograms of cannabis flower and 4,000 liters of cannabis oil annually for five years.</w:t>
      </w:r>
    </w:p>
    <w:p>
      <w:pPr>
        <w:spacing w:after="0" w:line="27" w:lineRule="exact"/>
        <w:rPr>
          <w:rFonts w:ascii="Arial" w:cs="Arial" w:eastAsia="Arial" w:hAnsi="Arial"/>
          <w:sz w:val="15"/>
          <w:szCs w:val="15"/>
          <w:color w:val="auto"/>
        </w:rPr>
      </w:pPr>
    </w:p>
    <w:p>
      <w:pPr>
        <w:ind w:left="520" w:right="460" w:hanging="316"/>
        <w:spacing w:after="0" w:line="246" w:lineRule="auto"/>
        <w:tabs>
          <w:tab w:leader="none" w:pos="520" w:val="left"/>
        </w:tabs>
        <w:numPr>
          <w:ilvl w:val="0"/>
          <w:numId w:val="47"/>
        </w:numPr>
        <w:rPr>
          <w:rFonts w:ascii="Arial" w:cs="Arial" w:eastAsia="Arial" w:hAnsi="Arial"/>
          <w:sz w:val="15"/>
          <w:szCs w:val="15"/>
          <w:color w:val="auto"/>
        </w:rPr>
      </w:pPr>
      <w:r>
        <w:rPr>
          <w:rFonts w:ascii="Arial" w:cs="Arial" w:eastAsia="Arial" w:hAnsi="Arial"/>
          <w:sz w:val="18"/>
          <w:szCs w:val="18"/>
          <w:color w:val="auto"/>
        </w:rPr>
        <w:t>We expect to announce additional supply agreements with crown corporations or private entities in Alberta, British Columbia and Ontario, as well as provinces in Atlantic Canada.</w:t>
      </w:r>
    </w:p>
    <w:p>
      <w:pPr>
        <w:spacing w:after="0" w:line="175" w:lineRule="exact"/>
        <w:rPr>
          <w:sz w:val="20"/>
          <w:szCs w:val="20"/>
          <w:color w:val="auto"/>
        </w:rPr>
      </w:pPr>
    </w:p>
    <w:p>
      <w:pPr>
        <w:jc w:val="both"/>
        <w:ind w:left="200" w:right="40" w:firstLine="331"/>
        <w:spacing w:after="0" w:line="253" w:lineRule="auto"/>
        <w:rPr>
          <w:sz w:val="20"/>
          <w:szCs w:val="20"/>
          <w:color w:val="auto"/>
        </w:rPr>
      </w:pPr>
      <w:r>
        <w:rPr>
          <w:rFonts w:ascii="Arial" w:cs="Arial" w:eastAsia="Arial" w:hAnsi="Arial"/>
          <w:sz w:val="18"/>
          <w:szCs w:val="18"/>
          <w:b w:val="1"/>
          <w:bCs w:val="1"/>
          <w:i w:val="1"/>
          <w:iCs w:val="1"/>
          <w:color w:val="auto"/>
        </w:rPr>
        <w:t xml:space="preserve">Direct-to-patient. </w:t>
      </w:r>
      <w:r>
        <w:rPr>
          <w:rFonts w:ascii="Arial" w:cs="Arial" w:eastAsia="Arial" w:hAnsi="Arial"/>
          <w:sz w:val="18"/>
          <w:szCs w:val="18"/>
          <w:color w:val="auto"/>
        </w:rPr>
        <w:t>In Canada, ACMPR-registered medical cannabis patients order from us primarily through our e-commerce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over the phone. In Canada, medical cannabis is and will continue to be delivered by secured courier or other methods permitted by the ACMPR. The DTP channel accounts for the majority of our medical sales.</w:t>
      </w:r>
    </w:p>
    <w:p>
      <w:pPr>
        <w:spacing w:after="0" w:line="169" w:lineRule="exact"/>
        <w:rPr>
          <w:sz w:val="20"/>
          <w:szCs w:val="20"/>
          <w:color w:val="auto"/>
        </w:rPr>
      </w:pPr>
    </w:p>
    <w:p>
      <w:pPr>
        <w:ind w:left="200" w:right="680" w:firstLine="331"/>
        <w:spacing w:after="0" w:line="253" w:lineRule="auto"/>
        <w:rPr>
          <w:sz w:val="20"/>
          <w:szCs w:val="20"/>
          <w:color w:val="auto"/>
        </w:rPr>
      </w:pPr>
      <w:r>
        <w:rPr>
          <w:rFonts w:ascii="Arial" w:cs="Arial" w:eastAsia="Arial" w:hAnsi="Arial"/>
          <w:sz w:val="18"/>
          <w:szCs w:val="18"/>
          <w:b w:val="1"/>
          <w:bCs w:val="1"/>
          <w:i w:val="1"/>
          <w:iCs w:val="1"/>
          <w:color w:val="auto"/>
        </w:rPr>
        <w:t xml:space="preserve">Direct-to-consumer. </w:t>
      </w:r>
      <w:r>
        <w:rPr>
          <w:rFonts w:ascii="Arial" w:cs="Arial" w:eastAsia="Arial" w:hAnsi="Arial"/>
          <w:sz w:val="18"/>
          <w:szCs w:val="18"/>
          <w:color w:val="auto"/>
        </w:rPr>
        <w:t>We anticipate DTC will also be an component of our adult-use sales that are not made under supply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with crown corporations and private retailers, to the extent permitted by applicable provincial legislation to be adopted governing the distribution of adult-use cannabis.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Wholesale. </w:t>
      </w:r>
      <w:r>
        <w:rPr>
          <w:rFonts w:ascii="Arial" w:cs="Arial" w:eastAsia="Arial" w:hAnsi="Arial"/>
          <w:sz w:val="18"/>
          <w:szCs w:val="18"/>
          <w:color w:val="auto"/>
        </w:rPr>
        <w:t>In Canada, we are also authorized under the ACMPR to wholesale bulk dried cannabis flower and bulk formulated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unformulated oil to other Licensed Producers under the ACMPR. The wholesale sales and distribution channel requires minimal selling, general, administrative and fulfillment costs. We believe there is the potential to wholesale finished, packaged products to other Licensed Producers, and we intend to pursue this sales channel as a part of our adult-use and medical-use growth strategies in Canada.</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Commitment to Research and Innovation</w:t>
      </w:r>
    </w:p>
    <w:p>
      <w:pPr>
        <w:spacing w:after="0" w:line="99"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believe that our strength as a medical brand is rooted in our commitment to research and development. Our research and development program focuses on developing innovative products, including novel delivery systems and precisely formulated cannabinoid products, and on the creation and improvement of methods, processes and technologies that allow us to efficiently manufacture such products on a large scale.</w:t>
      </w:r>
    </w:p>
    <w:p>
      <w:pPr>
        <w:spacing w:after="0" w:line="180" w:lineRule="exact"/>
        <w:rPr>
          <w:sz w:val="20"/>
          <w:szCs w:val="20"/>
          <w:color w:val="auto"/>
        </w:rPr>
      </w:pPr>
    </w:p>
    <w:p>
      <w:pPr>
        <w:ind w:left="200" w:firstLine="331"/>
        <w:spacing w:after="0"/>
        <w:rPr>
          <w:sz w:val="20"/>
          <w:szCs w:val="20"/>
          <w:color w:val="auto"/>
        </w:rPr>
      </w:pPr>
      <w:r>
        <w:rPr>
          <w:rFonts w:ascii="Arial" w:cs="Arial" w:eastAsia="Arial" w:hAnsi="Arial"/>
          <w:sz w:val="18"/>
          <w:szCs w:val="18"/>
          <w:b w:val="1"/>
          <w:bCs w:val="1"/>
          <w:i w:val="1"/>
          <w:iCs w:val="1"/>
          <w:color w:val="auto"/>
        </w:rPr>
        <w:t xml:space="preserve">Patents and proprietary programs. </w:t>
      </w:r>
      <w:r>
        <w:rPr>
          <w:rFonts w:ascii="Arial" w:cs="Arial" w:eastAsia="Arial" w:hAnsi="Arial"/>
          <w:sz w:val="18"/>
          <w:szCs w:val="18"/>
          <w:color w:val="auto"/>
        </w:rPr>
        <w:t>Our commitment to innovation is a core tenet. We have filed three pending patents in the fields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cannabis processing technology, cannabis grinding technology, cannabis formulations and treatment methods. We have exclusive rights to at least 20 issued or pending patents, several of which allow for a process aimed at significantly shortening the drying and curing periods. These patents are owned by EnWave Corporation, or EnWave; as licensee, we hold the exclusive, sublicensable right to use the technology embodied by these patents to manufacture cannabis products within Canada and Portugal, provided that certain royalty requirements are met, as well as the nonexclusive right to market and sell such products worldwide. Of the EnWave patents directed to significantly shortening the cannabis drying and curing periods, the earliest expiration date is June 3, 2019. The other patents directed to either drying or dehydrating biological materials expire from approximately January 2027 to December 2032.</w:t>
      </w:r>
    </w:p>
    <w:p>
      <w:pPr>
        <w:spacing w:after="0" w:line="203"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To retain exclusivity, we will also pay EnWave a minimum annual royalty rate during the term of the agreement. The minimum annual royalty is based on the amount of full microwave rated power of any EnWave equipment delivered to us.</w:t>
      </w:r>
    </w:p>
    <w:p>
      <w:pPr>
        <w:spacing w:after="0" w:line="197"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We have developed a number of innovative and proprietary programs designed to improve efficiency and overall product quality, including: a micro-propagation program that allows for the mass production of disease-free cannabis plants; methods and formulations to improve cannabinoid bioavailability and stability; preservation methods that allow for improved smell, texture and flavor of cannabis products; an integrated pest management system; proprietary plant trimming machines to minimize manufacturing waste and software improvements to optimize manufacturing, inventory and distribution processes.</w:t>
      </w:r>
    </w:p>
    <w:p>
      <w:pPr>
        <w:spacing w:after="0" w:line="181" w:lineRule="exact"/>
        <w:rPr>
          <w:sz w:val="20"/>
          <w:szCs w:val="20"/>
          <w:color w:val="auto"/>
        </w:rPr>
      </w:pPr>
    </w:p>
    <w:p>
      <w:pPr>
        <w:jc w:val="both"/>
        <w:ind w:left="200" w:right="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Trademarks and trade dress. </w:t>
      </w:r>
      <w:r>
        <w:rPr>
          <w:rFonts w:ascii="Arial" w:cs="Arial" w:eastAsia="Arial" w:hAnsi="Arial"/>
          <w:sz w:val="18"/>
          <w:szCs w:val="18"/>
          <w:color w:val="auto"/>
        </w:rPr>
        <w:t>We invest heavily in our growing trademark portfolio and hold 19 trademark registrations in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countries, including Canada, the United States, the European Union, Australia, Israel and several countries in South America and Asia. In addition, as a result of our wholly owned subsidiary’s brand licensing agreement with a wholly owned subsidiary of Privateer Holdings, we have exclusive access in Canada to a number of strong marks, both registered and applied-for, including Marley Natural and Goodship.</w:t>
      </w:r>
    </w:p>
    <w:p>
      <w:pPr>
        <w:spacing w:after="0" w:line="174" w:lineRule="exact"/>
        <w:rPr>
          <w:sz w:val="20"/>
          <w:szCs w:val="20"/>
          <w:color w:val="auto"/>
        </w:rPr>
      </w:pPr>
    </w:p>
    <w:p>
      <w:pPr>
        <w:ind w:left="200" w:right="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Clinical trials. </w:t>
      </w:r>
      <w:r>
        <w:rPr>
          <w:rFonts w:ascii="Arial" w:cs="Arial" w:eastAsia="Arial" w:hAnsi="Arial"/>
          <w:sz w:val="18"/>
          <w:szCs w:val="18"/>
          <w:color w:val="auto"/>
        </w:rPr>
        <w:t>Participation in clinical trials is a differentiating element of our research and development program. We believe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scientific data surrounding medical cannabis will increase mainstream acceptance within the medical community. As such, we have developed techniques that achieve clinical grade isolates in order to facilitate participation in clinical trials conducted by select research partners. Our participation in clinical studies includes supplying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study drug as well as regulatory documentation for the study drug and providing assistance in designing the protocol and determining the formulation of the study drug. In some cases, we provide funding for the study itself and/or pharmacokinetic data on the specific study drug. Although some trials, such as the chemotherapy-induced nausea and vomiting, or CINV, trial described below, are undertaken with an aim toward market authorization, most of the trials we participate in serve to generate early phase data that can be used to support patent filings, basic prescribing data for physicians and signals of efficacy to narrow our focus for future investigational drug products. We leverage our research by educating physicians about the unique benefits of cannabis in various treatments, which we believe helps to promote the Tilray brand as the most trusted brand in the industry and increases physical referrals. Our Medical Advisory Board, consisting of experts in a variety of areas, participates in the clinical trial selection process and provides us with additional credibility as a clinical trial participant.</w:t>
      </w:r>
    </w:p>
    <w:p>
      <w:pPr>
        <w:spacing w:after="0" w:line="207"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Clinical trials are typically conducted in phases, with Phase I confirming the safety of the drug, Phase II further analyzing the drug’s efficacy and Phase III comparing the new drug against the standard treatment for the disease being studied. Below is a list of the clinical trials with which we are currently involved. In addition, we are currently awaiting regulatory approval for the initiation of an additional clinical trial targeting glioblastoma.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735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8858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Environment</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Canadian Medical Use</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Medical cannabis in Canada is regulated by the federal government under the ACMPR, which was adopted in 2016, superseding earlier regulations that were adopted in 2013. Under the ACMPR, individuals with a valid medical authorization may, among other things, purchase cannabis from a Licensed Producer such as us. Licensed Producers are required to obtain and maintain a license from Health Canada for the cultivation and sale of cannabis and comply with the production, security, recordkeeping, reporting and other requirements of the ACMPR.</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In addition to the ACMPR, the NCR was also enacted under the Controlled Drugs and Substances Act, or the CDSA. Within these regulations are the processes, descriptions and limitations relating to</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24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20"/>
        <w:spacing w:after="0" w:line="239" w:lineRule="auto"/>
        <w:rPr>
          <w:sz w:val="20"/>
          <w:szCs w:val="20"/>
          <w:color w:val="auto"/>
        </w:rPr>
      </w:pPr>
      <w:r>
        <w:rPr>
          <w:rFonts w:ascii="Arial" w:cs="Arial" w:eastAsia="Arial" w:hAnsi="Arial"/>
          <w:sz w:val="18"/>
          <w:szCs w:val="18"/>
          <w:color w:val="auto"/>
        </w:rPr>
        <w:t>the licensing of dealers pursuant to the CDSA. As a dealer licensed pursuant to the CDSA, or a Licensed Dealer, we are authorized to engage in additional activities that involve a narcotic, which currently includes cannabis, and are beyond the scope of the ACMPR. For example, the ACMPR allows for importation and exportation of limited forms (</w:t>
      </w:r>
      <w:r>
        <w:rPr>
          <w:rFonts w:ascii="Arial" w:cs="Arial" w:eastAsia="Arial" w:hAnsi="Arial"/>
          <w:sz w:val="18"/>
          <w:szCs w:val="18"/>
          <w:i w:val="1"/>
          <w:iCs w:val="1"/>
          <w:color w:val="auto"/>
        </w:rPr>
        <w:t>e.g.</w:t>
      </w:r>
      <w:r>
        <w:rPr>
          <w:rFonts w:ascii="Arial" w:cs="Arial" w:eastAsia="Arial" w:hAnsi="Arial"/>
          <w:sz w:val="18"/>
          <w:szCs w:val="18"/>
          <w:color w:val="auto"/>
        </w:rPr>
        <w:t xml:space="preserve"> dried cannabis, seeds and plants), while a Licensed Dealer is able to import and export a wider variety of forms (</w:t>
      </w:r>
      <w:r>
        <w:rPr>
          <w:rFonts w:ascii="Arial" w:cs="Arial" w:eastAsia="Arial" w:hAnsi="Arial"/>
          <w:sz w:val="18"/>
          <w:szCs w:val="18"/>
          <w:i w:val="1"/>
          <w:iCs w:val="1"/>
          <w:color w:val="auto"/>
        </w:rPr>
        <w:t>e.g.</w:t>
      </w:r>
      <w:r>
        <w:rPr>
          <w:rFonts w:ascii="Arial" w:cs="Arial" w:eastAsia="Arial" w:hAnsi="Arial"/>
          <w:sz w:val="18"/>
          <w:szCs w:val="18"/>
          <w:color w:val="auto"/>
        </w:rPr>
        <w:t xml:space="preserve"> concentrates, oils and other forms of extracts).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Canadian Adult-Use</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April 2017, the government of Canada introduced the Cannabis Act. The following are the highlights of the proposed legislation:</w:t>
      </w:r>
    </w:p>
    <w:p>
      <w:pPr>
        <w:spacing w:after="0" w:line="239" w:lineRule="exact"/>
        <w:rPr>
          <w:sz w:val="20"/>
          <w:szCs w:val="20"/>
          <w:color w:val="auto"/>
        </w:rPr>
      </w:pPr>
    </w:p>
    <w:p>
      <w:pPr>
        <w:ind w:left="520" w:right="120" w:hanging="316"/>
        <w:spacing w:after="0" w:line="239" w:lineRule="auto"/>
        <w:tabs>
          <w:tab w:leader="none" w:pos="520" w:val="left"/>
        </w:tabs>
        <w:numPr>
          <w:ilvl w:val="0"/>
          <w:numId w:val="48"/>
        </w:numPr>
        <w:rPr>
          <w:rFonts w:ascii="Arial" w:cs="Arial" w:eastAsia="Arial" w:hAnsi="Arial"/>
          <w:sz w:val="15"/>
          <w:szCs w:val="15"/>
          <w:color w:val="auto"/>
        </w:rPr>
      </w:pPr>
      <w:r>
        <w:rPr>
          <w:rFonts w:ascii="Arial" w:cs="Arial" w:eastAsia="Arial" w:hAnsi="Arial"/>
          <w:sz w:val="18"/>
          <w:szCs w:val="18"/>
          <w:color w:val="auto"/>
        </w:rPr>
        <w:t>Allows individuals over the age of 18 to purchase, possess and cultivate limited amounts of cannabis for recreational purposes. Each province will also be permitted to adopt its own laws governing the distribution, sale and consumption of cannabis and cannabis accessory products, such as vaporizers, within the province, and those laws may set lower maximum permitted quantities for individuals and higher age requirements.</w:t>
      </w:r>
    </w:p>
    <w:p>
      <w:pPr>
        <w:spacing w:after="0" w:line="26" w:lineRule="exact"/>
        <w:rPr>
          <w:rFonts w:ascii="Arial" w:cs="Arial" w:eastAsia="Arial" w:hAnsi="Arial"/>
          <w:sz w:val="15"/>
          <w:szCs w:val="15"/>
          <w:color w:val="auto"/>
        </w:rPr>
      </w:pPr>
    </w:p>
    <w:p>
      <w:pPr>
        <w:jc w:val="both"/>
        <w:ind w:left="520" w:right="260" w:hanging="316"/>
        <w:spacing w:after="0"/>
        <w:tabs>
          <w:tab w:leader="none" w:pos="520" w:val="left"/>
        </w:tabs>
        <w:numPr>
          <w:ilvl w:val="0"/>
          <w:numId w:val="48"/>
        </w:numPr>
        <w:rPr>
          <w:rFonts w:ascii="Arial" w:cs="Arial" w:eastAsia="Arial" w:hAnsi="Arial"/>
          <w:sz w:val="15"/>
          <w:szCs w:val="15"/>
          <w:color w:val="auto"/>
        </w:rPr>
      </w:pPr>
      <w:r>
        <w:rPr>
          <w:rFonts w:ascii="Arial" w:cs="Arial" w:eastAsia="Arial" w:hAnsi="Arial"/>
          <w:sz w:val="18"/>
          <w:szCs w:val="18"/>
          <w:color w:val="auto"/>
        </w:rPr>
        <w:t>Existing licenses issued to Licensed Producers for medical cannabis production and sale under the ACMPR are deemed a license issued under the Cannabis Act. This will provide existing Licensed Producers with a significant advantage in entering the Canadian adult-use market upon legalization.</w:t>
      </w:r>
    </w:p>
    <w:p>
      <w:pPr>
        <w:spacing w:after="0" w:line="27" w:lineRule="exact"/>
        <w:rPr>
          <w:rFonts w:ascii="Arial" w:cs="Arial" w:eastAsia="Arial" w:hAnsi="Arial"/>
          <w:sz w:val="15"/>
          <w:szCs w:val="15"/>
          <w:color w:val="auto"/>
        </w:rPr>
      </w:pPr>
    </w:p>
    <w:p>
      <w:pPr>
        <w:ind w:left="520" w:right="80" w:hanging="316"/>
        <w:spacing w:after="0" w:line="246" w:lineRule="auto"/>
        <w:tabs>
          <w:tab w:leader="none" w:pos="520" w:val="left"/>
        </w:tabs>
        <w:numPr>
          <w:ilvl w:val="0"/>
          <w:numId w:val="48"/>
        </w:numPr>
        <w:rPr>
          <w:rFonts w:ascii="Arial" w:cs="Arial" w:eastAsia="Arial" w:hAnsi="Arial"/>
          <w:sz w:val="15"/>
          <w:szCs w:val="15"/>
          <w:color w:val="auto"/>
        </w:rPr>
      </w:pPr>
      <w:r>
        <w:rPr>
          <w:rFonts w:ascii="Arial" w:cs="Arial" w:eastAsia="Arial" w:hAnsi="Arial"/>
          <w:sz w:val="18"/>
          <w:szCs w:val="18"/>
          <w:color w:val="auto"/>
        </w:rPr>
        <w:t>Promotion, packaging and labelling of cannabis is expected to be strictly regulated. For example, promotion is largely restricted to the place of sale, and promotions that appeal to underage individuals are prohibited.</w:t>
      </w:r>
    </w:p>
    <w:p>
      <w:pPr>
        <w:spacing w:after="0" w:line="21" w:lineRule="exact"/>
        <w:rPr>
          <w:rFonts w:ascii="Arial" w:cs="Arial" w:eastAsia="Arial" w:hAnsi="Arial"/>
          <w:sz w:val="15"/>
          <w:szCs w:val="15"/>
          <w:color w:val="auto"/>
        </w:rPr>
      </w:pPr>
    </w:p>
    <w:p>
      <w:pPr>
        <w:ind w:left="520" w:right="220" w:hanging="316"/>
        <w:spacing w:after="0"/>
        <w:tabs>
          <w:tab w:leader="none" w:pos="520" w:val="left"/>
        </w:tabs>
        <w:numPr>
          <w:ilvl w:val="0"/>
          <w:numId w:val="48"/>
        </w:numPr>
        <w:rPr>
          <w:rFonts w:ascii="Arial" w:cs="Arial" w:eastAsia="Arial" w:hAnsi="Arial"/>
          <w:sz w:val="15"/>
          <w:szCs w:val="15"/>
          <w:color w:val="auto"/>
        </w:rPr>
      </w:pPr>
      <w:r>
        <w:rPr>
          <w:rFonts w:ascii="Arial" w:cs="Arial" w:eastAsia="Arial" w:hAnsi="Arial"/>
          <w:sz w:val="18"/>
          <w:szCs w:val="18"/>
          <w:color w:val="auto"/>
        </w:rPr>
        <w:t>Dried cannabis and oils are permitted for retail sale. Currently edibles, concentrates and extract vaporizers will not be permitted for retail sale, although the government of Canada has indicated that they will be permitted no later than 12 months after the legislation comes into force.</w:t>
      </w:r>
    </w:p>
    <w:p>
      <w:pPr>
        <w:spacing w:after="0" w:line="27" w:lineRule="exact"/>
        <w:rPr>
          <w:rFonts w:ascii="Arial" w:cs="Arial" w:eastAsia="Arial" w:hAnsi="Arial"/>
          <w:sz w:val="15"/>
          <w:szCs w:val="15"/>
          <w:color w:val="auto"/>
        </w:rPr>
      </w:pPr>
    </w:p>
    <w:p>
      <w:pPr>
        <w:ind w:left="520" w:hanging="316"/>
        <w:spacing w:after="0"/>
        <w:tabs>
          <w:tab w:leader="none" w:pos="520" w:val="left"/>
        </w:tabs>
        <w:numPr>
          <w:ilvl w:val="0"/>
          <w:numId w:val="48"/>
        </w:numPr>
        <w:rPr>
          <w:rFonts w:ascii="Arial" w:cs="Arial" w:eastAsia="Arial" w:hAnsi="Arial"/>
          <w:sz w:val="15"/>
          <w:szCs w:val="15"/>
          <w:color w:val="auto"/>
        </w:rPr>
      </w:pPr>
      <w:r>
        <w:rPr>
          <w:rFonts w:ascii="Arial" w:cs="Arial" w:eastAsia="Arial" w:hAnsi="Arial"/>
          <w:sz w:val="18"/>
          <w:szCs w:val="18"/>
          <w:color w:val="auto"/>
        </w:rPr>
        <w:t>Export is restricted to medical cannabis, cannabis for scientific purposes and industrial hemp.</w:t>
      </w:r>
    </w:p>
    <w:p>
      <w:pPr>
        <w:spacing w:after="0" w:line="212"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The Cannabis Act was passed by the House of Commons in November 2017. The Senate deadline for the final vote on the Cannabis Act is June 7, 2018.</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Provincial and territorial governments have announced plans for the distribution and retail of adult-use cannabis and are working to ensure these respective systems are in place by the time federal legalization occurs, which, based on the current timeline, we expect to be in September 2018. The retail-distribution models vary nationwide: Ontario, Quebec, New Brunswick, Nova Scotia and Prince Edward Island have adopted a government-run model for retail and distribution; British Columbia, Alberta, Manitoba and Newfoundland have adopted a hybrid model with some aspects, including stores, distribution and online retail being government-run while allowing for private retail; Saskatchewan has announced a fully private system and the three northern territories of Yukon, Northwest Territories and Nunavut have adopted a model that mirrors their government-run liquor distribution model.</w:t>
      </w:r>
    </w:p>
    <w:p>
      <w:pPr>
        <w:spacing w:after="0" w:line="203"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All provinces and territories are actively working to secure supply agreements from existing Licensed Producers for their respective markets. Quebec, Manitoba, New Brunswick, Newfoundland, Prince Edward Island and the Yukon have already announced letters of intent or agreements with certain Licensed Producers. We expect that the other provinces and territories will be seeking proposals. We expect the DTC mail order system to be a critical component of the adult-use market, to the extent permitted under the provincial laws governing distribution that are adopted.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Union Medical Use</w:t>
      </w:r>
    </w:p>
    <w:p>
      <w:pPr>
        <w:spacing w:after="0" w:line="99" w:lineRule="exact"/>
        <w:rPr>
          <w:sz w:val="20"/>
          <w:szCs w:val="20"/>
          <w:color w:val="auto"/>
        </w:rPr>
      </w:pPr>
    </w:p>
    <w:p>
      <w:pPr>
        <w:ind w:left="200" w:right="220" w:firstLine="331"/>
        <w:spacing w:after="0" w:line="236" w:lineRule="auto"/>
        <w:rPr>
          <w:sz w:val="20"/>
          <w:szCs w:val="20"/>
          <w:color w:val="auto"/>
        </w:rPr>
      </w:pPr>
      <w:r>
        <w:rPr>
          <w:rFonts w:ascii="Arial" w:cs="Arial" w:eastAsia="Arial" w:hAnsi="Arial"/>
          <w:sz w:val="18"/>
          <w:szCs w:val="18"/>
          <w:color w:val="auto"/>
        </w:rPr>
        <w:t>While each country in the European Union has its own laws and regulations, there are many commonalities in how the medical cannabis markets for EU countries are developing. For example, in order to ensure quality and safe products for patients, many EU countries only permit the import and sale of medical cannabis when the manufacturer can demonstrate certification by a Competent Authority of compliance with GMP standards. The European Union requires adherence to GMP standards for the manufacture of active substances and medicinal products, including cannabis products. Under the system for certification of GMP adopted in the European Union, a Competent Authority of any EU member state may conduct an inspection at a drug manufacturing site and, if satisfied that the GMP standards are met, issue a certificate of GMP compliance to the manufacturer for specified elements of the manufacturing process being carried on at that site. Each country in the European Union will generally recognize a GMP certificate issued by any Competent Authority within the European Union as evidence of compliance with GMP standards. Certificates of GMP compliance issued by a Competent Authority in another country outside of the European Union will also be recognized if that country has a mutual recognition agreement with the European Union.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Competitive Conditions</w:t>
      </w:r>
    </w:p>
    <w:p>
      <w:pPr>
        <w:spacing w:after="0" w:line="126"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As of May 25, 2018, 105 licenses were issued by Health Canada. To our knowledge, only a limited number of licenses are issued by Health Canada on a monthly basis, although Health Canada has recently streamlined its license review process and accelerated its rate of approvals in anticipation of adult-use legalization. Health Canada licenses are limited to individual properties and are for specified maximum production levels. As such, if a Licensed Producer has reached its maximum authorized production level at its licensed site or seeks to commence production at a new site, it must apply to Health Canada for a new license.</w:t>
      </w:r>
    </w:p>
    <w:p>
      <w:pPr>
        <w:spacing w:after="0" w:line="203"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As the demand for medical cannabis increases and the application backlog with Health Canada is processed, we believe that new competitors will enter the market. The principal competitive factors on which we compete with other Licensed Producers are the quality and variety of cannabis products, brand recognition and physician familiarity.</w:t>
      </w:r>
    </w:p>
    <w:p>
      <w:pPr>
        <w:spacing w:after="0" w:line="203" w:lineRule="exact"/>
        <w:rPr>
          <w:sz w:val="20"/>
          <w:szCs w:val="20"/>
          <w:color w:val="auto"/>
        </w:rPr>
      </w:pPr>
    </w:p>
    <w:p>
      <w:pPr>
        <w:jc w:val="both"/>
        <w:ind w:left="200" w:right="200" w:firstLine="331"/>
        <w:spacing w:after="0" w:line="239" w:lineRule="auto"/>
        <w:rPr>
          <w:sz w:val="20"/>
          <w:szCs w:val="20"/>
          <w:color w:val="auto"/>
        </w:rPr>
      </w:pPr>
      <w:r>
        <w:rPr>
          <w:rFonts w:ascii="Arial" w:cs="Arial" w:eastAsia="Arial" w:hAnsi="Arial"/>
          <w:sz w:val="18"/>
          <w:szCs w:val="18"/>
          <w:color w:val="auto"/>
        </w:rPr>
        <w:t>Following the adoption of legislation legalizing the adult-use of cannabis in Canada, we expect to see new entrants into the market. While it is currently proposed that existing holders of licenses related to medical cannabis, including us, will be automatically licensed for the adult-use market, other individuals and corporations would be able to apply for such licenses if the proposed adult-use legislation is adopted in Canada.</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Employees</w:t>
      </w:r>
    </w:p>
    <w:p>
      <w:pPr>
        <w:spacing w:after="0" w:line="126"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As of February 28, 2018, we employed 245 total employees, 241 of which are full-time employees, and engaged contractors located in Canada, Germany, Portugal, Ireland, the United States, Australia and the Czech Republic, including 170 employees in research, product development, engineering and operations and logistics, 38 employees in general and administrative and 37 employees in sales and marketing. We consider relations with our employees to be good and have never experienced a work stoppage. None of our employees are either represented by a labor union or subject to a collective bargaining agreement.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results of operations or prospects.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200" w:right="500" w:firstLine="331"/>
        <w:spacing w:after="0" w:line="246" w:lineRule="auto"/>
        <w:rPr>
          <w:sz w:val="20"/>
          <w:szCs w:val="20"/>
          <w:color w:val="auto"/>
        </w:rPr>
      </w:pPr>
      <w:r>
        <w:rPr>
          <w:rFonts w:ascii="Arial" w:cs="Arial" w:eastAsia="Arial" w:hAnsi="Arial"/>
          <w:sz w:val="18"/>
          <w:szCs w:val="18"/>
          <w:color w:val="auto"/>
        </w:rPr>
        <w:t>Prior to the effectiveness of this registration statement, we will disclose, in accordance with the rules and regulations of the SEC, information about the persons whom we expect to serve as our directors and other executive officers following this offering.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certain information regarding our current executive officers and directors as of March 31,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420" w:type="dxa"/>
            <w:vAlign w:val="bottom"/>
          </w:tcPr>
          <w:p>
            <w:pPr>
              <w:spacing w:after="0"/>
              <w:rPr>
                <w:sz w:val="16"/>
                <w:szCs w:val="16"/>
                <w:color w:val="auto"/>
              </w:rPr>
            </w:pPr>
          </w:p>
        </w:tc>
        <w:tc>
          <w:tcPr>
            <w:tcW w:w="5440" w:type="dxa"/>
            <w:vAlign w:val="bottom"/>
          </w:tcPr>
          <w:p>
            <w:pPr>
              <w:ind w:left="234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Brendan Kennedy</w:t>
            </w:r>
          </w:p>
        </w:tc>
        <w:tc>
          <w:tcPr>
            <w:tcW w:w="400" w:type="dxa"/>
            <w:vAlign w:val="bottom"/>
          </w:tcPr>
          <w:p>
            <w:pPr>
              <w:spacing w:after="0"/>
              <w:rPr>
                <w:sz w:val="16"/>
                <w:szCs w:val="16"/>
                <w:color w:val="auto"/>
              </w:rPr>
            </w:pPr>
          </w:p>
        </w:tc>
        <w:tc>
          <w:tcPr>
            <w:tcW w:w="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45</w:t>
            </w:r>
          </w:p>
        </w:tc>
        <w:tc>
          <w:tcPr>
            <w:tcW w:w="420" w:type="dxa"/>
            <w:vAlign w:val="bottom"/>
          </w:tcPr>
          <w:p>
            <w:pPr>
              <w:spacing w:after="0"/>
              <w:rPr>
                <w:sz w:val="16"/>
                <w:szCs w:val="16"/>
                <w:color w:val="auto"/>
              </w:rPr>
            </w:pPr>
          </w:p>
        </w:tc>
        <w:tc>
          <w:tcPr>
            <w:tcW w:w="5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Edward Wood Pastorius, Jr.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Chief Revenue Officer</w:t>
            </w:r>
          </w:p>
        </w:tc>
      </w:tr>
      <w:tr>
        <w:trPr>
          <w:trHeight w:val="203"/>
        </w:trPr>
        <w:tc>
          <w:tcPr>
            <w:tcW w:w="4580" w:type="dxa"/>
            <w:vAlign w:val="bottom"/>
            <w:gridSpan w:val="3"/>
          </w:tcPr>
          <w:p>
            <w:pPr>
              <w:spacing w:after="0" w:line="202" w:lineRule="exact"/>
              <w:rPr>
                <w:sz w:val="20"/>
                <w:szCs w:val="20"/>
                <w:color w:val="auto"/>
              </w:rPr>
            </w:pPr>
            <w:r>
              <w:rPr>
                <w:rFonts w:ascii="Arial" w:cs="Arial" w:eastAsia="Arial" w:hAnsi="Arial"/>
                <w:sz w:val="18"/>
                <w:szCs w:val="18"/>
                <w:color w:val="auto"/>
              </w:rPr>
              <w:t>Mark Castaneda</w:t>
            </w:r>
          </w:p>
        </w:tc>
        <w:tc>
          <w:tcPr>
            <w:tcW w:w="600" w:type="dxa"/>
            <w:vAlign w:val="bottom"/>
          </w:tcPr>
          <w:p>
            <w:pPr>
              <w:jc w:val="center"/>
              <w:spacing w:after="0" w:line="202" w:lineRule="exact"/>
              <w:rPr>
                <w:sz w:val="20"/>
                <w:szCs w:val="20"/>
                <w:color w:val="auto"/>
              </w:rPr>
            </w:pPr>
            <w:r>
              <w:rPr>
                <w:rFonts w:ascii="Arial" w:cs="Arial" w:eastAsia="Arial" w:hAnsi="Arial"/>
                <w:sz w:val="18"/>
                <w:szCs w:val="18"/>
                <w:color w:val="auto"/>
                <w:w w:val="99"/>
              </w:rPr>
              <w:t>53</w:t>
            </w:r>
          </w:p>
        </w:tc>
        <w:tc>
          <w:tcPr>
            <w:tcW w:w="58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Chief Financial Officer, Secretary and Treasurer</w:t>
            </w:r>
          </w:p>
        </w:tc>
      </w:tr>
      <w:tr>
        <w:trPr>
          <w:trHeight w:val="217"/>
        </w:trPr>
        <w:tc>
          <w:tcPr>
            <w:tcW w:w="4580" w:type="dxa"/>
            <w:vAlign w:val="bottom"/>
            <w:gridSpan w:val="3"/>
          </w:tcPr>
          <w:p>
            <w:pPr>
              <w:spacing w:after="0"/>
              <w:rPr>
                <w:sz w:val="20"/>
                <w:szCs w:val="20"/>
                <w:color w:val="auto"/>
              </w:rPr>
            </w:pPr>
            <w:r>
              <w:rPr>
                <w:rFonts w:ascii="Arial" w:cs="Arial" w:eastAsia="Arial" w:hAnsi="Arial"/>
                <w:sz w:val="18"/>
                <w:szCs w:val="18"/>
                <w:color w:val="auto"/>
              </w:rPr>
              <w:t>Michael Auerbach</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5860" w:type="dxa"/>
            <w:vAlign w:val="bottom"/>
            <w:gridSpan w:val="2"/>
          </w:tcPr>
          <w:p>
            <w:pPr>
              <w:ind w:left="4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7" w:lineRule="exact"/>
        <w:rPr>
          <w:sz w:val="20"/>
          <w:szCs w:val="20"/>
          <w:color w:val="auto"/>
        </w:rPr>
      </w:pPr>
    </w:p>
    <w:p>
      <w:pPr>
        <w:ind w:left="520" w:hanging="316"/>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520" w:hanging="316"/>
        <w:spacing w:after="0" w:line="23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520" w:hanging="316"/>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8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81" w:lineRule="exact"/>
        <w:rPr>
          <w:sz w:val="20"/>
          <w:szCs w:val="20"/>
          <w:color w:val="auto"/>
        </w:rPr>
      </w:pPr>
    </w:p>
    <w:p>
      <w:pPr>
        <w:ind w:left="200" w:right="120" w:firstLine="331"/>
        <w:spacing w:after="0" w:line="259" w:lineRule="auto"/>
        <w:rPr>
          <w:sz w:val="20"/>
          <w:szCs w:val="20"/>
          <w:color w:val="auto"/>
        </w:rPr>
      </w:pPr>
      <w:r>
        <w:rPr>
          <w:rFonts w:ascii="Arial" w:cs="Arial" w:eastAsia="Arial" w:hAnsi="Arial"/>
          <w:sz w:val="17"/>
          <w:szCs w:val="17"/>
          <w:i w:val="1"/>
          <w:iCs w:val="1"/>
          <w:color w:val="auto"/>
        </w:rPr>
        <w:t xml:space="preserve">Brendan Kennedy </w:t>
      </w:r>
      <w:r>
        <w:rPr>
          <w:rFonts w:ascii="Arial" w:cs="Arial" w:eastAsia="Arial" w:hAnsi="Arial"/>
          <w:sz w:val="17"/>
          <w:szCs w:val="17"/>
          <w:color w:val="auto"/>
        </w:rPr>
        <w:t>has served as our President and Chief Executive Officer and member of our board of directors since January 2018</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served as the Chief Executive Officer and member of the board of directors of our subsidiary, Tilray Canada Ltd., since 2016.</w:t>
      </w:r>
    </w:p>
    <w:p>
      <w:pPr>
        <w:spacing w:after="0" w:line="1"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Mr. Kennedy also serves as the Executive Chairman and member of the board of directors of Privateer Holdings, a private investment firm focused exclusively on the cannabis industry, since he founded it in October 2011. Mr. Kennedy served as Chief Executive Officer of Privateer Holdings from its founding until May 2018. Prior to founding Privateer Holdings, Mr. Kennedy served as the Chief Operating Officer of Silicon Valley Bank Analytics from 2010 to 2011 and Managing Director from 2006 to 2010. Mr. Kennedy holds a BA from the University of California, Berkeley, an MS in Engineering from the University of Washington and an MBA from the Yale School of Management. We believe Mr. Kennedy is qualified to serve on our board of directors due to his role as a founder of our company, his deep knowledge of our company and his extensive background in our industry.</w:t>
      </w:r>
    </w:p>
    <w:p>
      <w:pPr>
        <w:spacing w:after="0" w:line="185" w:lineRule="exact"/>
        <w:rPr>
          <w:sz w:val="20"/>
          <w:szCs w:val="20"/>
          <w:color w:val="auto"/>
        </w:rPr>
      </w:pPr>
    </w:p>
    <w:p>
      <w:pPr>
        <w:ind w:left="200" w:right="280" w:firstLine="331"/>
        <w:spacing w:after="0" w:line="242" w:lineRule="auto"/>
        <w:rPr>
          <w:sz w:val="20"/>
          <w:szCs w:val="20"/>
          <w:color w:val="auto"/>
        </w:rPr>
      </w:pPr>
      <w:r>
        <w:rPr>
          <w:rFonts w:ascii="Arial" w:cs="Arial" w:eastAsia="Arial" w:hAnsi="Arial"/>
          <w:sz w:val="18"/>
          <w:szCs w:val="18"/>
          <w:i w:val="1"/>
          <w:iCs w:val="1"/>
          <w:color w:val="auto"/>
        </w:rPr>
        <w:t xml:space="preserve">Edward Wood Pastorius, Jr. </w:t>
      </w:r>
      <w:r>
        <w:rPr>
          <w:rFonts w:ascii="Arial" w:cs="Arial" w:eastAsia="Arial" w:hAnsi="Arial"/>
          <w:sz w:val="18"/>
          <w:szCs w:val="18"/>
          <w:color w:val="auto"/>
        </w:rPr>
        <w:t>has served as our Chief Revenue Officer since March 2018 and has served as the President,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of our subsidiary, Tilray Canada Ltd., since November 2016. Mr. Pastorius is also the co-owner of Upstart Advisers, a business consulting company, and Elevation Partners, a specialty sales training company. Mr. Pastorius served as the President and Chief Executive Officer of mywedding.com, a Meredith Corp. Company, from October 2009 to June 2016. Mr. Pastorius holds a BA from Colorado State University and an MBA from the New York Institute of Technology–Old Westbury.</w:t>
      </w:r>
    </w:p>
    <w:p>
      <w:pPr>
        <w:spacing w:after="0" w:line="18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i w:val="1"/>
          <w:iCs w:val="1"/>
          <w:color w:val="auto"/>
        </w:rPr>
        <w:t xml:space="preserve">Mark Castaneda </w:t>
      </w:r>
      <w:r>
        <w:rPr>
          <w:rFonts w:ascii="Arial" w:cs="Arial" w:eastAsia="Arial" w:hAnsi="Arial"/>
          <w:sz w:val="18"/>
          <w:szCs w:val="18"/>
          <w:color w:val="auto"/>
        </w:rPr>
        <w:t>has served as our Chief Financial Officer, Secretary and Treasurer since March 2018. Mr. Castaneda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Chief Financial Officer and Assistant Treasurer of Primo Water Corporation, a publicly traded water marketing and distribution company, from March 2008 to January 2018. From October 2007 to March 2008, Mr. Castaneda served as the Chief Financial Officer for Tecta America, Inc., a private national roofing contractor, and from October 2004 to August 2006, he served as Chief Financial Officer for Pike Electric Corporation, a publicly traded energy solutions provider, where he helped lead its initial public offering in July 2005. Mr. Castaneda also served as the Chief Financial Officer of Blue Rhino Corporation from November 1997 to October 2004 and as a member of the board of directors of Blue Rhino Corporation from September 1998 to April 2004.</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Mr. Castaneda helped lead Blue Rhino’s initial public offering in May 1998. Mr. Castaneda began his career with Deloitte &amp; Touche in 1988 and is a certified public accountant. Mr. Castaneda has served on the Audit Committee of Ranir Global Holdings, LLC since August 2016. Mr. Castaneda holds a BS in Accountancy and a Masters, Taxation from DePaul University.</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99"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Prior to the effectiveness of this registration statement, we will disclose, in accordance with the rules and regulations of the SEC, information about the persons whom we expect to serve as our non-employee directors following this offering.</w:t>
      </w:r>
    </w:p>
    <w:p>
      <w:pPr>
        <w:spacing w:after="0" w:line="179"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i w:val="1"/>
          <w:iCs w:val="1"/>
          <w:color w:val="auto"/>
        </w:rPr>
        <w:t xml:space="preserve">Michael Auerbach </w:t>
      </w:r>
      <w:r>
        <w:rPr>
          <w:rFonts w:ascii="Arial" w:cs="Arial" w:eastAsia="Arial" w:hAnsi="Arial"/>
          <w:sz w:val="18"/>
          <w:szCs w:val="18"/>
          <w:color w:val="auto"/>
        </w:rPr>
        <w:t>has served as a member of our board of directors since February 2018 and as a member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wholly owned subsidiary, Tilray Canada Ltd. since November 2013. He has served on the board of directors of Privateer Holdings since January 2014. Mr. Auerbach has served as Senior Vice President at the Albright Stonebridge Group, a commercial diplomacy and global strategy group, since July of 2012. Mr. Auerbach previously served as the Vice President, Social Risk Consulting at Control Risks Group Limited from September 2009 to July 2012. Mr. Auerbach also served as the Associate Director, Prospects for Peace Initiative at The Century Foundation and Center for American Progress from August 2005 to July 2007. Additionally, Mr. Auerbach served as a term member at the Council on Foreign Relations from 2011 to 2016 and as a national security fellow at the Truman National Security Project since 2005. Mr. Auerbach holds an MS in International Relations from Columbia University and a BA in Critical Theory and Post-Colonial Studies from the New School for Social Research. We believe Mr. Auerbach is qualified to serve on our board of directors due to his extensive knowledge of our company and industry.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Family Relationships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are no family relationships among any of the directors or executive officers.</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Board Composition</w:t>
            </w:r>
          </w:p>
        </w:tc>
        <w:tc>
          <w:tcPr>
            <w:tcW w:w="5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200" w:type="dxa"/>
            <w:vAlign w:val="bottom"/>
          </w:tcPr>
          <w:p>
            <w:pPr>
              <w:spacing w:after="0"/>
              <w:rPr>
                <w:sz w:val="23"/>
                <w:szCs w:val="23"/>
                <w:color w:val="auto"/>
              </w:rPr>
            </w:pPr>
          </w:p>
        </w:tc>
        <w:tc>
          <w:tcPr>
            <w:tcW w:w="9300" w:type="dxa"/>
            <w:vAlign w:val="bottom"/>
            <w:gridSpan w:val="3"/>
          </w:tcPr>
          <w:p>
            <w:pPr>
              <w:ind w:left="140"/>
              <w:spacing w:after="0"/>
              <w:rPr>
                <w:sz w:val="20"/>
                <w:szCs w:val="20"/>
                <w:color w:val="auto"/>
              </w:rPr>
            </w:pPr>
            <w:r>
              <w:rPr>
                <w:rFonts w:ascii="Arial" w:cs="Arial" w:eastAsia="Arial" w:hAnsi="Arial"/>
                <w:sz w:val="18"/>
                <w:szCs w:val="18"/>
                <w:color w:val="auto"/>
              </w:rPr>
              <w:t>Our business and affairs are managed under the direction of our board of directors, which currently consists of</w:t>
            </w:r>
          </w:p>
        </w:tc>
        <w:tc>
          <w:tcPr>
            <w:tcW w:w="1520" w:type="dxa"/>
            <w:vAlign w:val="bottom"/>
          </w:tcPr>
          <w:p>
            <w:pPr>
              <w:ind w:left="400"/>
              <w:spacing w:after="0"/>
              <w:rPr>
                <w:sz w:val="20"/>
                <w:szCs w:val="20"/>
                <w:color w:val="auto"/>
              </w:rPr>
            </w:pPr>
            <w:r>
              <w:rPr>
                <w:rFonts w:ascii="Arial" w:cs="Arial" w:eastAsia="Arial" w:hAnsi="Arial"/>
                <w:sz w:val="18"/>
                <w:szCs w:val="18"/>
                <w:color w:val="auto"/>
              </w:rPr>
              <w:t>members.</w:t>
            </w:r>
          </w:p>
        </w:tc>
      </w:tr>
      <w:tr>
        <w:trPr>
          <w:trHeight w:val="404"/>
        </w:trPr>
        <w:tc>
          <w:tcPr>
            <w:tcW w:w="200" w:type="dxa"/>
            <w:vAlign w:val="bottom"/>
          </w:tcPr>
          <w:p>
            <w:pPr>
              <w:spacing w:after="0"/>
              <w:rPr>
                <w:sz w:val="24"/>
                <w:szCs w:val="24"/>
                <w:color w:val="auto"/>
              </w:rPr>
            </w:pPr>
          </w:p>
        </w:tc>
        <w:tc>
          <w:tcPr>
            <w:tcW w:w="3180" w:type="dxa"/>
            <w:vAlign w:val="bottom"/>
          </w:tcPr>
          <w:p>
            <w:pPr>
              <w:ind w:left="140"/>
              <w:spacing w:after="0"/>
              <w:rPr>
                <w:sz w:val="20"/>
                <w:szCs w:val="20"/>
                <w:color w:val="auto"/>
              </w:rPr>
            </w:pPr>
            <w:r>
              <w:rPr>
                <w:rFonts w:ascii="Arial" w:cs="Arial" w:eastAsia="Arial" w:hAnsi="Arial"/>
                <w:sz w:val="18"/>
                <w:szCs w:val="18"/>
                <w:color w:val="auto"/>
              </w:rPr>
              <w:t>Our board of directors will consist of</w:t>
            </w:r>
          </w:p>
        </w:tc>
        <w:tc>
          <w:tcPr>
            <w:tcW w:w="540" w:type="dxa"/>
            <w:vAlign w:val="bottom"/>
          </w:tcPr>
          <w:p>
            <w:pPr>
              <w:spacing w:after="0"/>
              <w:rPr>
                <w:sz w:val="24"/>
                <w:szCs w:val="24"/>
                <w:color w:val="auto"/>
              </w:rPr>
            </w:pPr>
          </w:p>
        </w:tc>
        <w:tc>
          <w:tcPr>
            <w:tcW w:w="7100" w:type="dxa"/>
            <w:vAlign w:val="bottom"/>
            <w:gridSpan w:val="2"/>
          </w:tcPr>
          <w:p>
            <w:pPr>
              <w:ind w:left="80"/>
              <w:spacing w:after="0"/>
              <w:rPr>
                <w:sz w:val="20"/>
                <w:szCs w:val="20"/>
                <w:color w:val="auto"/>
              </w:rPr>
            </w:pPr>
            <w:r>
              <w:rPr>
                <w:rFonts w:ascii="Arial" w:cs="Arial" w:eastAsia="Arial" w:hAnsi="Arial"/>
                <w:sz w:val="18"/>
                <w:szCs w:val="18"/>
                <w:color w:val="auto"/>
                <w:w w:val="99"/>
              </w:rPr>
              <w:t>members upon the closing of this offering. Upon completion of this offering, our directors</w:t>
            </w:r>
          </w:p>
        </w:tc>
      </w:tr>
      <w:tr>
        <w:trPr>
          <w:trHeight w:val="217"/>
        </w:trPr>
        <w:tc>
          <w:tcPr>
            <w:tcW w:w="9500" w:type="dxa"/>
            <w:vAlign w:val="bottom"/>
            <w:gridSpan w:val="4"/>
          </w:tcPr>
          <w:p>
            <w:pPr>
              <w:spacing w:after="0"/>
              <w:rPr>
                <w:sz w:val="20"/>
                <w:szCs w:val="20"/>
                <w:color w:val="auto"/>
              </w:rPr>
            </w:pPr>
            <w:r>
              <w:rPr>
                <w:rFonts w:ascii="Arial" w:cs="Arial" w:eastAsia="Arial" w:hAnsi="Arial"/>
                <w:sz w:val="18"/>
                <w:szCs w:val="18"/>
                <w:color w:val="auto"/>
              </w:rPr>
              <w:t>will be divided among three classes with staggered three-year terms as follows:</w:t>
            </w:r>
          </w:p>
        </w:tc>
        <w:tc>
          <w:tcPr>
            <w:tcW w:w="1520" w:type="dxa"/>
            <w:vAlign w:val="bottom"/>
          </w:tcPr>
          <w:p>
            <w:pPr>
              <w:spacing w:after="0"/>
              <w:rPr>
                <w:sz w:val="18"/>
                <w:szCs w:val="18"/>
                <w:color w:val="auto"/>
              </w:rPr>
            </w:pPr>
          </w:p>
        </w:tc>
      </w:tr>
      <w:tr>
        <w:trPr>
          <w:trHeight w:val="431"/>
        </w:trPr>
        <w:tc>
          <w:tcPr>
            <w:tcW w:w="200" w:type="dxa"/>
            <w:vAlign w:val="bottom"/>
          </w:tcPr>
          <w:p>
            <w:pPr>
              <w:spacing w:after="0"/>
              <w:rPr>
                <w:sz w:val="20"/>
                <w:szCs w:val="20"/>
                <w:color w:val="auto"/>
              </w:rPr>
            </w:pPr>
            <w:r>
              <w:rPr>
                <w:rFonts w:ascii="Arial" w:cs="Arial" w:eastAsia="Arial" w:hAnsi="Arial"/>
                <w:sz w:val="15"/>
                <w:szCs w:val="15"/>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Class 1, whose members will be</w:t>
            </w:r>
          </w:p>
        </w:tc>
        <w:tc>
          <w:tcPr>
            <w:tcW w:w="540" w:type="dxa"/>
            <w:vAlign w:val="bottom"/>
          </w:tcPr>
          <w:p>
            <w:pPr>
              <w:ind w:left="160"/>
              <w:spacing w:after="0"/>
              <w:rPr>
                <w:sz w:val="20"/>
                <w:szCs w:val="20"/>
                <w:color w:val="auto"/>
              </w:rPr>
            </w:pPr>
            <w:r>
              <w:rPr>
                <w:rFonts w:ascii="Arial" w:cs="Arial" w:eastAsia="Arial" w:hAnsi="Arial"/>
                <w:sz w:val="18"/>
                <w:szCs w:val="18"/>
                <w:color w:val="auto"/>
              </w:rPr>
              <w:t>and</w:t>
            </w:r>
          </w:p>
        </w:tc>
        <w:tc>
          <w:tcPr>
            <w:tcW w:w="7100" w:type="dxa"/>
            <w:vAlign w:val="bottom"/>
            <w:gridSpan w:val="2"/>
          </w:tcPr>
          <w:p>
            <w:pPr>
              <w:ind w:left="580"/>
              <w:spacing w:after="0"/>
              <w:rPr>
                <w:sz w:val="20"/>
                <w:szCs w:val="20"/>
                <w:color w:val="auto"/>
              </w:rPr>
            </w:pPr>
            <w:r>
              <w:rPr>
                <w:rFonts w:ascii="Arial" w:cs="Arial" w:eastAsia="Arial" w:hAnsi="Arial"/>
                <w:sz w:val="18"/>
                <w:szCs w:val="18"/>
                <w:color w:val="auto"/>
              </w:rPr>
              <w:t>. The terms of the Class 1 directors will expire at our 2019 annual meeting of</w:t>
            </w:r>
          </w:p>
        </w:tc>
      </w:tr>
      <w:tr>
        <w:trPr>
          <w:trHeight w:val="217"/>
        </w:trPr>
        <w:tc>
          <w:tcPr>
            <w:tcW w:w="20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5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200" w:type="dxa"/>
            <w:vAlign w:val="bottom"/>
          </w:tcPr>
          <w:p>
            <w:pPr>
              <w:spacing w:after="0"/>
              <w:rPr>
                <w:sz w:val="20"/>
                <w:szCs w:val="20"/>
                <w:color w:val="auto"/>
              </w:rPr>
            </w:pPr>
            <w:r>
              <w:rPr>
                <w:rFonts w:ascii="Arial" w:cs="Arial" w:eastAsia="Arial" w:hAnsi="Arial"/>
                <w:sz w:val="15"/>
                <w:szCs w:val="15"/>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Class 2, whose members will be</w:t>
            </w:r>
          </w:p>
        </w:tc>
        <w:tc>
          <w:tcPr>
            <w:tcW w:w="540" w:type="dxa"/>
            <w:vAlign w:val="bottom"/>
          </w:tcPr>
          <w:p>
            <w:pPr>
              <w:ind w:left="160"/>
              <w:spacing w:after="0"/>
              <w:rPr>
                <w:sz w:val="20"/>
                <w:szCs w:val="20"/>
                <w:color w:val="auto"/>
              </w:rPr>
            </w:pPr>
            <w:r>
              <w:rPr>
                <w:rFonts w:ascii="Arial" w:cs="Arial" w:eastAsia="Arial" w:hAnsi="Arial"/>
                <w:sz w:val="18"/>
                <w:szCs w:val="18"/>
                <w:color w:val="auto"/>
              </w:rPr>
              <w:t>and</w:t>
            </w:r>
          </w:p>
        </w:tc>
        <w:tc>
          <w:tcPr>
            <w:tcW w:w="7100" w:type="dxa"/>
            <w:vAlign w:val="bottom"/>
            <w:gridSpan w:val="2"/>
          </w:tcPr>
          <w:p>
            <w:pPr>
              <w:ind w:left="580"/>
              <w:spacing w:after="0"/>
              <w:rPr>
                <w:sz w:val="20"/>
                <w:szCs w:val="20"/>
                <w:color w:val="auto"/>
              </w:rPr>
            </w:pPr>
            <w:r>
              <w:rPr>
                <w:rFonts w:ascii="Arial" w:cs="Arial" w:eastAsia="Arial" w:hAnsi="Arial"/>
                <w:sz w:val="18"/>
                <w:szCs w:val="18"/>
                <w:color w:val="auto"/>
              </w:rPr>
              <w:t>. The terms of the Class 2 directors will expire at our 2020 annual meeting of</w:t>
            </w:r>
          </w:p>
        </w:tc>
      </w:tr>
      <w:tr>
        <w:trPr>
          <w:trHeight w:val="217"/>
        </w:trPr>
        <w:tc>
          <w:tcPr>
            <w:tcW w:w="20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stockholders; and</w:t>
            </w:r>
          </w:p>
        </w:tc>
        <w:tc>
          <w:tcPr>
            <w:tcW w:w="5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200" w:type="dxa"/>
            <w:vAlign w:val="bottom"/>
          </w:tcPr>
          <w:p>
            <w:pPr>
              <w:spacing w:after="0"/>
              <w:rPr>
                <w:sz w:val="20"/>
                <w:szCs w:val="20"/>
                <w:color w:val="auto"/>
              </w:rPr>
            </w:pPr>
            <w:r>
              <w:rPr>
                <w:rFonts w:ascii="Arial" w:cs="Arial" w:eastAsia="Arial" w:hAnsi="Arial"/>
                <w:sz w:val="15"/>
                <w:szCs w:val="15"/>
                <w:color w:val="auto"/>
              </w:rPr>
              <w:t>•</w:t>
            </w:r>
          </w:p>
        </w:tc>
        <w:tc>
          <w:tcPr>
            <w:tcW w:w="3180" w:type="dxa"/>
            <w:vAlign w:val="bottom"/>
          </w:tcPr>
          <w:p>
            <w:pPr>
              <w:ind w:left="120"/>
              <w:spacing w:after="0"/>
              <w:rPr>
                <w:sz w:val="20"/>
                <w:szCs w:val="20"/>
                <w:color w:val="auto"/>
              </w:rPr>
            </w:pPr>
            <w:r>
              <w:rPr>
                <w:rFonts w:ascii="Arial" w:cs="Arial" w:eastAsia="Arial" w:hAnsi="Arial"/>
                <w:sz w:val="18"/>
                <w:szCs w:val="18"/>
                <w:color w:val="auto"/>
              </w:rPr>
              <w:t>Class 3, whose members will be</w:t>
            </w:r>
          </w:p>
        </w:tc>
        <w:tc>
          <w:tcPr>
            <w:tcW w:w="540" w:type="dxa"/>
            <w:vAlign w:val="bottom"/>
          </w:tcPr>
          <w:p>
            <w:pPr>
              <w:ind w:left="160"/>
              <w:spacing w:after="0"/>
              <w:rPr>
                <w:sz w:val="20"/>
                <w:szCs w:val="20"/>
                <w:color w:val="auto"/>
              </w:rPr>
            </w:pPr>
            <w:r>
              <w:rPr>
                <w:rFonts w:ascii="Arial" w:cs="Arial" w:eastAsia="Arial" w:hAnsi="Arial"/>
                <w:sz w:val="18"/>
                <w:szCs w:val="18"/>
                <w:color w:val="auto"/>
              </w:rPr>
              <w:t>and</w:t>
            </w:r>
          </w:p>
        </w:tc>
        <w:tc>
          <w:tcPr>
            <w:tcW w:w="7100" w:type="dxa"/>
            <w:vAlign w:val="bottom"/>
            <w:gridSpan w:val="2"/>
          </w:tcPr>
          <w:p>
            <w:pPr>
              <w:ind w:left="580"/>
              <w:spacing w:after="0"/>
              <w:rPr>
                <w:sz w:val="20"/>
                <w:szCs w:val="20"/>
                <w:color w:val="auto"/>
              </w:rPr>
            </w:pPr>
            <w:r>
              <w:rPr>
                <w:rFonts w:ascii="Arial" w:cs="Arial" w:eastAsia="Arial" w:hAnsi="Arial"/>
                <w:sz w:val="18"/>
                <w:szCs w:val="18"/>
                <w:color w:val="auto"/>
              </w:rPr>
              <w:t>. The terms of the Class 3 directors will expire at our 2021 annual meeting of</w:t>
            </w:r>
          </w:p>
        </w:tc>
      </w:tr>
      <w:tr>
        <w:trPr>
          <w:trHeight w:val="217"/>
        </w:trPr>
        <w:tc>
          <w:tcPr>
            <w:tcW w:w="20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5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Controlled Company Exception</w:t>
      </w:r>
    </w:p>
    <w:p>
      <w:pPr>
        <w:spacing w:after="0" w:line="99" w:lineRule="exact"/>
        <w:rPr>
          <w:sz w:val="20"/>
          <w:szCs w:val="20"/>
          <w:color w:val="auto"/>
        </w:rPr>
      </w:pPr>
    </w:p>
    <w:p>
      <w:pPr>
        <w:ind w:left="200" w:right="340" w:firstLine="331"/>
        <w:spacing w:after="0" w:line="238" w:lineRule="auto"/>
        <w:rPr>
          <w:sz w:val="20"/>
          <w:szCs w:val="20"/>
          <w:color w:val="auto"/>
        </w:rPr>
      </w:pPr>
      <w:r>
        <w:rPr>
          <w:rFonts w:ascii="Arial" w:cs="Arial" w:eastAsia="Arial" w:hAnsi="Arial"/>
          <w:sz w:val="18"/>
          <w:szCs w:val="18"/>
          <w:color w:val="auto"/>
        </w:rPr>
        <w:t>After the completion of this offering, Privateer Holdings will continue to beneficially own shares representing more than 50% of the voting power of our capital stock eligible to vote in the election of directors. As a result, we will be a “controlled company” within the meaning of the listing rules of the Nasdaq Global Select Market. Under these rules a company of which more than 50% of the voting power is held by an individual, group or another company is a “controlled company” and may elect not to comply with certain corporate governance standards, including the requirements (1) that a majority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of its board of directors consist of independent directors, (2) that its board of directors have a compensation committee that is comprised entirely of independent directors with a written charter addressing the committee’s purpose and responsibilities, (3) that its board of directors have a nominating and corporate governance committee that is comprised entirely of independent directors with a written charter addressing the committee’s purpose and responsibilities and (4) for an annual performance evaluation of the nominating and corporate governance and compensation committees. For at least some period following this offering, we intend to utilize these exemptions because</w:t>
      </w:r>
    </w:p>
    <w:p>
      <w:pPr>
        <w:spacing w:after="0" w:line="4"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our board has not yet made a determination with respect to the independence of any directors other than . In the future, we expect that our board will make a determination as to whether other directors, including directors associated with Privateer Holdings, are independent for purposes of the corporate governance standards described above.</w:t>
      </w:r>
    </w:p>
    <w:p>
      <w:pPr>
        <w:spacing w:after="0" w:line="203"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As a result, you may not have the same protections afforded to stockholders of companies that are subject to all of these corporate governance requirements. In the event that we cease to be a “controlled company” and our Class 2 common stock continues to be listed on the Nasdaq Global Select Market, we will be required to comply with these standards and, depending on the board’s independence determination with respect to our then-current directors, we may be required to add additional directors to our board in order to achieve such compliance within the applicable transition periods.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administration functions. Our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Following the closing of this offering, the charters for each of these committees will be available on our website at www.tilray.com. Information contained on or accessible through our website is not a part of this prospectus, and the inclusion of our website address in this prospectus is an inactive textual reference only. The composition of all of our committees will comply with all applicable requirements of the Sarbanes-Oxley Act of 2002, Nasdaq and SEC rules and regulations.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81" w:lineRule="exact"/>
        <w:rPr>
          <w:sz w:val="20"/>
          <w:szCs w:val="20"/>
          <w:color w:val="auto"/>
        </w:rPr>
      </w:pPr>
    </w:p>
    <w:p>
      <w:pPr>
        <w:ind w:left="540"/>
        <w:spacing w:after="0"/>
        <w:tabs>
          <w:tab w:leader="none" w:pos="3900" w:val="left"/>
          <w:tab w:leader="none" w:pos="4600" w:val="left"/>
          <w:tab w:leader="none" w:pos="5540" w:val="left"/>
          <w:tab w:leader="none" w:pos="9980" w:val="left"/>
          <w:tab w:leader="none" w:pos="10920" w:val="left"/>
        </w:tabs>
        <w:rPr>
          <w:sz w:val="20"/>
          <w:szCs w:val="20"/>
          <w:color w:val="auto"/>
        </w:rPr>
      </w:pPr>
      <w:r>
        <w:rPr>
          <w:rFonts w:ascii="Arial" w:cs="Arial" w:eastAsia="Arial" w:hAnsi="Arial"/>
          <w:sz w:val="18"/>
          <w:szCs w:val="18"/>
          <w:color w:val="auto"/>
        </w:rPr>
        <w:t>Our audit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Our board of directors has determined each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to</w:t>
      </w:r>
    </w:p>
    <w:p>
      <w:pPr>
        <w:ind w:left="200"/>
        <w:spacing w:after="0" w:line="234" w:lineRule="auto"/>
        <w:rPr>
          <w:sz w:val="20"/>
          <w:szCs w:val="20"/>
          <w:color w:val="auto"/>
        </w:rPr>
      </w:pPr>
      <w:r>
        <w:rPr>
          <w:rFonts w:ascii="Arial" w:cs="Arial" w:eastAsia="Arial" w:hAnsi="Arial"/>
          <w:sz w:val="18"/>
          <w:szCs w:val="18"/>
          <w:color w:val="auto"/>
        </w:rPr>
        <w:t>be independent under the listing standards and Rule 10A-3(b)(1) of the Securities Exchange Act of 1934, or the Exchange Act. The</w:t>
      </w:r>
    </w:p>
    <w:p>
      <w:pPr>
        <w:ind w:left="200"/>
        <w:spacing w:after="0"/>
        <w:tabs>
          <w:tab w:leader="none" w:pos="3780" w:val="left"/>
          <w:tab w:leader="none" w:pos="7920" w:val="left"/>
        </w:tabs>
        <w:rPr>
          <w:sz w:val="20"/>
          <w:szCs w:val="20"/>
          <w:color w:val="auto"/>
        </w:rPr>
      </w:pPr>
      <w:r>
        <w:rPr>
          <w:rFonts w:ascii="Arial" w:cs="Arial" w:eastAsia="Arial" w:hAnsi="Arial"/>
          <w:sz w:val="18"/>
          <w:szCs w:val="18"/>
          <w:color w:val="auto"/>
        </w:rPr>
        <w:t>chairperson of our audit committee is</w:t>
      </w:r>
      <w:r>
        <w:rPr>
          <w:sz w:val="20"/>
          <w:szCs w:val="20"/>
          <w:color w:val="auto"/>
        </w:rPr>
        <w:tab/>
      </w:r>
      <w:r>
        <w:rPr>
          <w:rFonts w:ascii="Arial" w:cs="Arial" w:eastAsia="Arial" w:hAnsi="Arial"/>
          <w:sz w:val="18"/>
          <w:szCs w:val="18"/>
          <w:color w:val="auto"/>
        </w:rPr>
        <w:t>. Our board of directors has determined that</w:t>
      </w:r>
      <w:r>
        <w:rPr>
          <w:sz w:val="20"/>
          <w:szCs w:val="20"/>
          <w:color w:val="auto"/>
        </w:rPr>
        <w:tab/>
      </w:r>
      <w:r>
        <w:rPr>
          <w:rFonts w:ascii="Arial" w:cs="Arial" w:eastAsia="Arial" w:hAnsi="Arial"/>
          <w:sz w:val="17"/>
          <w:szCs w:val="17"/>
          <w:color w:val="auto"/>
        </w:rPr>
        <w:t>is an “audit committee financial expert”</w:t>
      </w:r>
    </w:p>
    <w:p>
      <w:pPr>
        <w:spacing w:after="0" w:line="1" w:lineRule="exact"/>
        <w:rPr>
          <w:sz w:val="20"/>
          <w:szCs w:val="20"/>
          <w:color w:val="auto"/>
        </w:rPr>
      </w:pPr>
    </w:p>
    <w:p>
      <w:pPr>
        <w:ind w:left="200" w:right="120"/>
        <w:spacing w:after="0" w:line="261" w:lineRule="auto"/>
        <w:rPr>
          <w:sz w:val="20"/>
          <w:szCs w:val="20"/>
          <w:color w:val="auto"/>
        </w:rPr>
      </w:pPr>
      <w:r>
        <w:rPr>
          <w:rFonts w:ascii="Arial" w:cs="Arial" w:eastAsia="Arial" w:hAnsi="Arial"/>
          <w:sz w:val="17"/>
          <w:szCs w:val="17"/>
          <w:color w:val="auto"/>
        </w:rPr>
        <w:t>within the meaning of SEC regulations. Our board of directors has also determined that each member of our audit committee has the requisite financial expertise required under the applicable requirements of Nasdaq. In arriving at this determination, the board of directors has examined each audit committee member’s scope of experience and the nature of their employment in the corporate finance sector.</w:t>
      </w:r>
    </w:p>
    <w:p>
      <w:pPr>
        <w:spacing w:after="0" w:line="18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230" w:lineRule="exact"/>
        <w:rPr>
          <w:sz w:val="20"/>
          <w:szCs w:val="20"/>
          <w:color w:val="auto"/>
        </w:rPr>
      </w:pPr>
    </w:p>
    <w:p>
      <w:pPr>
        <w:ind w:left="5620" w:right="1180" w:hanging="5416"/>
        <w:spacing w:after="0" w:line="418" w:lineRule="auto"/>
        <w:tabs>
          <w:tab w:leader="none" w:pos="534" w:val="left"/>
        </w:tabs>
        <w:numPr>
          <w:ilvl w:val="0"/>
          <w:numId w:val="50"/>
        </w:numPr>
        <w:rPr>
          <w:rFonts w:ascii="Arial" w:cs="Arial" w:eastAsia="Arial" w:hAnsi="Arial"/>
          <w:sz w:val="15"/>
          <w:szCs w:val="15"/>
          <w:color w:val="auto"/>
        </w:rPr>
      </w:pPr>
      <w:r>
        <w:rPr>
          <w:rFonts w:ascii="Arial" w:cs="Arial" w:eastAsia="Arial" w:hAnsi="Arial"/>
          <w:sz w:val="18"/>
          <w:szCs w:val="18"/>
          <w:color w:val="auto"/>
        </w:rPr>
        <w:t>selecting a qualified firm to serve as the independent registered public accounting firm to audit our financial statements; 98</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hanging="316"/>
        <w:spacing w:after="0"/>
        <w:tabs>
          <w:tab w:leader="none" w:pos="5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36" w:lineRule="exact"/>
        <w:rPr>
          <w:rFonts w:ascii="Arial" w:cs="Arial" w:eastAsia="Arial" w:hAnsi="Arial"/>
          <w:sz w:val="15"/>
          <w:szCs w:val="15"/>
          <w:color w:val="auto"/>
        </w:rPr>
      </w:pPr>
    </w:p>
    <w:p>
      <w:pPr>
        <w:ind w:left="520" w:right="80" w:hanging="316"/>
        <w:spacing w:after="0" w:line="246" w:lineRule="auto"/>
        <w:tabs>
          <w:tab w:leader="none" w:pos="5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reviewing our policies on risk assessment and risk management;</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reviewing related-party transactions;</w:t>
      </w:r>
    </w:p>
    <w:p>
      <w:pPr>
        <w:spacing w:after="0" w:line="36" w:lineRule="exact"/>
        <w:rPr>
          <w:rFonts w:ascii="Arial" w:cs="Arial" w:eastAsia="Arial" w:hAnsi="Arial"/>
          <w:sz w:val="15"/>
          <w:szCs w:val="15"/>
          <w:color w:val="auto"/>
        </w:rPr>
      </w:pPr>
    </w:p>
    <w:p>
      <w:pPr>
        <w:ind w:left="520" w:right="140" w:hanging="316"/>
        <w:spacing w:after="0"/>
        <w:tabs>
          <w:tab w:leader="none" w:pos="5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27" w:lineRule="exact"/>
        <w:rPr>
          <w:rFonts w:ascii="Arial" w:cs="Arial" w:eastAsia="Arial" w:hAnsi="Arial"/>
          <w:sz w:val="15"/>
          <w:szCs w:val="15"/>
          <w:color w:val="auto"/>
        </w:rPr>
      </w:pPr>
    </w:p>
    <w:p>
      <w:pPr>
        <w:ind w:left="520" w:right="700" w:hanging="316"/>
        <w:spacing w:after="0" w:line="246" w:lineRule="auto"/>
        <w:tabs>
          <w:tab w:leader="none" w:pos="520" w:val="left"/>
        </w:tabs>
        <w:numPr>
          <w:ilvl w:val="0"/>
          <w:numId w:val="51"/>
        </w:numPr>
        <w:rPr>
          <w:rFonts w:ascii="Arial" w:cs="Arial" w:eastAsia="Arial" w:hAnsi="Arial"/>
          <w:sz w:val="15"/>
          <w:szCs w:val="15"/>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180"/>
          </w:cols>
          <w:pgMar w:left="240" w:top="459" w:right="479" w:bottom="1440" w:gutter="0" w:footer="0" w:header="0"/>
        </w:sectPr>
      </w:pP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Our compensation committee will consist of and . Our board of directors has determined each of and be a “non-employee director” as defined in Rule 16b-3 promulgated under the Exchange Act. The chairperson of our compensation committee is . As a controlled company, we intend to rely upon the exemption for the requirement that we have a compensation committee comprised entirely of independent directors.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840" w:lineRule="exact"/>
        <w:rPr>
          <w:sz w:val="20"/>
          <w:szCs w:val="20"/>
          <w:color w:val="auto"/>
        </w:rPr>
      </w:pPr>
    </w:p>
    <w:p>
      <w:pPr>
        <w:sectPr>
          <w:pgSz w:w="11900" w:h="16838" w:orient="portrait"/>
          <w:cols w:equalWidth="0" w:num="2">
            <w:col w:w="10920" w:space="60"/>
            <w:col w:w="200"/>
          </w:cols>
          <w:pgMar w:left="240" w:top="459" w:right="479" w:bottom="1440" w:gutter="0" w:footer="0" w:header="0"/>
          <w:type w:val="continuous"/>
        </w:sectPr>
      </w:pPr>
    </w:p>
    <w:p>
      <w:pPr>
        <w:spacing w:after="0" w:line="2"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230" w:lineRule="exact"/>
        <w:rPr>
          <w:sz w:val="20"/>
          <w:szCs w:val="20"/>
          <w:color w:val="auto"/>
        </w:rPr>
      </w:pPr>
    </w:p>
    <w:p>
      <w:pPr>
        <w:ind w:left="520" w:hanging="316"/>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reviewing and recommending to our board of directors the compensation of our directors;</w:t>
      </w:r>
    </w:p>
    <w:p>
      <w:pPr>
        <w:spacing w:after="0" w:line="36" w:lineRule="exact"/>
        <w:rPr>
          <w:rFonts w:ascii="Arial" w:cs="Arial" w:eastAsia="Arial" w:hAnsi="Arial"/>
          <w:sz w:val="15"/>
          <w:szCs w:val="15"/>
          <w:color w:val="auto"/>
        </w:rPr>
      </w:pPr>
    </w:p>
    <w:p>
      <w:pPr>
        <w:ind w:left="520" w:right="320" w:hanging="316"/>
        <w:spacing w:after="0" w:line="246" w:lineRule="auto"/>
        <w:tabs>
          <w:tab w:leader="none" w:pos="5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administering our stock and equity incentive plans;</w:t>
      </w:r>
    </w:p>
    <w:p>
      <w:pPr>
        <w:spacing w:after="0" w:line="36" w:lineRule="exact"/>
        <w:rPr>
          <w:rFonts w:ascii="Arial" w:cs="Arial" w:eastAsia="Arial" w:hAnsi="Arial"/>
          <w:sz w:val="15"/>
          <w:szCs w:val="15"/>
          <w:color w:val="auto"/>
        </w:rPr>
      </w:pPr>
    </w:p>
    <w:p>
      <w:pPr>
        <w:ind w:left="520" w:hanging="316"/>
        <w:spacing w:after="0" w:line="246" w:lineRule="auto"/>
        <w:tabs>
          <w:tab w:leader="none" w:pos="5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21" w:lineRule="exact"/>
        <w:rPr>
          <w:rFonts w:ascii="Arial" w:cs="Arial" w:eastAsia="Arial" w:hAnsi="Arial"/>
          <w:sz w:val="15"/>
          <w:szCs w:val="15"/>
          <w:color w:val="auto"/>
        </w:rPr>
      </w:pPr>
    </w:p>
    <w:p>
      <w:pPr>
        <w:ind w:left="520" w:right="120" w:hanging="316"/>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27" w:lineRule="exact"/>
        <w:rPr>
          <w:rFonts w:ascii="Arial" w:cs="Arial" w:eastAsia="Arial" w:hAnsi="Arial"/>
          <w:sz w:val="15"/>
          <w:szCs w:val="15"/>
          <w:color w:val="auto"/>
        </w:rPr>
      </w:pPr>
    </w:p>
    <w:p>
      <w:pPr>
        <w:ind w:left="520" w:hanging="316"/>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reviewing and establishing general policies relating to compensation and benefits of our employees; and</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8"/>
          <w:szCs w:val="18"/>
          <w:color w:val="auto"/>
        </w:rPr>
        <w:t>reviewing our overall compensation philosophy.</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85"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Our nominating and corporate governance committee will consist of and . Our board of directors has determined each of and to be independent under the listing standards. The chairperson of our nominating and corporate governance committee is . As a controlled company, we intend to rely upon the exemption for the requirement that we have a nominating and corporate governance committee comprised entirely of independent directors.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39" w:lineRule="exact"/>
        <w:rPr>
          <w:sz w:val="20"/>
          <w:szCs w:val="20"/>
          <w:color w:val="auto"/>
        </w:rPr>
      </w:pPr>
    </w:p>
    <w:p>
      <w:pPr>
        <w:ind w:left="520" w:right="20" w:hanging="316"/>
        <w:spacing w:after="0" w:line="246" w:lineRule="auto"/>
        <w:tabs>
          <w:tab w:leader="none" w:pos="5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reviewing periodically and evaluating director performance on our board of directors and its applicable committees and recommending to our board of directors and management areas for improvement;</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interviewing, evaluating, nominating and recommending individuals for membership on our board of directors;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reviewing developments in corporate governance practices;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overseeing and reviewing our processes and procedures to provide information to our board of directors and its committees;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reviewing and recommending to our board of directors any amendments to our corporate governance policies; and</w:t>
      </w:r>
    </w:p>
    <w:p>
      <w:pPr>
        <w:spacing w:after="0" w:line="36" w:lineRule="exact"/>
        <w:rPr>
          <w:rFonts w:ascii="Arial" w:cs="Arial" w:eastAsia="Arial" w:hAnsi="Arial"/>
          <w:sz w:val="15"/>
          <w:szCs w:val="15"/>
          <w:color w:val="auto"/>
        </w:rPr>
      </w:pPr>
    </w:p>
    <w:p>
      <w:pPr>
        <w:ind w:left="520" w:right="800" w:hanging="316"/>
        <w:spacing w:after="0" w:line="246" w:lineRule="auto"/>
        <w:tabs>
          <w:tab w:leader="none" w:pos="520" w:val="left"/>
        </w:tabs>
        <w:numPr>
          <w:ilvl w:val="0"/>
          <w:numId w:val="53"/>
        </w:numPr>
        <w:rPr>
          <w:rFonts w:ascii="Arial" w:cs="Arial" w:eastAsia="Arial" w:hAnsi="Arial"/>
          <w:sz w:val="15"/>
          <w:szCs w:val="15"/>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will adopt a Code of Business Conduct and Ethics that applies to all of our employees, officers and directors, including those officers responsible for financial reporting. Following the closing of this offering, the Code of Business Conduct and Ethics will be available on our website at www.tilray.com. Information contained on or accessible through our website is not a part of this prospectus, and the inclusion of our website address in this prospectus is an inactive textual reference only. We intend to disclose any amendments to the Code of Business Conduct and Ethics, or any waivers of its requirements, on our website to the extent required by the applicable rules and exchange requirements.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5" w:lineRule="exact"/>
        <w:rPr>
          <w:sz w:val="20"/>
          <w:szCs w:val="20"/>
          <w:color w:val="auto"/>
        </w:rPr>
      </w:pPr>
    </w:p>
    <w:p>
      <w:pPr>
        <w:ind w:left="200" w:right="400" w:firstLine="331"/>
        <w:spacing w:after="0" w:line="239" w:lineRule="auto"/>
        <w:rPr>
          <w:sz w:val="20"/>
          <w:szCs w:val="20"/>
          <w:color w:val="auto"/>
        </w:rPr>
      </w:pPr>
      <w:r>
        <w:rPr>
          <w:rFonts w:ascii="Arial" w:cs="Arial" w:eastAsia="Arial" w:hAnsi="Arial"/>
          <w:sz w:val="18"/>
          <w:szCs w:val="18"/>
          <w:color w:val="auto"/>
        </w:rPr>
        <w:t>No member of our compensation committee has ever been an officer or employee of our company. None of our executive officers serve, or have served during the last year, as a member of the board of directors, compensation committee or other board committee performing equivalent functions of any other entity that has one or more executive officers serving as one of our directors or on our compensation committee.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Non-Employee Director Compensation</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were formed in January 2018. No obligations with respect to compensation for our directors were accrued or paid during fiscal year 2017. Prior to our incorporation in January 2018, we operated our business under Decatur. There were no non-employee directors on the board of directors of Decatur during fiscal year 2017.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99"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We expect to adopt a non-employee director compensation policy, pursuant to which our non-employee directors will be eligible to receive compensation for service on our board of directors and committees of our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Medical Advisory Board</w:t>
      </w:r>
    </w:p>
    <w:p>
      <w:pPr>
        <w:spacing w:after="0" w:line="108" w:lineRule="exact"/>
        <w:rPr>
          <w:sz w:val="20"/>
          <w:szCs w:val="20"/>
          <w:color w:val="auto"/>
        </w:rPr>
      </w:pPr>
    </w:p>
    <w:p>
      <w:pPr>
        <w:jc w:val="both"/>
        <w:ind w:left="200" w:right="620" w:firstLine="331"/>
        <w:spacing w:after="0" w:line="251" w:lineRule="auto"/>
        <w:rPr>
          <w:sz w:val="20"/>
          <w:szCs w:val="20"/>
          <w:color w:val="auto"/>
        </w:rPr>
      </w:pPr>
      <w:r>
        <w:rPr>
          <w:rFonts w:ascii="Arial" w:cs="Arial" w:eastAsia="Arial" w:hAnsi="Arial"/>
          <w:sz w:val="18"/>
          <w:szCs w:val="18"/>
          <w:i w:val="1"/>
          <w:iCs w:val="1"/>
          <w:color w:val="auto"/>
        </w:rPr>
        <w:t xml:space="preserve">Dr. Catherine Jacobson </w:t>
      </w:r>
      <w:r>
        <w:rPr>
          <w:rFonts w:ascii="Arial" w:cs="Arial" w:eastAsia="Arial" w:hAnsi="Arial"/>
          <w:sz w:val="18"/>
          <w:szCs w:val="18"/>
          <w:color w:val="auto"/>
        </w:rPr>
        <w:t>is a member of our medical advisory board and our Director of Clinical Research, where she identifies</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for partnerships that fulfill our goal of advancing knowledge of cannabinoid science by partnering with physicians and medical institutions to generate data that will inform best treatment practices. Prior to joining us, Dr. Jacobson led a venture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8" w:lineRule="auto"/>
        <w:rPr>
          <w:sz w:val="20"/>
          <w:szCs w:val="20"/>
          <w:color w:val="auto"/>
        </w:rPr>
      </w:pPr>
      <w:r>
        <w:rPr>
          <w:rFonts w:ascii="Arial" w:cs="Arial" w:eastAsia="Arial" w:hAnsi="Arial"/>
          <w:sz w:val="17"/>
          <w:szCs w:val="17"/>
          <w:color w:val="auto"/>
        </w:rPr>
        <w:t>philanthropic fund addressing the lack of adequate drugs and devices to treat pediatric epilepsy. As a post-doctoral fellow at the University of California, San Francisco, she established GW Pharmaceutical’s Expanded Access Investigational New Drug Application (IND)</w:t>
      </w:r>
    </w:p>
    <w:p>
      <w:pPr>
        <w:spacing w:after="0" w:line="1" w:lineRule="exact"/>
        <w:rPr>
          <w:sz w:val="20"/>
          <w:szCs w:val="20"/>
          <w:color w:val="auto"/>
        </w:rPr>
      </w:pPr>
    </w:p>
    <w:p>
      <w:pPr>
        <w:jc w:val="both"/>
        <w:ind w:left="200" w:right="80"/>
        <w:spacing w:after="0"/>
        <w:rPr>
          <w:sz w:val="20"/>
          <w:szCs w:val="20"/>
          <w:color w:val="auto"/>
        </w:rPr>
      </w:pPr>
      <w:r>
        <w:rPr>
          <w:rFonts w:ascii="Arial" w:cs="Arial" w:eastAsia="Arial" w:hAnsi="Arial"/>
          <w:sz w:val="18"/>
          <w:szCs w:val="18"/>
          <w:color w:val="auto"/>
        </w:rPr>
        <w:t>for Epidiolex for the treatment of children with severe medically refractory epilepsy. She also served as a post-doctoral fellow at Stanford University, where she conducted the first published account of the parental use of cannabis to treat severe pediatric epilepsy. She holds a PhD from the Oregon Health and Science University School of Medicine.</w:t>
      </w:r>
    </w:p>
    <w:p>
      <w:pPr>
        <w:spacing w:after="0" w:line="185" w:lineRule="exact"/>
        <w:rPr>
          <w:sz w:val="20"/>
          <w:szCs w:val="20"/>
          <w:color w:val="auto"/>
        </w:rPr>
      </w:pPr>
    </w:p>
    <w:p>
      <w:pPr>
        <w:ind w:left="200" w:right="20" w:firstLine="331"/>
        <w:spacing w:after="0" w:line="241" w:lineRule="auto"/>
        <w:rPr>
          <w:sz w:val="20"/>
          <w:szCs w:val="20"/>
          <w:color w:val="auto"/>
        </w:rPr>
      </w:pPr>
      <w:r>
        <w:rPr>
          <w:rFonts w:ascii="Arial" w:cs="Arial" w:eastAsia="Arial" w:hAnsi="Arial"/>
          <w:sz w:val="18"/>
          <w:szCs w:val="18"/>
          <w:i w:val="1"/>
          <w:iCs w:val="1"/>
          <w:color w:val="auto"/>
        </w:rPr>
        <w:t>Orrin Devinsky, MD</w:t>
      </w:r>
      <w:r>
        <w:rPr>
          <w:rFonts w:ascii="Arial" w:cs="Arial" w:eastAsia="Arial" w:hAnsi="Arial"/>
          <w:sz w:val="18"/>
          <w:szCs w:val="18"/>
          <w:color w:val="auto"/>
        </w:rPr>
        <w:t>, Chairman of our medical advisory board, is Director of the Comprehensive Epilepsy Center at the NYU Langone</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Center. His research interests include the use of cannabinoids and other medications to treat a variety of epilepsy syndromes. He has served on the Board of Directors of the American Epilepsy Society, the Epilepsy Foundation and the Epilepsy Therapy Project, as well as the Scientific Advisory Boards of numerous disease organization. Dr. Devinsky has been an invited speaker at international epilepsy and neurology conferences for more than 20 years, and has authored over 400 peer-reviewed scientific articles and 20 books and monographs. He holds a medical degree from Harvard Medical School.</w:t>
      </w:r>
    </w:p>
    <w:p>
      <w:pPr>
        <w:spacing w:after="0" w:line="184" w:lineRule="exact"/>
        <w:rPr>
          <w:sz w:val="20"/>
          <w:szCs w:val="20"/>
          <w:color w:val="auto"/>
        </w:rPr>
      </w:pPr>
    </w:p>
    <w:p>
      <w:pPr>
        <w:ind w:left="200" w:right="420" w:firstLine="331"/>
        <w:spacing w:after="0" w:line="245" w:lineRule="auto"/>
        <w:rPr>
          <w:sz w:val="20"/>
          <w:szCs w:val="20"/>
          <w:color w:val="auto"/>
        </w:rPr>
      </w:pPr>
      <w:r>
        <w:rPr>
          <w:rFonts w:ascii="Arial" w:cs="Arial" w:eastAsia="Arial" w:hAnsi="Arial"/>
          <w:sz w:val="18"/>
          <w:szCs w:val="18"/>
          <w:i w:val="1"/>
          <w:iCs w:val="1"/>
          <w:color w:val="auto"/>
        </w:rPr>
        <w:t>Praveen Anand, MD</w:t>
      </w:r>
      <w:r>
        <w:rPr>
          <w:rFonts w:ascii="Arial" w:cs="Arial" w:eastAsia="Arial" w:hAnsi="Arial"/>
          <w:sz w:val="18"/>
          <w:szCs w:val="18"/>
          <w:color w:val="auto"/>
        </w:rPr>
        <w:t>, is a member of our medical advisory board and Head of the Centre for Clinical Translation and Professor of</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Neurology at Imperial College London. His research focuses on pathophysiological and molecular mechanisms in the</w:t>
      </w:r>
    </w:p>
    <w:p>
      <w:pPr>
        <w:spacing w:after="0" w:line="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human sensory neuropathies and chronic pain syndromes. As Head of the Centre for Clinical Translation, he oversees the research and development of novel therapies for neurological diseases. Dr. Anand has worked extensively with pharmaceutical companies enabling translational research that has guided the recent success of 3 novel drugs from the laboratory to Phase II trials for chronic neuropathic pain, and one for chronic itch. He has published over 200 peer-reviewed articles in journals including Nature, Nature Medicine, Nature Genetics, Science and The Lancet. He completed his medical education at the University of Oxford and the University of Cambridge, and completed post-graduate training at the Hammersmith Hospital and the National Hospital for Neurology and Neurosurgery, Queen Square, London.</w:t>
      </w:r>
    </w:p>
    <w:p>
      <w:pPr>
        <w:spacing w:after="0" w:line="185" w:lineRule="exact"/>
        <w:rPr>
          <w:sz w:val="20"/>
          <w:szCs w:val="20"/>
          <w:color w:val="auto"/>
        </w:rPr>
      </w:pPr>
    </w:p>
    <w:p>
      <w:pPr>
        <w:ind w:left="200" w:right="80" w:firstLine="331"/>
        <w:spacing w:after="0" w:line="245" w:lineRule="auto"/>
        <w:rPr>
          <w:sz w:val="20"/>
          <w:szCs w:val="20"/>
          <w:color w:val="auto"/>
        </w:rPr>
      </w:pPr>
      <w:r>
        <w:rPr>
          <w:rFonts w:ascii="Arial" w:cs="Arial" w:eastAsia="Arial" w:hAnsi="Arial"/>
          <w:sz w:val="18"/>
          <w:szCs w:val="18"/>
          <w:i w:val="1"/>
          <w:iCs w:val="1"/>
          <w:color w:val="auto"/>
        </w:rPr>
        <w:t>Abraham Chachoua, MD</w:t>
      </w:r>
      <w:r>
        <w:rPr>
          <w:rFonts w:ascii="Arial" w:cs="Arial" w:eastAsia="Arial" w:hAnsi="Arial"/>
          <w:sz w:val="18"/>
          <w:szCs w:val="18"/>
          <w:color w:val="auto"/>
        </w:rPr>
        <w:t>, is a member of our medical advisory board and Associate Director of Cancer Services at the NYU Langone</w:t>
      </w:r>
      <w:r>
        <w:rPr>
          <w:rFonts w:ascii="Arial" w:cs="Arial" w:eastAsia="Arial" w:hAnsi="Arial"/>
          <w:sz w:val="18"/>
          <w:szCs w:val="18"/>
          <w:i w:val="1"/>
          <w:iCs w:val="1"/>
          <w:color w:val="auto"/>
        </w:rPr>
        <w:t xml:space="preserve"> </w:t>
      </w:r>
      <w:r>
        <w:rPr>
          <w:rFonts w:ascii="Arial" w:cs="Arial" w:eastAsia="Arial" w:hAnsi="Arial"/>
          <w:sz w:val="18"/>
          <w:szCs w:val="18"/>
          <w:color w:val="auto"/>
        </w:rPr>
        <w:t>Perlmutter Cancer Center and the Jay and Isabel Fine Professor of Oncology at the NYU Langone Department of Medicine.</w:t>
      </w:r>
    </w:p>
    <w:p>
      <w:pPr>
        <w:spacing w:after="0" w:line="1"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He specializes in the treatment of cancers that affect the lungs and chest. He has been involved in a number of clinical trials for the treatment of non small cell lung cancer. Dr. Chachoua has a particular interest in the study of novel targeted therapies, earlier intervention in disease and integrates multiple modalities for the treatment of locally advanced lung cancer. He completed his medical degree at Monash University.</w:t>
      </w:r>
    </w:p>
    <w:p>
      <w:pPr>
        <w:spacing w:after="0" w:line="184"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i w:val="1"/>
          <w:iCs w:val="1"/>
          <w:color w:val="auto"/>
        </w:rPr>
        <w:t>Elizabeth K. Hale, MD</w:t>
      </w:r>
      <w:r>
        <w:rPr>
          <w:rFonts w:ascii="Arial" w:cs="Arial" w:eastAsia="Arial" w:hAnsi="Arial"/>
          <w:sz w:val="18"/>
          <w:szCs w:val="18"/>
          <w:color w:val="auto"/>
        </w:rPr>
        <w:t>, is a member of our medical advisory board and Clinical Associate Professor of Dermatology at NYU Langone</w:t>
      </w:r>
      <w:r>
        <w:rPr>
          <w:rFonts w:ascii="Arial" w:cs="Arial" w:eastAsia="Arial" w:hAnsi="Arial"/>
          <w:sz w:val="18"/>
          <w:szCs w:val="18"/>
          <w:i w:val="1"/>
          <w:iCs w:val="1"/>
          <w:color w:val="auto"/>
        </w:rPr>
        <w:t xml:space="preserve"> </w:t>
      </w:r>
      <w:r>
        <w:rPr>
          <w:rFonts w:ascii="Arial" w:cs="Arial" w:eastAsia="Arial" w:hAnsi="Arial"/>
          <w:sz w:val="18"/>
          <w:szCs w:val="18"/>
          <w:color w:val="auto"/>
        </w:rPr>
        <w:t>Medical Center and the co-Founder of CompleteSkinMD in New York City. She specializes in laser surgery and cosmetic dermatology. Dr. Hale has extensive experience in the field of skin cancer and is a senior vice president of the Skin Cancer Foundation. She has been named a “Best Doctor in Dermatology” by New York Magazine and a “Super Doctor” by the New York Times for the last 5 years. Dr. Hale has been an invited lecturer at international conferences focused on skin cancer and its treatment. Dr. Hale has authored over 40 peer-reviewed articles and more than 10 text books and chapters. Dr. Hale received her medical degree from New York University, where she was also the recipient of the American Medical Women’s Association Citation and the Marion Sulzberger Dermatology Award.</w:t>
      </w:r>
    </w:p>
    <w:p>
      <w:pPr>
        <w:spacing w:after="0" w:line="185" w:lineRule="exact"/>
        <w:rPr>
          <w:sz w:val="20"/>
          <w:szCs w:val="20"/>
          <w:color w:val="auto"/>
        </w:rPr>
      </w:pPr>
    </w:p>
    <w:p>
      <w:pPr>
        <w:jc w:val="both"/>
        <w:ind w:left="200" w:right="140" w:firstLine="331"/>
        <w:spacing w:after="0" w:line="251" w:lineRule="auto"/>
        <w:rPr>
          <w:sz w:val="20"/>
          <w:szCs w:val="20"/>
          <w:color w:val="auto"/>
        </w:rPr>
      </w:pPr>
      <w:r>
        <w:rPr>
          <w:rFonts w:ascii="Arial" w:cs="Arial" w:eastAsia="Arial" w:hAnsi="Arial"/>
          <w:sz w:val="18"/>
          <w:szCs w:val="18"/>
          <w:i w:val="1"/>
          <w:iCs w:val="1"/>
          <w:color w:val="auto"/>
        </w:rPr>
        <w:t>Catherine Lord, PhD</w:t>
      </w:r>
      <w:r>
        <w:rPr>
          <w:rFonts w:ascii="Arial" w:cs="Arial" w:eastAsia="Arial" w:hAnsi="Arial"/>
          <w:sz w:val="18"/>
          <w:szCs w:val="18"/>
          <w:color w:val="auto"/>
        </w:rPr>
        <w:t>, is a member of our medical advisory board and Professor of Psychology in Psychiatry and founding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Center for Autism and the Developing Brain (CADB), at New York-Presbyterian Hospital, Weill Cornell Medicine, Columbia University College of Physicians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Surgeons in collaboration with New York Collaborates for Autism. She is internationally recognized for her work in longitudinal studies of children with autism as well as for her role in developing the autism diagnostic instruments used in both practice and in research worldwide today. She holds her PhD from Harvard University.</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60"/>
          </w:cols>
          <w:pgMar w:left="24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34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Our named executive officers, consisting of our principal executive officer and the next most highly compensated executive officer, as of December 31, 2017, were:</w:t>
      </w:r>
    </w:p>
    <w:p>
      <w:pPr>
        <w:spacing w:after="0" w:line="224" w:lineRule="exact"/>
        <w:rPr>
          <w:sz w:val="20"/>
          <w:szCs w:val="20"/>
          <w:color w:val="auto"/>
        </w:rPr>
      </w:pPr>
    </w:p>
    <w:p>
      <w:pPr>
        <w:ind w:left="520" w:hanging="316"/>
        <w:spacing w:after="0"/>
        <w:tabs>
          <w:tab w:leader="none" w:pos="5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Brendan Kennedy, President and Chief Executive Officer; and</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4"/>
        </w:numPr>
        <w:rPr>
          <w:rFonts w:ascii="Arial" w:cs="Arial" w:eastAsia="Arial" w:hAnsi="Arial"/>
          <w:sz w:val="15"/>
          <w:szCs w:val="15"/>
          <w:color w:val="auto"/>
        </w:rPr>
      </w:pPr>
      <w:r>
        <w:rPr>
          <w:rFonts w:ascii="Arial" w:cs="Arial" w:eastAsia="Arial" w:hAnsi="Arial"/>
          <w:sz w:val="18"/>
          <w:szCs w:val="18"/>
          <w:color w:val="auto"/>
        </w:rPr>
        <w:t>Edward Wood Pastorius, Jr., Chief Revenue Officer.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2017 Summary Compensation Table</w:t>
      </w:r>
    </w:p>
    <w:p>
      <w:pPr>
        <w:spacing w:after="0" w:line="99"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following table presents all of the compensation paid or awarded to or earned by our named executive officers during 2017 from us or any of our affiliates: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Arial" w:cs="Arial" w:eastAsia="Arial" w:hAnsi="Arial"/>
                <w:sz w:val="14"/>
                <w:szCs w:val="14"/>
                <w:b w:val="1"/>
                <w:bCs w:val="1"/>
                <w:color w:val="auto"/>
              </w:rPr>
              <w:t>Non-Equity</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6"/>
              <w:spacing w:after="0" w:line="159" w:lineRule="exact"/>
              <w:rPr>
                <w:sz w:val="20"/>
                <w:szCs w:val="20"/>
                <w:color w:val="auto"/>
              </w:rPr>
            </w:pPr>
            <w:r>
              <w:rPr>
                <w:rFonts w:ascii="Arial" w:cs="Arial" w:eastAsia="Arial" w:hAnsi="Arial"/>
                <w:sz w:val="14"/>
                <w:szCs w:val="14"/>
                <w:b w:val="1"/>
                <w:bCs w:val="1"/>
                <w:color w:val="auto"/>
              </w:rPr>
              <w:t>Option</w:t>
            </w:r>
          </w:p>
        </w:tc>
        <w:tc>
          <w:tcPr>
            <w:tcW w:w="46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Incentive Plan</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16"/>
              <w:spacing w:after="0" w:line="159" w:lineRule="exact"/>
              <w:rPr>
                <w:sz w:val="20"/>
                <w:szCs w:val="20"/>
                <w:color w:val="auto"/>
              </w:rPr>
            </w:pPr>
            <w:r>
              <w:rPr>
                <w:rFonts w:ascii="Arial" w:cs="Arial" w:eastAsia="Arial" w:hAnsi="Arial"/>
                <w:sz w:val="14"/>
                <w:szCs w:val="14"/>
                <w:b w:val="1"/>
                <w:bCs w:val="1"/>
                <w:color w:val="auto"/>
              </w:rPr>
              <w:t>All Other</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000" w:type="dxa"/>
            <w:vAlign w:val="bottom"/>
            <w:gridSpan w:val="3"/>
            <w:vMerge w:val="continue"/>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440" w:type="dxa"/>
            <w:vAlign w:val="bottom"/>
          </w:tcPr>
          <w:p>
            <w:pPr>
              <w:spacing w:after="0"/>
              <w:rPr>
                <w:sz w:val="15"/>
                <w:szCs w:val="15"/>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Salary</w:t>
            </w:r>
          </w:p>
        </w:tc>
        <w:tc>
          <w:tcPr>
            <w:tcW w:w="1140" w:type="dxa"/>
            <w:vAlign w:val="bottom"/>
            <w:gridSpan w:val="3"/>
          </w:tcPr>
          <w:p>
            <w:pPr>
              <w:jc w:val="right"/>
              <w:spacing w:after="0" w:line="17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(1)</w:t>
            </w:r>
          </w:p>
        </w:tc>
        <w:tc>
          <w:tcPr>
            <w:tcW w:w="4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Compensation</w:t>
            </w:r>
          </w:p>
        </w:tc>
        <w:tc>
          <w:tcPr>
            <w:tcW w:w="4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Compensation</w:t>
            </w:r>
          </w:p>
        </w:tc>
        <w:tc>
          <w:tcPr>
            <w:tcW w:w="46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6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color w:val="auto"/>
              </w:rPr>
              <w:t>Brendan Kennedy</w:t>
            </w:r>
          </w:p>
        </w:tc>
        <w:tc>
          <w:tcPr>
            <w:tcW w:w="4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ind w:left="40"/>
              <w:spacing w:after="0" w:line="177" w:lineRule="exact"/>
              <w:rPr>
                <w:sz w:val="20"/>
                <w:szCs w:val="20"/>
                <w:color w:val="auto"/>
              </w:rPr>
            </w:pPr>
            <w:r>
              <w:rPr>
                <w:rFonts w:ascii="Arial" w:cs="Arial" w:eastAsia="Arial" w:hAnsi="Arial"/>
                <w:sz w:val="18"/>
                <w:szCs w:val="18"/>
                <w:color w:val="auto"/>
                <w:w w:val="99"/>
              </w:rPr>
              <w:t>2017</w:t>
            </w:r>
          </w:p>
        </w:tc>
        <w:tc>
          <w:tcPr>
            <w:tcW w:w="4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w w:val="98"/>
              </w:rPr>
              <w:t>$375,000</w:t>
            </w: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7" w:lineRule="exact"/>
              <w:rPr>
                <w:sz w:val="20"/>
                <w:szCs w:val="20"/>
                <w:color w:val="auto"/>
              </w:rPr>
            </w:pPr>
            <w:r>
              <w:rPr>
                <w:rFonts w:ascii="Arial" w:cs="Arial" w:eastAsia="Arial" w:hAnsi="Arial"/>
                <w:sz w:val="18"/>
                <w:szCs w:val="18"/>
                <w:color w:val="auto"/>
              </w:rPr>
              <w:t>$375,000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4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Edward Wood Pastorius, Jr.</w:t>
            </w:r>
          </w:p>
        </w:tc>
        <w:tc>
          <w:tcPr>
            <w:tcW w:w="460" w:type="dxa"/>
            <w:vAlign w:val="bottom"/>
          </w:tcPr>
          <w:p>
            <w:pPr>
              <w:ind w:left="40"/>
              <w:spacing w:after="0" w:line="202" w:lineRule="exact"/>
              <w:rPr>
                <w:sz w:val="20"/>
                <w:szCs w:val="20"/>
                <w:color w:val="auto"/>
              </w:rPr>
            </w:pPr>
            <w:r>
              <w:rPr>
                <w:rFonts w:ascii="Arial" w:cs="Arial" w:eastAsia="Arial" w:hAnsi="Arial"/>
                <w:sz w:val="18"/>
                <w:szCs w:val="18"/>
                <w:color w:val="auto"/>
                <w:w w:val="99"/>
              </w:rPr>
              <w:t>2017</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286,000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286,000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Chief Revenue Officer</w:t>
            </w: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520" w:right="60" w:hanging="316"/>
        <w:spacing w:after="0" w:line="237"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reported do not reflect the amounts actually received by our executive officers. Instead, these amounts reflect the aggregate grant date fair value of each stock option granted to our executive officers during 2017, as computed in accordance with Financial Accounting Standards Board, or FASB, Accounting Standards Codification, or ASC, 718. Assumptions used in the calculation of these amounts are included in Note 2 to our consolidated financial statements included in this prospectus. As required by SEC rules, the amounts shown exclude the impact of estimated forfeitures related to service-based vesting conditions. Our executive officers who have received options will only realize compensation with regard to these options to the extent the trading price of our common stock is greater than the exercise price of such options.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99"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There were no outstanding equity awards held under our equity incentive plans by our named executive officers as of December 31,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85"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defined benefit retirement plan sponsored by us in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Our named executive officers did not participate in, or earn any benefits under, a nonqualified deferred compensation plan sponsored by us during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99"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We are an “emerging growth company” as defined in the JOBS Act. As an emerging growth company we will be exempt from certain requirements related to executive compensation, including, but not limited to, the Nasdaq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Severance and Change in Control Arrangements</w:t>
      </w:r>
    </w:p>
    <w:p>
      <w:pPr>
        <w:spacing w:after="0" w:line="99"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We have entered into offer letters with each of our named executive officers. The offer letters generally provide for at-will employment and set forth the executive’s initial base salary, target variable compensation, eligibility for employee benefits, the terms of initial equity grants and in some cases severance benefits on a qualifying termination. Each of our named executive officers has also executed our standard form of proprietary information agreement. Any potential payments and benefits due upon a termination of employment or a change of control of us are further described below.</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Brendan Kennedy</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Mr. Kennedy serves as our President and Chief Executive Officer.</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Edward Wood Pastorius, Jr.</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Mr. Pastorius serves as our Chief Revenue Officer.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Amended and Restated 2018 Equity Incentive Plan</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originally adopted the Amended and Restated 2018 Equity Incentive Plan, or the 2018 Plan, in January 2018</w:t>
      </w:r>
    </w:p>
    <w:tbl>
      <w:tblPr>
        <w:tblLayout w:type="fixed"/>
        <w:tblInd w:w="200" w:type="dxa"/>
        <w:tblCellMar>
          <w:top w:w="0" w:type="dxa"/>
          <w:left w:w="0" w:type="dxa"/>
          <w:bottom w:w="0" w:type="dxa"/>
          <w:right w:w="0" w:type="dxa"/>
        </w:tblCellMar>
      </w:tblP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and amended and restated it in March 2018. Our stockholders approved the 2018 Plan in</w:t>
            </w:r>
          </w:p>
        </w:tc>
        <w:tc>
          <w:tcPr>
            <w:tcW w:w="840" w:type="dxa"/>
            <w:vAlign w:val="bottom"/>
          </w:tcPr>
          <w:p>
            <w:pPr>
              <w:jc w:val="right"/>
              <w:spacing w:after="0"/>
              <w:rPr>
                <w:sz w:val="20"/>
                <w:szCs w:val="20"/>
                <w:color w:val="auto"/>
              </w:rPr>
            </w:pPr>
            <w:r>
              <w:rPr>
                <w:rFonts w:ascii="Arial" w:cs="Arial" w:eastAsia="Arial" w:hAnsi="Arial"/>
                <w:sz w:val="18"/>
                <w:szCs w:val="18"/>
                <w:color w:val="auto"/>
              </w:rPr>
              <w:t>2018.</w:t>
            </w:r>
          </w:p>
        </w:tc>
      </w:tr>
    </w:tbl>
    <w:p>
      <w:pPr>
        <w:spacing w:after="0" w:line="184"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i w:val="1"/>
          <w:iCs w:val="1"/>
          <w:color w:val="auto"/>
        </w:rPr>
        <w:t>Authorized awards</w:t>
      </w:r>
      <w:r>
        <w:rPr>
          <w:rFonts w:ascii="Arial" w:cs="Arial" w:eastAsia="Arial" w:hAnsi="Arial"/>
          <w:sz w:val="18"/>
          <w:szCs w:val="18"/>
          <w:color w:val="auto"/>
        </w:rPr>
        <w:t>. The 2018 Plan authorizes the award of incentive stock options that may qualify for favorable tax treatment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U.S. tax laws to their recipients under Section 422 of the Internal Revenue Code of 1906, or the Code, or ISOs, nonstatutory stock options, or NSOs, stock appreciation rights, or SARs, restricted stock, restricted stock units, or RSUs, performance-based awards and other stock awards, which are collectively referred to as awards. We may grant awards under the 2018 Plan to our employees, including our officers, our non-employee directors and consultants and the employees and consultants of our affiliates. We may grant ISOs to our employees and employees of a subsidiary corporation or parent corporation (within the meaning of Sections 424(e) and 424(f) of the Code).</w:t>
      </w:r>
    </w:p>
    <w:p>
      <w:pPr>
        <w:spacing w:after="0" w:line="185" w:lineRule="exact"/>
        <w:rPr>
          <w:sz w:val="20"/>
          <w:szCs w:val="20"/>
          <w:color w:val="auto"/>
        </w:rPr>
      </w:pPr>
    </w:p>
    <w:p>
      <w:pPr>
        <w:jc w:val="both"/>
        <w:ind w:left="200" w:right="60" w:firstLine="331"/>
        <w:spacing w:after="0" w:line="256"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9,199,338 shares of Class 2 common stock were reserved for future issuance under our Amended and Restated 2018</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Incentive Plan as of the date of this offering. Additionally, the number of shares of our Class 2 common stock reserved for issuance under our 2018 Plan will automatically increase on January 1 of each calendar year for ten years, starting on January 1, 2019 and ending</w:t>
      </w:r>
    </w:p>
    <w:p>
      <w:pPr>
        <w:ind w:left="200" w:right="420"/>
        <w:spacing w:after="0" w:line="234" w:lineRule="auto"/>
        <w:rPr>
          <w:sz w:val="20"/>
          <w:szCs w:val="20"/>
          <w:color w:val="auto"/>
        </w:rPr>
      </w:pPr>
      <w:r>
        <w:rPr>
          <w:rFonts w:ascii="Arial" w:cs="Arial" w:eastAsia="Arial" w:hAnsi="Arial"/>
          <w:sz w:val="18"/>
          <w:szCs w:val="18"/>
          <w:color w:val="auto"/>
        </w:rPr>
        <w:t>on and including , 2028, in an amount equal to % of the total number of shares of our common stock outstanding on December 31 of the prior calendar year, or a lesser number of shares determined by our board of directors. The maximum number of</w:t>
      </w:r>
    </w:p>
    <w:p>
      <w:pPr>
        <w:spacing w:after="0" w:line="2" w:lineRule="exact"/>
        <w:rPr>
          <w:sz w:val="20"/>
          <w:szCs w:val="20"/>
          <w:color w:val="auto"/>
        </w:rPr>
      </w:pPr>
    </w:p>
    <w:p>
      <w:pPr>
        <w:ind w:left="200"/>
        <w:spacing w:after="0"/>
        <w:tabs>
          <w:tab w:leader="none" w:pos="9520" w:val="left"/>
        </w:tabs>
        <w:rPr>
          <w:sz w:val="20"/>
          <w:szCs w:val="20"/>
          <w:color w:val="auto"/>
        </w:rPr>
      </w:pPr>
      <w:r>
        <w:rPr>
          <w:rFonts w:ascii="Arial" w:cs="Arial" w:eastAsia="Arial" w:hAnsi="Arial"/>
          <w:sz w:val="18"/>
          <w:szCs w:val="18"/>
          <w:color w:val="auto"/>
        </w:rPr>
        <w:t>shares of our common stock that may be issued upon the exercise of ISOs under the 2018 Plan is equal to</w:t>
      </w:r>
      <w:r>
        <w:rPr>
          <w:sz w:val="20"/>
          <w:szCs w:val="20"/>
          <w:color w:val="auto"/>
        </w:rPr>
        <w:tab/>
      </w:r>
      <w:r>
        <w:rPr>
          <w:rFonts w:ascii="Arial" w:cs="Arial" w:eastAsia="Arial" w:hAnsi="Arial"/>
          <w:sz w:val="14"/>
          <w:szCs w:val="14"/>
          <w:color w:val="auto"/>
        </w:rPr>
        <w:t>.</w:t>
      </w:r>
    </w:p>
    <w:p>
      <w:pPr>
        <w:spacing w:after="0" w:line="212"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Shares subject to awards granted under the 2018 Plan that expire or terminate without being exercised in full, or that are paid out in cash rather than in shares, do not reduce the number of shares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available for issuance under the 2018 Plan. Additionally, shares become available for future grant under the 2018 Plan if they were issued under awards under the 2018 Plan if we repurchase them or they are forfeited. This includes shares used to pay the exercise price of an award or to satisfy the tax withholding obligations related to an award.</w:t>
      </w:r>
    </w:p>
    <w:p>
      <w:pPr>
        <w:spacing w:after="0" w:line="203" w:lineRule="exact"/>
        <w:rPr>
          <w:sz w:val="20"/>
          <w:szCs w:val="20"/>
          <w:color w:val="auto"/>
        </w:rPr>
      </w:pPr>
    </w:p>
    <w:p>
      <w:pPr>
        <w:ind w:left="200" w:right="160" w:firstLine="331"/>
        <w:spacing w:after="0" w:line="234" w:lineRule="auto"/>
        <w:rPr>
          <w:sz w:val="20"/>
          <w:szCs w:val="20"/>
          <w:color w:val="auto"/>
        </w:rPr>
      </w:pPr>
      <w:r>
        <w:rPr>
          <w:rFonts w:ascii="Arial" w:cs="Arial" w:eastAsia="Arial" w:hAnsi="Arial"/>
          <w:sz w:val="18"/>
          <w:szCs w:val="18"/>
          <w:color w:val="auto"/>
        </w:rPr>
        <w:t>The maximum number of shares of common stock subject to stock awards granted under the 2018 Plan or otherwise during any one calendar year to any non-employee director, taken together with any cash fees paid by us to such non-employee director during such</w:t>
      </w:r>
    </w:p>
    <w:p>
      <w:pPr>
        <w:spacing w:after="0" w:line="2"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calendar year for service on the board of directors, will not exceed $ in total value, calculating the value of any such stock awards based on the grant date fair value of such stock awards for financial reporting purposes, or, with respect to the calendar year in which a</w:t>
      </w:r>
    </w:p>
    <w:p>
      <w:pPr>
        <w:spacing w:after="0" w:line="2" w:lineRule="exact"/>
        <w:rPr>
          <w:sz w:val="20"/>
          <w:szCs w:val="20"/>
          <w:color w:val="auto"/>
        </w:rPr>
      </w:pPr>
    </w:p>
    <w:p>
      <w:pPr>
        <w:ind w:left="200"/>
        <w:spacing w:after="0"/>
        <w:tabs>
          <w:tab w:leader="none" w:pos="7140" w:val="left"/>
        </w:tabs>
        <w:rPr>
          <w:sz w:val="20"/>
          <w:szCs w:val="20"/>
          <w:color w:val="auto"/>
        </w:rPr>
      </w:pPr>
      <w:r>
        <w:rPr>
          <w:rFonts w:ascii="Arial" w:cs="Arial" w:eastAsia="Arial" w:hAnsi="Arial"/>
          <w:sz w:val="18"/>
          <w:szCs w:val="18"/>
          <w:color w:val="auto"/>
        </w:rPr>
        <w:t>non-employee director is first appointed or elected to our board of directors, $</w:t>
      </w:r>
      <w:r>
        <w:rPr>
          <w:sz w:val="20"/>
          <w:szCs w:val="20"/>
          <w:color w:val="auto"/>
        </w:rPr>
        <w:tab/>
      </w:r>
      <w:r>
        <w:rPr>
          <w:rFonts w:ascii="Arial" w:cs="Arial" w:eastAsia="Arial" w:hAnsi="Arial"/>
          <w:sz w:val="14"/>
          <w:szCs w:val="14"/>
          <w:color w:val="auto"/>
        </w:rPr>
        <w:t>.</w:t>
      </w:r>
    </w:p>
    <w:p>
      <w:pPr>
        <w:spacing w:after="0" w:line="194" w:lineRule="exact"/>
        <w:rPr>
          <w:sz w:val="20"/>
          <w:szCs w:val="20"/>
          <w:color w:val="auto"/>
        </w:rPr>
      </w:pPr>
    </w:p>
    <w:p>
      <w:pPr>
        <w:ind w:left="200" w:right="140" w:firstLine="331"/>
        <w:spacing w:after="0" w:line="24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2018 Plan will be administered by our compensation committee, or by our board of directors or another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committee, acting in place of our compensation committee. Our board of directors or our compensation committee may also delegate to one or more of our officers the authority to designate employees, other than officers, to receive specified awards and determine the number of shares subject to such awards.</w:t>
      </w:r>
    </w:p>
    <w:p>
      <w:pPr>
        <w:spacing w:after="0" w:line="1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Our compensation committee will have the authority to construe and interpret the 2018 Plan, grant and amend awards, determine the terms of such awards and make all other determinations necessary or advisable for the administration of the plan, including, but not limited to, repricing options or SARs without prior stockholder approval. Awards granted under the 2018 Plan may vest over time based on the holder’s continued service with us or following the achievement of certain pre-established performance goals.</w:t>
      </w:r>
    </w:p>
    <w:p>
      <w:pPr>
        <w:spacing w:after="0" w:line="184" w:lineRule="exact"/>
        <w:rPr>
          <w:sz w:val="20"/>
          <w:szCs w:val="20"/>
          <w:color w:val="auto"/>
        </w:rPr>
      </w:pPr>
    </w:p>
    <w:p>
      <w:pPr>
        <w:ind w:left="200" w:right="40" w:firstLine="331"/>
        <w:spacing w:after="0" w:line="242"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represent the right to purchase shares of our Class 2 common stock on the date of exercise at a stated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an option generally must be at least equal to the fair market value of our shares of Class 2 common stock on the date of grant. Our compensation committee may provide for options to be exercised only as they vest or to be immediately exercisable with any shares issued on exercise being subject to our right of repurchase that lapses as the shares vest. The maximum term of options granted under the 2018 Plan is ten years.</w:t>
      </w:r>
    </w:p>
    <w:p>
      <w:pPr>
        <w:spacing w:after="0" w:line="185" w:lineRule="exact"/>
        <w:rPr>
          <w:sz w:val="20"/>
          <w:szCs w:val="20"/>
          <w:color w:val="auto"/>
        </w:rPr>
      </w:pPr>
    </w:p>
    <w:p>
      <w:pPr>
        <w:ind w:left="200" w:right="40" w:firstLine="331"/>
        <w:spacing w:after="0" w:line="242"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represent an offer by us to issue or sell shares of our Class 2 common stock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vesting restrictions, which may lapse based on time or achievement of performance conditions. The price, if any, of a restricted stock award will be determined by our compensation committee. Unless otherwise determined by our compensation committee at the time of grant, vesting will cease on the date the participant no longer provides services to us and unvested shares will be forfeited to or repurchased by us.</w:t>
      </w:r>
    </w:p>
    <w:p>
      <w:pPr>
        <w:spacing w:after="0" w:line="185"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RSUs represent the right to receive shares of our Class 2 common stock at a specified date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forfeiture of that right because of termination of employment or failure to achieve certain performance conditions. If an RSU award has not been forfeited, then on the date specified in the RSU agreement, we will deliver to the holder a number of whole shares of Class 2 common stock, cash or a combination of shares of our Class 2 common stock and cash. Additionally, dividend equivalents may be credited in respect of shares covered by an RSU award.</w:t>
      </w:r>
    </w:p>
    <w:p>
      <w:pPr>
        <w:spacing w:after="0" w:line="185" w:lineRule="exact"/>
        <w:rPr>
          <w:sz w:val="20"/>
          <w:szCs w:val="20"/>
          <w:color w:val="auto"/>
        </w:rPr>
      </w:pPr>
    </w:p>
    <w:p>
      <w:pPr>
        <w:jc w:val="both"/>
        <w:ind w:left="200" w:right="120" w:firstLine="331"/>
        <w:spacing w:after="0" w:line="251"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SARs provide for a payment, or payments, in cash or shares of Class 2 common stock to the holder based</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difference between the fair market value of shares of our Class 2 common stock on the date of exercise and the stated exercise price. The maximum term of SARs granted under the 2018 Plan is ten years.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60" w:firstLine="331"/>
        <w:spacing w:after="0" w:line="250"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The 2018 Plan permits the grant of performance-based stock and cash awards. The performance goals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be selected include one or more of the following: (1) earnings, including earnings per share and net earnings; (2) earnings before interest, taxes and depreciation; (3) earnings before interest, taxes, depreciation and amortization; (4) earnings before interest, taxes, depreciation, amortization and legal settlements; (5) earnings before interest, taxes, depreciation, amortization, legal settlements and other (income) expense; (6) earnings before interest, taxes, depreciation, amortization, legal settlements, other (income) expense and stock-based compensation; (7) earnings before interest, taxes, depreciation, amortization, legal settlements, other (income) expense, stock-based compensation and changes in deferred revenue; (8) total stockholder return; (9) return on equity or average stockholder’s equity; (10) return on assets, investment or capital employed; (11) stock price; (12) margin, including gross margin; (13) income, before or after taxes; (14) operating income; (15) operating income after taxes; (16) pre-tax profit; (17) operating cash flow; (18) sales or revenue targets; (19) increases in revenue or product revenue; (20) expenses and cost reduction goals; (21) improvement in or attainment of working capital levels; (22) economic value added, or an equivalent metric; (23) market share; (24) cash flow; (25) cash flow per share;</w:t>
      </w:r>
    </w:p>
    <w:p>
      <w:pPr>
        <w:spacing w:after="0" w:line="7" w:lineRule="exact"/>
        <w:rPr>
          <w:sz w:val="20"/>
          <w:szCs w:val="20"/>
          <w:color w:val="auto"/>
        </w:rPr>
      </w:pPr>
    </w:p>
    <w:p>
      <w:pPr>
        <w:ind w:left="200" w:firstLine="4"/>
        <w:spacing w:after="0" w:line="236" w:lineRule="auto"/>
        <w:tabs>
          <w:tab w:leader="none" w:pos="5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 price performance; (27) debt reduction; (28) implementation or completion of projects or processes, including, without limitation, clinical trial initiation, clinical trial enrollment, clinical trial results, new and supplemental indications for existing products, regulatory filing submissions, regulatory filing acceptances, regulatory or advisory committee interactions, regulatory approvals and product supply; (29) stockholders’ equity; (30) capital expenditures; (31) debt levels; (32) operating profit or net operating profit; (33) workforce diversity; (34) growth of net income or operating income; (35) billings; (36) bookings; (37) employee retention; (38) initiation of phases of clinical trials and/or studies by specific dates; (39) patient enrollment rates; (40) budget management; (41) submission to, or approval by, a regulatory body, including, but not limited to the U.S. Food and Drug Administration of an applicable filing or a product candidate; (42) regulatory milestones; (43) progress of internal research or clinical programs; (44) progress of partnered programs; (45) partner satisfaction; (46) timely completion of clinical trials; (47) research progress, including the development of programs; (48) strategic partnerships or transactions including in-licensing and out-licensing of intellectual property; (49) customer satisfaction and (50) other measures of performance selected by our board of directors or a committee thereof.</w:t>
      </w:r>
    </w:p>
    <w:p>
      <w:pPr>
        <w:spacing w:after="0" w:line="206" w:lineRule="exact"/>
        <w:rPr>
          <w:sz w:val="20"/>
          <w:szCs w:val="20"/>
          <w:color w:val="auto"/>
        </w:rPr>
      </w:pPr>
    </w:p>
    <w:p>
      <w:pPr>
        <w:ind w:left="200" w:right="120" w:firstLine="331"/>
        <w:spacing w:after="0" w:line="234" w:lineRule="auto"/>
        <w:rPr>
          <w:sz w:val="20"/>
          <w:szCs w:val="20"/>
          <w:color w:val="auto"/>
        </w:rPr>
      </w:pPr>
      <w:r>
        <w:rPr>
          <w:rFonts w:ascii="Arial" w:cs="Arial" w:eastAsia="Arial" w:hAnsi="Arial"/>
          <w:sz w:val="18"/>
          <w:szCs w:val="18"/>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we will appropriately make adjustments in the method of calculating the attainment of performance goals as follows: (1) to exclude restructuring and/or other nonrecurring charges;</w:t>
      </w:r>
    </w:p>
    <w:p>
      <w:pPr>
        <w:spacing w:after="0" w:line="4" w:lineRule="exact"/>
        <w:rPr>
          <w:sz w:val="20"/>
          <w:szCs w:val="20"/>
          <w:color w:val="auto"/>
        </w:rPr>
      </w:pPr>
    </w:p>
    <w:p>
      <w:pPr>
        <w:ind w:left="200" w:right="20" w:firstLine="4"/>
        <w:spacing w:after="0" w:line="236"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GAAP;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Class 2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GAAP and (12) to exclude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the effect of any other unusual, nonrecurring gain or loss or other extraordinary item. In addition, we retain the discretion to adjust or eliminate the compensation or economic benefit due upon attainment of the goals. The performance goals may differ from participant to participant and from award to award.</w:t>
      </w:r>
    </w:p>
    <w:p>
      <w:pPr>
        <w:spacing w:after="0" w:line="185" w:lineRule="exact"/>
        <w:rPr>
          <w:sz w:val="20"/>
          <w:szCs w:val="20"/>
          <w:color w:val="auto"/>
        </w:rPr>
      </w:pPr>
    </w:p>
    <w:p>
      <w:pPr>
        <w:ind w:left="200" w:right="360" w:firstLine="331"/>
        <w:spacing w:after="0" w:line="251"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Our compensation committee may grant other awards based in whole or in part by reference to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Class 2 common stock. Our compensation committee will determine the number of shares under such award and all other terms and conditions of such awards.</w:t>
      </w:r>
    </w:p>
    <w:p>
      <w:pPr>
        <w:spacing w:after="0" w:line="174" w:lineRule="exact"/>
        <w:rPr>
          <w:sz w:val="20"/>
          <w:szCs w:val="20"/>
          <w:color w:val="auto"/>
        </w:rPr>
      </w:pPr>
    </w:p>
    <w:p>
      <w:pPr>
        <w:ind w:left="200" w:right="40" w:firstLine="331"/>
        <w:spacing w:after="0" w:line="251"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Awards granted under the 2018 Plan may not be transferred in any manner other than by will or by the laws of descent</w:t>
      </w:r>
      <w:r>
        <w:rPr>
          <w:rFonts w:ascii="Arial" w:cs="Arial" w:eastAsia="Arial" w:hAnsi="Arial"/>
          <w:sz w:val="18"/>
          <w:szCs w:val="18"/>
          <w:i w:val="1"/>
          <w:iCs w:val="1"/>
          <w:color w:val="auto"/>
        </w:rPr>
        <w:t xml:space="preserve"> </w:t>
      </w:r>
      <w:r>
        <w:rPr>
          <w:rFonts w:ascii="Arial" w:cs="Arial" w:eastAsia="Arial" w:hAnsi="Arial"/>
          <w:sz w:val="18"/>
          <w:szCs w:val="18"/>
          <w:color w:val="auto"/>
        </w:rPr>
        <w:t>and distribution or as otherwise determined by our compensation committee or under the terms of the 2018 Plan or an applicable award agreement.</w:t>
      </w:r>
    </w:p>
    <w:p>
      <w:pPr>
        <w:spacing w:after="0" w:line="174"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share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the maximum number of shares reserved for issuance under the 2018 Plan, (2) the class and the maximum number of shares by which the share reserve may increase automatically each year, (3) the class and the maximum number of shares that may be issued upon the exercise of ISOs and (4) the class and the number of shares and exercise price, strike price, or purchase price, if applicable, of all outstanding awards.</w:t>
      </w:r>
    </w:p>
    <w:p>
      <w:pPr>
        <w:spacing w:after="0" w:line="185" w:lineRule="exact"/>
        <w:rPr>
          <w:sz w:val="20"/>
          <w:szCs w:val="20"/>
          <w:color w:val="auto"/>
        </w:rPr>
      </w:pPr>
    </w:p>
    <w:p>
      <w:pPr>
        <w:ind w:left="200" w:right="180" w:firstLine="331"/>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2018 Plan provides that in the event of certain specified significant corporate transactions,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determined by our board of directors unless otherwise provided in an award agreement or other written agreement between us and the award holder. The board of directors may take one of the following actions with respect to such awards:</w:t>
      </w:r>
    </w:p>
    <w:p>
      <w:pPr>
        <w:spacing w:after="0" w:line="226" w:lineRule="exact"/>
        <w:rPr>
          <w:sz w:val="20"/>
          <w:szCs w:val="20"/>
          <w:color w:val="auto"/>
        </w:rPr>
      </w:pPr>
    </w:p>
    <w:p>
      <w:pPr>
        <w:ind w:left="520" w:hanging="316"/>
        <w:spacing w:after="0"/>
        <w:tabs>
          <w:tab w:leader="none" w:pos="520" w:val="left"/>
        </w:tabs>
        <w:numPr>
          <w:ilvl w:val="0"/>
          <w:numId w:val="58"/>
        </w:numPr>
        <w:rPr>
          <w:rFonts w:ascii="Arial" w:cs="Arial" w:eastAsia="Arial" w:hAnsi="Arial"/>
          <w:sz w:val="15"/>
          <w:szCs w:val="15"/>
          <w:color w:val="auto"/>
        </w:rPr>
      </w:pPr>
      <w:r>
        <w:rPr>
          <w:rFonts w:ascii="Arial" w:cs="Arial" w:eastAsia="Arial" w:hAnsi="Arial"/>
          <w:sz w:val="18"/>
          <w:szCs w:val="18"/>
          <w:color w:val="auto"/>
        </w:rPr>
        <w:t>Arrange for the assumption, continuation or substitution of an award by a successor corporation;</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8"/>
        </w:numPr>
        <w:rPr>
          <w:rFonts w:ascii="Arial" w:cs="Arial" w:eastAsia="Arial" w:hAnsi="Arial"/>
          <w:sz w:val="15"/>
          <w:szCs w:val="15"/>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8"/>
        </w:numPr>
        <w:rPr>
          <w:rFonts w:ascii="Arial" w:cs="Arial" w:eastAsia="Arial" w:hAnsi="Arial"/>
          <w:sz w:val="15"/>
          <w:szCs w:val="15"/>
          <w:color w:val="auto"/>
        </w:rPr>
      </w:pPr>
      <w:r>
        <w:rPr>
          <w:rFonts w:ascii="Arial" w:cs="Arial" w:eastAsia="Arial" w:hAnsi="Arial"/>
          <w:sz w:val="18"/>
          <w:szCs w:val="18"/>
          <w:color w:val="auto"/>
        </w:rPr>
        <w:t>Accelerate the vesting, in whole or in part, of the award and provide for its termination prior to the transaction;</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58"/>
        </w:numPr>
        <w:rPr>
          <w:rFonts w:ascii="Arial" w:cs="Arial" w:eastAsia="Arial" w:hAnsi="Arial"/>
          <w:sz w:val="15"/>
          <w:szCs w:val="15"/>
          <w:color w:val="auto"/>
        </w:rPr>
      </w:pPr>
      <w:r>
        <w:rPr>
          <w:rFonts w:ascii="Arial" w:cs="Arial" w:eastAsia="Arial" w:hAnsi="Arial"/>
          <w:sz w:val="18"/>
          <w:szCs w:val="18"/>
          <w:color w:val="auto"/>
        </w:rPr>
        <w:t>Arrange for the lapse, in whole or in part, of any reacquisition or repurchase rights held by us;</w:t>
      </w:r>
    </w:p>
    <w:p>
      <w:pPr>
        <w:spacing w:after="0" w:line="36" w:lineRule="exact"/>
        <w:rPr>
          <w:rFonts w:ascii="Arial" w:cs="Arial" w:eastAsia="Arial" w:hAnsi="Arial"/>
          <w:sz w:val="15"/>
          <w:szCs w:val="15"/>
          <w:color w:val="auto"/>
        </w:rPr>
      </w:pPr>
    </w:p>
    <w:p>
      <w:pPr>
        <w:ind w:left="520" w:right="140" w:hanging="316"/>
        <w:spacing w:after="0" w:line="246" w:lineRule="auto"/>
        <w:tabs>
          <w:tab w:leader="none" w:pos="520" w:val="left"/>
        </w:tabs>
        <w:numPr>
          <w:ilvl w:val="0"/>
          <w:numId w:val="58"/>
        </w:numPr>
        <w:rPr>
          <w:rFonts w:ascii="Arial" w:cs="Arial" w:eastAsia="Arial" w:hAnsi="Arial"/>
          <w:sz w:val="15"/>
          <w:szCs w:val="15"/>
          <w:color w:val="auto"/>
        </w:rPr>
      </w:pPr>
      <w:r>
        <w:rPr>
          <w:rFonts w:ascii="Arial" w:cs="Arial" w:eastAsia="Arial" w:hAnsi="Arial"/>
          <w:sz w:val="18"/>
          <w:szCs w:val="18"/>
          <w:color w:val="auto"/>
        </w:rPr>
        <w:t>Cancel or arrange for the cancellation of the award, to the extent not vested or not exercised prior to the closing of the transaction, in exchange for a cash payment or no payment, as determined by our board of directors; and</w:t>
      </w:r>
    </w:p>
    <w:p>
      <w:pPr>
        <w:spacing w:after="0" w:line="21" w:lineRule="exact"/>
        <w:rPr>
          <w:rFonts w:ascii="Arial" w:cs="Arial" w:eastAsia="Arial" w:hAnsi="Arial"/>
          <w:sz w:val="15"/>
          <w:szCs w:val="15"/>
          <w:color w:val="auto"/>
        </w:rPr>
      </w:pPr>
    </w:p>
    <w:p>
      <w:pPr>
        <w:ind w:left="520" w:hanging="316"/>
        <w:spacing w:after="0" w:line="239" w:lineRule="auto"/>
        <w:tabs>
          <w:tab w:leader="none" w:pos="520" w:val="left"/>
        </w:tabs>
        <w:numPr>
          <w:ilvl w:val="0"/>
          <w:numId w:val="58"/>
        </w:numPr>
        <w:rPr>
          <w:rFonts w:ascii="Arial" w:cs="Arial" w:eastAsia="Arial" w:hAnsi="Arial"/>
          <w:sz w:val="15"/>
          <w:szCs w:val="15"/>
          <w:color w:val="auto"/>
        </w:rPr>
      </w:pPr>
      <w:r>
        <w:rPr>
          <w:rFonts w:ascii="Arial" w:cs="Arial" w:eastAsia="Arial" w:hAnsi="Arial"/>
          <w:sz w:val="18"/>
          <w:szCs w:val="18"/>
          <w:color w:val="auto"/>
        </w:rPr>
        <w:t>Cancel or arrange for the cancellation of the award to the extent not vested but not exercised prior to the closing of the transaction, in exchange for a payment, in the form determined by our board of directors, equal to the excess, if any, of (A) the per share amount payable to holders of our Class 2 common stock in the transaction over (B) any exercise price payable by the participant in connection with the award, multiplied by the number of shares subject to the award.</w:t>
      </w:r>
    </w:p>
    <w:p>
      <w:pPr>
        <w:spacing w:after="0" w:line="202" w:lineRule="exact"/>
        <w:rPr>
          <w:sz w:val="20"/>
          <w:szCs w:val="20"/>
          <w:color w:val="auto"/>
        </w:rPr>
      </w:pPr>
    </w:p>
    <w:p>
      <w:pPr>
        <w:jc w:val="both"/>
        <w:ind w:left="200" w:right="40" w:firstLine="331"/>
        <w:spacing w:after="0" w:line="239" w:lineRule="auto"/>
        <w:rPr>
          <w:sz w:val="20"/>
          <w:szCs w:val="20"/>
          <w:color w:val="auto"/>
        </w:rPr>
      </w:pPr>
      <w:r>
        <w:rPr>
          <w:rFonts w:ascii="Arial" w:cs="Arial" w:eastAsia="Arial" w:hAnsi="Arial"/>
          <w:sz w:val="18"/>
          <w:szCs w:val="18"/>
          <w:color w:val="auto"/>
        </w:rPr>
        <w:t>A corporate transaction generally will be deemed to occur in the event of: (1) a sale of all or 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w:t>
      </w:r>
    </w:p>
    <w:p>
      <w:pPr>
        <w:spacing w:after="0" w:line="202"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The board of directors is not obligated to treat all awards or portions of awards, even those that are of the same type, in the same manner.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00" w:firstLine="331"/>
        <w:spacing w:after="0" w:line="242"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or another duly authorized committee has the authority to amend, suspend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the 2018 Plan, provided 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adopted the 2018 Plan, and no awards may be granted under the 2018 Plan while it is suspended or after it is terminated.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 and Welfare Benefits</w:t>
      </w:r>
    </w:p>
    <w:p>
      <w:pPr>
        <w:spacing w:after="0" w:line="99"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All of our named executive officers are eligible to participate in our employee benefit plans, including our medical, dental and vision insurance plans as well as our 401(k) plans, in each case on the same basis as all of our other full-time employees.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85"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Upon the closing of this offering, our amended and restated certificate of incorporation will contain provisions that limit the liability of our current and former executive officers and directors for monetary damages to the fullest extent permitted by Delaware law. Delaware law provides that directors of a corporation will not be personally liable for monetary damages for any breach of fiduciary duties as directors, except liability:</w:t>
      </w:r>
    </w:p>
    <w:p>
      <w:pPr>
        <w:spacing w:after="0" w:line="229" w:lineRule="exact"/>
        <w:rPr>
          <w:sz w:val="20"/>
          <w:szCs w:val="20"/>
          <w:color w:val="auto"/>
        </w:rPr>
      </w:pPr>
    </w:p>
    <w:p>
      <w:pPr>
        <w:ind w:left="520" w:hanging="316"/>
        <w:spacing w:after="0"/>
        <w:tabs>
          <w:tab w:leader="none" w:pos="520" w:val="left"/>
        </w:tabs>
        <w:numPr>
          <w:ilvl w:val="0"/>
          <w:numId w:val="59"/>
        </w:numPr>
        <w:rPr>
          <w:rFonts w:ascii="Arial" w:cs="Arial" w:eastAsia="Arial" w:hAnsi="Arial"/>
          <w:sz w:val="15"/>
          <w:szCs w:val="15"/>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5"/>
          <w:szCs w:val="15"/>
          <w:color w:val="auto"/>
        </w:rPr>
      </w:pPr>
    </w:p>
    <w:p>
      <w:pPr>
        <w:ind w:left="520" w:hanging="316"/>
        <w:spacing w:after="0"/>
        <w:tabs>
          <w:tab w:leader="none" w:pos="520" w:val="left"/>
        </w:tabs>
        <w:numPr>
          <w:ilvl w:val="0"/>
          <w:numId w:val="59"/>
        </w:numPr>
        <w:rPr>
          <w:rFonts w:ascii="Arial" w:cs="Arial" w:eastAsia="Arial" w:hAnsi="Arial"/>
          <w:sz w:val="15"/>
          <w:szCs w:val="15"/>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17" w:lineRule="exact"/>
        <w:rPr>
          <w:rFonts w:ascii="Arial" w:cs="Arial" w:eastAsia="Arial" w:hAnsi="Arial"/>
          <w:sz w:val="15"/>
          <w:szCs w:val="15"/>
          <w:color w:val="auto"/>
        </w:rPr>
      </w:pPr>
    </w:p>
    <w:p>
      <w:pPr>
        <w:ind w:left="520" w:hanging="316"/>
        <w:spacing w:after="0"/>
        <w:tabs>
          <w:tab w:leader="none" w:pos="520" w:val="left"/>
        </w:tabs>
        <w:numPr>
          <w:ilvl w:val="0"/>
          <w:numId w:val="59"/>
        </w:numPr>
        <w:rPr>
          <w:rFonts w:ascii="Arial" w:cs="Arial" w:eastAsia="Arial" w:hAnsi="Arial"/>
          <w:sz w:val="15"/>
          <w:szCs w:val="15"/>
          <w:color w:val="auto"/>
        </w:rPr>
      </w:pPr>
      <w:r>
        <w:rPr>
          <w:rFonts w:ascii="Arial" w:cs="Arial" w:eastAsia="Arial" w:hAnsi="Arial"/>
          <w:sz w:val="18"/>
          <w:szCs w:val="18"/>
          <w:color w:val="auto"/>
        </w:rPr>
        <w:t>under Section 174 of the Delaware General Corporation Law (unlawful payment of dividends or redemption of shares); or</w:t>
      </w:r>
    </w:p>
    <w:p>
      <w:pPr>
        <w:spacing w:after="0" w:line="117" w:lineRule="exact"/>
        <w:rPr>
          <w:rFonts w:ascii="Arial" w:cs="Arial" w:eastAsia="Arial" w:hAnsi="Arial"/>
          <w:sz w:val="15"/>
          <w:szCs w:val="15"/>
          <w:color w:val="auto"/>
        </w:rPr>
      </w:pPr>
    </w:p>
    <w:p>
      <w:pPr>
        <w:ind w:left="520" w:hanging="316"/>
        <w:spacing w:after="0"/>
        <w:tabs>
          <w:tab w:leader="none" w:pos="520" w:val="left"/>
        </w:tabs>
        <w:numPr>
          <w:ilvl w:val="0"/>
          <w:numId w:val="59"/>
        </w:numPr>
        <w:rPr>
          <w:rFonts w:ascii="Arial" w:cs="Arial" w:eastAsia="Arial" w:hAnsi="Arial"/>
          <w:sz w:val="15"/>
          <w:szCs w:val="15"/>
          <w:color w:val="auto"/>
        </w:rPr>
      </w:pPr>
      <w:r>
        <w:rPr>
          <w:rFonts w:ascii="Arial" w:cs="Arial" w:eastAsia="Arial" w:hAnsi="Arial"/>
          <w:sz w:val="18"/>
          <w:szCs w:val="18"/>
          <w:color w:val="auto"/>
        </w:rPr>
        <w:t>for any breach of a director’s duty of loyalty to the corporation or its stockholders.</w:t>
      </w:r>
    </w:p>
    <w:p>
      <w:pPr>
        <w:spacing w:after="0" w:line="212" w:lineRule="exact"/>
        <w:rPr>
          <w:sz w:val="20"/>
          <w:szCs w:val="20"/>
          <w:color w:val="auto"/>
        </w:rPr>
      </w:pPr>
    </w:p>
    <w:p>
      <w:pPr>
        <w:ind w:left="200" w:right="700" w:firstLine="331"/>
        <w:spacing w:after="0" w:line="246"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amended and restated certificate of incorporation and our bylaws will provide that we are required to indemnify our executive officers and directors to the fullest extent permitted by Delaware law. Our bylaws will also provide that, upon satisfaction of certain conditions, we shall advance expenses incurred by an executive officer and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bylaws will also provide our board of directors with discretion to indemnify our other officers, employees and other agents when determined appropriate by the board. 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customary directors’ and officers’ liability insurance.</w:t>
      </w:r>
    </w:p>
    <w:p>
      <w:pPr>
        <w:spacing w:after="0" w:line="205" w:lineRule="exact"/>
        <w:rPr>
          <w:sz w:val="20"/>
          <w:szCs w:val="20"/>
          <w:color w:val="auto"/>
        </w:rPr>
      </w:pPr>
    </w:p>
    <w:p>
      <w:pPr>
        <w:ind w:left="200" w:right="20" w:firstLine="331"/>
        <w:spacing w:after="0" w:line="261"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10b5-1 Plans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directors and officers may adopt written plans, known as Rule 10b5-1 plans, in which they will contract with a broker to buy or sell shares of our Class 2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the sale of any shares under such plan would be subject to the lock-up agreement that the director or officer has entered into with the underwriters.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summary of transactions since January 1, 2015 to which we have been a participant, in which:</w:t>
      </w:r>
    </w:p>
    <w:p>
      <w:pPr>
        <w:spacing w:after="0" w:line="239" w:lineRule="exact"/>
        <w:rPr>
          <w:sz w:val="20"/>
          <w:szCs w:val="20"/>
          <w:color w:val="auto"/>
        </w:rPr>
      </w:pPr>
    </w:p>
    <w:p>
      <w:pPr>
        <w:ind w:left="520" w:hanging="316"/>
        <w:spacing w:after="0"/>
        <w:tabs>
          <w:tab w:leader="none" w:pos="520" w:val="left"/>
        </w:tabs>
        <w:numPr>
          <w:ilvl w:val="0"/>
          <w:numId w:val="60"/>
        </w:numPr>
        <w:rPr>
          <w:rFonts w:ascii="Arial" w:cs="Arial" w:eastAsia="Arial" w:hAnsi="Arial"/>
          <w:sz w:val="15"/>
          <w:szCs w:val="15"/>
          <w:color w:val="auto"/>
        </w:rPr>
      </w:pPr>
      <w:r>
        <w:rPr>
          <w:rFonts w:ascii="Arial" w:cs="Arial" w:eastAsia="Arial" w:hAnsi="Arial"/>
          <w:sz w:val="18"/>
          <w:szCs w:val="18"/>
          <w:color w:val="auto"/>
        </w:rPr>
        <w:t>the amount involved exceeded or will exceed $120,000; and</w:t>
      </w:r>
    </w:p>
    <w:p>
      <w:pPr>
        <w:spacing w:after="0" w:line="36" w:lineRule="exact"/>
        <w:rPr>
          <w:rFonts w:ascii="Arial" w:cs="Arial" w:eastAsia="Arial" w:hAnsi="Arial"/>
          <w:sz w:val="15"/>
          <w:szCs w:val="15"/>
          <w:color w:val="auto"/>
        </w:rPr>
      </w:pPr>
    </w:p>
    <w:p>
      <w:pPr>
        <w:ind w:left="520" w:right="140" w:hanging="316"/>
        <w:spacing w:after="0"/>
        <w:tabs>
          <w:tab w:leader="none" w:pos="520" w:val="left"/>
        </w:tabs>
        <w:numPr>
          <w:ilvl w:val="0"/>
          <w:numId w:val="60"/>
        </w:numPr>
        <w:rPr>
          <w:rFonts w:ascii="Arial" w:cs="Arial" w:eastAsia="Arial" w:hAnsi="Arial"/>
          <w:sz w:val="15"/>
          <w:szCs w:val="15"/>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 other than compensation and other arrangements that are described in the section 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 or that were approved by our compensation committee.</w:t>
      </w:r>
    </w:p>
    <w:p>
      <w:pPr>
        <w:spacing w:after="0" w:line="203" w:lineRule="exact"/>
        <w:rPr>
          <w:sz w:val="20"/>
          <w:szCs w:val="20"/>
          <w:color w:val="auto"/>
        </w:rPr>
      </w:pPr>
    </w:p>
    <w:p>
      <w:pPr>
        <w:ind w:left="200" w:right="100" w:firstLine="331"/>
        <w:spacing w:after="0" w:line="275"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of Common Stock</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January 2018, we issued an aggregate of 75,000,000 shares of our Class 1 common stock to Privateer Holdings in exchange for the contribution of 100% of the outstanding equity interests of Decatur to us. Decatur owns all of the outstanding equity interests of our direct and indirect subsidiaries through which we operate our business and, prior to the above mentioned transaction, was a wholly owned direct subsidiary of Privateer Holdings.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Rights Agreement</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February 2018, we entered into an investor rights agreement with holders of our preferred stock and common stock, including certain holders of more than 5% of our capital stock and entities affiliated with certain of our directors. After the closing of this offering, these holders will be entitled to certain registration rights, including the right to demand that we file a registration statement or request that their shares be covered by a registration statement that we are otherwise filing. For a more detailed description of these registration rights, see the section titled “</w:t>
      </w:r>
      <w:r>
        <w:rPr>
          <w:rFonts w:ascii="Arial" w:cs="Arial" w:eastAsia="Arial" w:hAnsi="Arial"/>
          <w:sz w:val="18"/>
          <w:szCs w:val="18"/>
          <w:i w:val="1"/>
          <w:iCs w:val="1"/>
          <w:color w:val="auto"/>
        </w:rPr>
        <w:t>Description of Capital Stock—Registration Rights</w:t>
      </w:r>
      <w:r>
        <w:rPr>
          <w:rFonts w:ascii="Arial" w:cs="Arial" w:eastAsia="Arial" w:hAnsi="Arial"/>
          <w:sz w:val="18"/>
          <w:szCs w:val="18"/>
          <w:color w:val="auto"/>
        </w:rPr>
        <w:t>.” In addition, this agreement gives the stockholders that are parties thereto the right to participate in new issuances of equity securities by us, subject to certain exceptions. This right to participate in new issuances of equity securities will terminate by its terms upon the completion of our initial public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January 2016, a wholly owned subsidiary of ours entered into a revolving credit facility with Privateer Holdings for up to</w:t>
      </w:r>
    </w:p>
    <w:p>
      <w:pPr>
        <w:ind w:left="200"/>
        <w:spacing w:after="0" w:line="234" w:lineRule="auto"/>
        <w:rPr>
          <w:sz w:val="20"/>
          <w:szCs w:val="20"/>
          <w:color w:val="auto"/>
        </w:rPr>
      </w:pPr>
      <w:r>
        <w:rPr>
          <w:rFonts w:ascii="Arial" w:cs="Arial" w:eastAsia="Arial" w:hAnsi="Arial"/>
          <w:sz w:val="18"/>
          <w:szCs w:val="18"/>
          <w:color w:val="auto"/>
        </w:rPr>
        <w:t>$25.0 million, which facility is payable on demand and bears interest at a rate of 2.4 times the mid-term Applicable Federal Rate,</w:t>
      </w:r>
    </w:p>
    <w:p>
      <w:pPr>
        <w:ind w:left="200"/>
        <w:spacing w:after="0" w:line="235" w:lineRule="auto"/>
        <w:rPr>
          <w:sz w:val="20"/>
          <w:szCs w:val="20"/>
          <w:color w:val="auto"/>
        </w:rPr>
      </w:pPr>
      <w:r>
        <w:rPr>
          <w:rFonts w:ascii="Arial" w:cs="Arial" w:eastAsia="Arial" w:hAnsi="Arial"/>
          <w:sz w:val="18"/>
          <w:szCs w:val="18"/>
          <w:color w:val="auto"/>
        </w:rPr>
        <w:t>compounded annually for advances made under this agreement prior to January 1, 2017. Advances made under this facility following</w:t>
      </w:r>
    </w:p>
    <w:p>
      <w:pPr>
        <w:ind w:left="200"/>
        <w:spacing w:after="0" w:line="235" w:lineRule="auto"/>
        <w:rPr>
          <w:sz w:val="20"/>
          <w:szCs w:val="20"/>
          <w:color w:val="auto"/>
        </w:rPr>
      </w:pPr>
      <w:r>
        <w:rPr>
          <w:rFonts w:ascii="Arial" w:cs="Arial" w:eastAsia="Arial" w:hAnsi="Arial"/>
          <w:sz w:val="18"/>
          <w:szCs w:val="18"/>
          <w:color w:val="auto"/>
        </w:rPr>
        <w:t>January 1, 2017 bear interest at a floating rate of 2.54% for 2017. As of March 31, 2018, $24.3 million remained outstanding under this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facility.</w:t>
      </w:r>
    </w:p>
    <w:p>
      <w:pPr>
        <w:spacing w:after="0" w:line="21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November 2017, a wholly owned subsidiary of ours entered into a demand revolving construction facility with Privateer Holdings for up to $10.0 million, which facility is payable on demand and bears interest at a floating rate of 2.54% in 2017. As of March 31, 2018, $8.1 million remained outstanding under this facility.</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for additional information about the Privateer Holding debt facilities.</w:t>
      </w:r>
    </w:p>
    <w:p>
      <w:pPr>
        <w:spacing w:after="0" w:line="1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24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December 2017, a wholly owned subsidiary of ours entered into an intercompany loan agreement with Privateer Holdings pursuant to which Privateer Holdings agreed to loan us up to $ 1.0 million, which bears interest at a floating rate of 2.54%. The term of the loan is two years with options to renew the loan for two year periods.</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In December 2017, Privateer Holdings loaned certain of our wholly owned subsidiaries an aggregate of $1.7 million pursuant to loan agreements, which loans are non-interest bearing and are payable upon demand. As of March 31, 2018, $2.2 million remained outstanding under these loans.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Services Agreement</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In February 2018, we entered into an agreement with Privateer Holdings, pursuant to which Privateer Holdings provides limited back office functions to us including legal, marketing and public relations, tax accounting and engineering services on an as-requested basis. Pursuant to this agreement, we pay Privateer Holdings a monthly services fee that is based on our proportional share of the actual costs incurred by Privateer Holdings in performing the requested services. Personnel compensation is charged at cost plus a 3.0% markup and any other associated expenses incurred on our behalf are charged at cost. This agreement will remain in effect until terminated by us or Privateer Holdings on 90 days’ notice.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February 2018, one of our wholly owned subsidiaries entered into a brand licensing agreement with a wholly owned subsidiary of Privateer Holdings, pursuant to which we obtained exclusive rights in Canada for adult use for the following brands: Marley Natural, Irisa, Goodship, Grail, Dutchy, Wallops and Head Light. Pursuant to the brand licensing agreement, we will pay to Privateer Holdings’ subsidiary royalties between 2.5% and 7.5% of the net revenue generated by the licensed products. This agreement is terminable for any reason by either party on six months’ notice prior to the expiration of each automatically renewing five-year term commencing from the first five-year period that ends in February 2023.</w:t>
      </w:r>
    </w:p>
    <w:p>
      <w:pPr>
        <w:spacing w:after="0" w:line="205"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In February 2018, we entered into a data license agreement with a wholly owned subsidiary of Privateer Holdings. Pursuant to this agreement, we received a non-exclusive, perpetual license to use data on Canadian customers’ engagement of Leafly Holdings, Inc.’s website. We pay an annual license fee of C$9,000. This agreement will remain in effect until terminated by us or Leafly Holdings, Inc. on 90 days’ notice.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8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We intend to enter into indemnification agreements with each of our directors and officers. These agreements, among other things, require us to indemnify an indemnitee to the fullest extent permitted by applicable law, including indemnification of expenses such as attorneys’ fees, judgments, fines and settlement amounts incurred by the indemnitee in any action or proceeding, including any action or proceeding by us or in our right, arising out of the person’s services as a director or officer.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Related-Party Transaction Policy</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will adopt a formal written policy in connection with this offering that our executive officers, directors, key employees, holders of more than 5% of any class of our voting securities, and any member of the immediate family of and any entity affiliated with any of the foregoing persons, are not permitted to enter into a related-party transaction with us without the prior consent of our audit committee, or other independent body of our board of directors in the event it is inappropriate for our audit committee to review such transaction due to a conflict of interest. Any request for us to enter into a transaction with an executive officer, director, principal stockholder or any of their immediate family</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members or affiliates in which the amount involved exceeds $120,000 will be required to first be presented to our audit committee for review, consideration and approval. In approving or rejecting any such proposal, our audit committee will consider the relevant facts and circumstances available and deemed relevant to our audit committee, including, but not limited to, whether the transaction will be on terms no less favorable than terms generally available to an unaffiliated third party under the same or similar circumstances and the extent of the related party’s interest in the transaction.</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342"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March 31, 2018, after giving effect to the conversion of all of our Series A preferred stock into Class 2 common stock, by:</w:t>
      </w:r>
    </w:p>
    <w:p>
      <w:pPr>
        <w:spacing w:after="0" w:line="224" w:lineRule="exact"/>
        <w:rPr>
          <w:sz w:val="20"/>
          <w:szCs w:val="20"/>
          <w:color w:val="auto"/>
        </w:rPr>
      </w:pPr>
    </w:p>
    <w:p>
      <w:pPr>
        <w:ind w:left="520" w:hanging="316"/>
        <w:spacing w:after="0"/>
        <w:tabs>
          <w:tab w:leader="none" w:pos="520" w:val="left"/>
        </w:tabs>
        <w:numPr>
          <w:ilvl w:val="0"/>
          <w:numId w:val="61"/>
        </w:numPr>
        <w:rPr>
          <w:rFonts w:ascii="Arial" w:cs="Arial" w:eastAsia="Arial" w:hAnsi="Arial"/>
          <w:sz w:val="15"/>
          <w:szCs w:val="15"/>
          <w:color w:val="auto"/>
        </w:rPr>
      </w:pPr>
      <w:r>
        <w:rPr>
          <w:rFonts w:ascii="Arial" w:cs="Arial" w:eastAsia="Arial" w:hAnsi="Arial"/>
          <w:sz w:val="18"/>
          <w:szCs w:val="18"/>
          <w:color w:val="auto"/>
        </w:rPr>
        <w:t>each person, or group of affiliated persons, known by us to beneficially own more than 5% of our capital stock;</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61"/>
        </w:numPr>
        <w:rPr>
          <w:rFonts w:ascii="Arial" w:cs="Arial" w:eastAsia="Arial" w:hAnsi="Arial"/>
          <w:sz w:val="15"/>
          <w:szCs w:val="15"/>
          <w:color w:val="auto"/>
        </w:rPr>
      </w:pPr>
      <w:r>
        <w:rPr>
          <w:rFonts w:ascii="Arial" w:cs="Arial" w:eastAsia="Arial" w:hAnsi="Arial"/>
          <w:sz w:val="18"/>
          <w:szCs w:val="18"/>
          <w:color w:val="auto"/>
        </w:rPr>
        <w:t>each of our named executive officers;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61"/>
        </w:numPr>
        <w:rPr>
          <w:rFonts w:ascii="Arial" w:cs="Arial" w:eastAsia="Arial" w:hAnsi="Arial"/>
          <w:sz w:val="15"/>
          <w:szCs w:val="15"/>
          <w:color w:val="auto"/>
        </w:rPr>
      </w:pPr>
      <w:r>
        <w:rPr>
          <w:rFonts w:ascii="Arial" w:cs="Arial" w:eastAsia="Arial" w:hAnsi="Arial"/>
          <w:sz w:val="18"/>
          <w:szCs w:val="18"/>
          <w:color w:val="auto"/>
        </w:rPr>
        <w:t>each of our directors; and</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61"/>
        </w:numPr>
        <w:rPr>
          <w:rFonts w:ascii="Arial" w:cs="Arial" w:eastAsia="Arial" w:hAnsi="Arial"/>
          <w:sz w:val="15"/>
          <w:szCs w:val="15"/>
          <w:color w:val="auto"/>
        </w:rPr>
      </w:pPr>
      <w:r>
        <w:rPr>
          <w:rFonts w:ascii="Arial" w:cs="Arial" w:eastAsia="Arial" w:hAnsi="Arial"/>
          <w:sz w:val="18"/>
          <w:szCs w:val="18"/>
          <w:color w:val="auto"/>
        </w:rPr>
        <w:t>all of our executive officers and directors as a group.</w:t>
      </w:r>
    </w:p>
    <w:p>
      <w:pPr>
        <w:spacing w:after="0" w:line="212" w:lineRule="exact"/>
        <w:rPr>
          <w:sz w:val="20"/>
          <w:szCs w:val="20"/>
          <w:color w:val="auto"/>
        </w:rPr>
      </w:pPr>
    </w:p>
    <w:p>
      <w:pPr>
        <w:ind w:left="200" w:right="180" w:firstLine="331"/>
        <w:spacing w:after="0" w:line="248" w:lineRule="auto"/>
        <w:rPr>
          <w:sz w:val="20"/>
          <w:szCs w:val="20"/>
          <w:color w:val="auto"/>
        </w:rPr>
      </w:pPr>
      <w:r>
        <w:rPr>
          <w:rFonts w:ascii="Arial" w:cs="Arial" w:eastAsia="Arial" w:hAnsi="Arial"/>
          <w:sz w:val="17"/>
          <w:szCs w:val="17"/>
          <w:color w:val="auto"/>
        </w:rPr>
        <w:t>The percentage of shares beneficially owned before the offering shown in the table is based on shares of common stock outstanding as of March 31, 2018, after giving effect to the conversion of all of our Series A preferred stock into Class 2 common stock. The</w:t>
      </w:r>
    </w:p>
    <w:p>
      <w:pPr>
        <w:spacing w:after="0" w:line="1" w:lineRule="exact"/>
        <w:rPr>
          <w:sz w:val="20"/>
          <w:szCs w:val="20"/>
          <w:color w:val="auto"/>
        </w:rPr>
      </w:pPr>
    </w:p>
    <w:p>
      <w:pPr>
        <w:ind w:left="200" w:right="340"/>
        <w:spacing w:after="0" w:line="243" w:lineRule="auto"/>
        <w:rPr>
          <w:sz w:val="20"/>
          <w:szCs w:val="20"/>
          <w:color w:val="auto"/>
        </w:rPr>
      </w:pPr>
      <w:r>
        <w:rPr>
          <w:rFonts w:ascii="Arial" w:cs="Arial" w:eastAsia="Arial" w:hAnsi="Arial"/>
          <w:sz w:val="18"/>
          <w:szCs w:val="18"/>
          <w:color w:val="auto"/>
        </w:rPr>
        <w:t>percentage of shares beneficially owned after this offering assumes the sale by us of shares of Class 2 common stock in this offering.</w:t>
      </w:r>
    </w:p>
    <w:p>
      <w:pPr>
        <w:spacing w:after="0" w:line="200" w:lineRule="exact"/>
        <w:rPr>
          <w:sz w:val="20"/>
          <w:szCs w:val="20"/>
          <w:color w:val="auto"/>
        </w:rPr>
      </w:pPr>
    </w:p>
    <w:p>
      <w:pPr>
        <w:spacing w:after="0" w:line="21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stock options that are exercisable within 60 days of February 28, 2018. Our shares of Class 2 common stock issuable pursuant to stock options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208"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Unless otherwise indicated, the address of each beneficial owner listed in the table below is c/o Tilray, Inc., 1920 Eastlake Avenue E., Seattle, WA 98102.</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gridSpan w:val="5"/>
          </w:tcPr>
          <w:p>
            <w:pPr>
              <w:jc w:val="center"/>
              <w:ind w:right="122"/>
              <w:spacing w:after="0"/>
              <w:rPr>
                <w:sz w:val="20"/>
                <w:szCs w:val="20"/>
                <w:color w:val="auto"/>
              </w:rPr>
            </w:pPr>
            <w:r>
              <w:rPr>
                <w:rFonts w:ascii="Arial" w:cs="Arial" w:eastAsia="Arial" w:hAnsi="Arial"/>
                <w:sz w:val="13"/>
                <w:szCs w:val="13"/>
                <w:b w:val="1"/>
                <w:bCs w:val="1"/>
                <w:color w:val="auto"/>
                <w:w w:val="95"/>
              </w:rPr>
              <w:t>Shares Beneficially</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0" w:type="dxa"/>
            <w:vAlign w:val="bottom"/>
            <w:gridSpan w:val="6"/>
          </w:tcPr>
          <w:p>
            <w:pPr>
              <w:jc w:val="center"/>
              <w:ind w:right="880"/>
              <w:spacing w:after="0"/>
              <w:rPr>
                <w:sz w:val="20"/>
                <w:szCs w:val="20"/>
                <w:color w:val="auto"/>
              </w:rPr>
            </w:pPr>
            <w:r>
              <w:rPr>
                <w:rFonts w:ascii="Arial" w:cs="Arial" w:eastAsia="Arial" w:hAnsi="Arial"/>
                <w:sz w:val="13"/>
                <w:szCs w:val="13"/>
                <w:b w:val="1"/>
                <w:bCs w:val="1"/>
                <w:color w:val="auto"/>
                <w:w w:val="97"/>
              </w:rPr>
              <w:t>Shares Beneficially</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ind w:left="86"/>
              <w:spacing w:after="0" w:line="135" w:lineRule="exact"/>
              <w:rPr>
                <w:sz w:val="20"/>
                <w:szCs w:val="20"/>
                <w:color w:val="auto"/>
              </w:rPr>
            </w:pPr>
            <w:r>
              <w:rPr>
                <w:rFonts w:ascii="Arial" w:cs="Arial" w:eastAsia="Arial" w:hAnsi="Arial"/>
                <w:sz w:val="13"/>
                <w:szCs w:val="13"/>
                <w:b w:val="1"/>
                <w:bCs w:val="1"/>
                <w:color w:val="auto"/>
                <w:w w:val="96"/>
              </w:rPr>
              <w:t>Owned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5"/>
          </w:tcPr>
          <w:p>
            <w:pPr>
              <w:jc w:val="center"/>
              <w:ind w:right="1060"/>
              <w:spacing w:after="0" w:line="135" w:lineRule="exact"/>
              <w:rPr>
                <w:sz w:val="20"/>
                <w:szCs w:val="20"/>
                <w:color w:val="auto"/>
              </w:rPr>
            </w:pPr>
            <w:r>
              <w:rPr>
                <w:rFonts w:ascii="Arial" w:cs="Arial" w:eastAsia="Arial" w:hAnsi="Arial"/>
                <w:sz w:val="13"/>
                <w:szCs w:val="13"/>
                <w:b w:val="1"/>
                <w:bCs w:val="1"/>
                <w:color w:val="auto"/>
                <w:w w:val="93"/>
              </w:rPr>
              <w:t>Owned After the</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ind w:right="282"/>
              <w:spacing w:after="0"/>
              <w:rPr>
                <w:sz w:val="20"/>
                <w:szCs w:val="20"/>
                <w:color w:val="auto"/>
              </w:rPr>
            </w:pPr>
            <w:r>
              <w:rPr>
                <w:rFonts w:ascii="Arial" w:cs="Arial" w:eastAsia="Arial" w:hAnsi="Arial"/>
                <w:sz w:val="13"/>
                <w:szCs w:val="13"/>
                <w:b w:val="1"/>
                <w:bCs w:val="1"/>
                <w:color w:val="auto"/>
                <w:w w:val="93"/>
              </w:rPr>
              <w:t>Prior to Offering</w:t>
            </w: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rPr>
              <w:t>%of</w:t>
            </w: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3"/>
                <w:szCs w:val="13"/>
                <w:b w:val="1"/>
                <w:bCs w:val="1"/>
                <w:color w:val="auto"/>
                <w:w w:val="94"/>
              </w:rPr>
              <w:t>Offering</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2"/>
              </w:rPr>
              <w:t>%of</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80" w:type="dxa"/>
            <w:vAlign w:val="bottom"/>
            <w:gridSpan w:val="2"/>
          </w:tcPr>
          <w:p>
            <w:pPr>
              <w:ind w:left="540"/>
              <w:spacing w:after="0" w:line="135" w:lineRule="exact"/>
              <w:rPr>
                <w:sz w:val="20"/>
                <w:szCs w:val="20"/>
                <w:color w:val="auto"/>
              </w:rPr>
            </w:pPr>
            <w:r>
              <w:rPr>
                <w:rFonts w:ascii="Arial" w:cs="Arial" w:eastAsia="Arial" w:hAnsi="Arial"/>
                <w:sz w:val="13"/>
                <w:szCs w:val="13"/>
                <w:b w:val="1"/>
                <w:bCs w:val="1"/>
                <w:color w:val="auto"/>
              </w:rPr>
              <w:t>Class 1</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299"/>
              <w:spacing w:after="0" w:line="135" w:lineRule="exact"/>
              <w:rPr>
                <w:sz w:val="20"/>
                <w:szCs w:val="20"/>
                <w:color w:val="auto"/>
              </w:rPr>
            </w:pPr>
            <w:r>
              <w:rPr>
                <w:rFonts w:ascii="Arial" w:cs="Arial" w:eastAsia="Arial" w:hAnsi="Arial"/>
                <w:sz w:val="13"/>
                <w:szCs w:val="13"/>
                <w:b w:val="1"/>
                <w:bCs w:val="1"/>
                <w:color w:val="auto"/>
              </w:rPr>
              <w:t>Class 2</w:t>
            </w:r>
          </w:p>
        </w:tc>
        <w:tc>
          <w:tcPr>
            <w:tcW w:w="220" w:type="dxa"/>
            <w:vAlign w:val="bottom"/>
          </w:tcPr>
          <w:p>
            <w:pPr>
              <w:spacing w:after="0"/>
              <w:rPr>
                <w:sz w:val="11"/>
                <w:szCs w:val="11"/>
                <w:color w:val="auto"/>
              </w:rPr>
            </w:pPr>
          </w:p>
        </w:tc>
        <w:tc>
          <w:tcPr>
            <w:tcW w:w="8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Total</w:t>
            </w:r>
          </w:p>
        </w:tc>
        <w:tc>
          <w:tcPr>
            <w:tcW w:w="1080" w:type="dxa"/>
            <w:vAlign w:val="bottom"/>
            <w:gridSpan w:val="2"/>
          </w:tcPr>
          <w:p>
            <w:pPr>
              <w:ind w:left="560"/>
              <w:spacing w:after="0" w:line="135" w:lineRule="exact"/>
              <w:rPr>
                <w:sz w:val="20"/>
                <w:szCs w:val="20"/>
                <w:color w:val="auto"/>
              </w:rPr>
            </w:pPr>
            <w:r>
              <w:rPr>
                <w:rFonts w:ascii="Arial" w:cs="Arial" w:eastAsia="Arial" w:hAnsi="Arial"/>
                <w:sz w:val="13"/>
                <w:szCs w:val="13"/>
                <w:b w:val="1"/>
                <w:bCs w:val="1"/>
                <w:color w:val="auto"/>
              </w:rPr>
              <w:t>Class 1</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Class 2</w:t>
            </w:r>
          </w:p>
        </w:tc>
        <w:tc>
          <w:tcPr>
            <w:tcW w:w="220" w:type="dxa"/>
            <w:vAlign w:val="bottom"/>
          </w:tcPr>
          <w:p>
            <w:pPr>
              <w:spacing w:after="0"/>
              <w:rPr>
                <w:sz w:val="11"/>
                <w:szCs w:val="11"/>
                <w:color w:val="auto"/>
              </w:rPr>
            </w:pPr>
          </w:p>
        </w:tc>
        <w:tc>
          <w:tcPr>
            <w:tcW w:w="5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gridSpan w:val="2"/>
            <w:vMerge w:val="restart"/>
          </w:tcPr>
          <w:p>
            <w:pPr>
              <w:jc w:val="center"/>
              <w:ind w:right="440"/>
              <w:spacing w:after="0" w:line="135" w:lineRule="exact"/>
              <w:rPr>
                <w:sz w:val="20"/>
                <w:szCs w:val="20"/>
                <w:color w:val="auto"/>
              </w:rPr>
            </w:pPr>
            <w:r>
              <w:rPr>
                <w:rFonts w:ascii="Arial" w:cs="Arial" w:eastAsia="Arial" w:hAnsi="Arial"/>
                <w:sz w:val="13"/>
                <w:szCs w:val="13"/>
                <w:b w:val="1"/>
                <w:bCs w:val="1"/>
                <w:color w:val="auto"/>
                <w:w w:val="93"/>
              </w:rPr>
              <w:t>Voting</w:t>
            </w: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vMerge w:val="restart"/>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120" w:type="dxa"/>
            <w:vAlign w:val="bottom"/>
            <w:gridSpan w:val="3"/>
          </w:tcPr>
          <w:p>
            <w:pPr>
              <w:spacing w:after="0"/>
              <w:rPr>
                <w:sz w:val="20"/>
                <w:szCs w:val="20"/>
                <w:color w:val="auto"/>
              </w:rPr>
            </w:pPr>
            <w:r>
              <w:rPr>
                <w:rFonts w:ascii="Arial" w:cs="Arial" w:eastAsia="Arial" w:hAnsi="Arial"/>
                <w:sz w:val="13"/>
                <w:szCs w:val="13"/>
                <w:b w:val="1"/>
                <w:bCs w:val="1"/>
                <w:color w:val="auto"/>
              </w:rPr>
              <w:t>Name of Beneficial Owner</w:t>
            </w:r>
          </w:p>
        </w:tc>
        <w:tc>
          <w:tcPr>
            <w:tcW w:w="1080" w:type="dxa"/>
            <w:vAlign w:val="bottom"/>
            <w:gridSpan w:val="2"/>
          </w:tcPr>
          <w:p>
            <w:pPr>
              <w:ind w:left="200"/>
              <w:spacing w:after="0"/>
              <w:rPr>
                <w:sz w:val="20"/>
                <w:szCs w:val="20"/>
                <w:color w:val="auto"/>
              </w:rPr>
            </w:pPr>
            <w:r>
              <w:rPr>
                <w:rFonts w:ascii="Arial" w:cs="Arial" w:eastAsia="Arial" w:hAnsi="Arial"/>
                <w:sz w:val="13"/>
                <w:szCs w:val="13"/>
                <w:b w:val="1"/>
                <w:bCs w:val="1"/>
                <w:color w:val="auto"/>
              </w:rPr>
              <w:t>Number</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2"/>
              </w:rPr>
              <w:t>Percent</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Number</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Percent</w:t>
            </w:r>
          </w:p>
        </w:tc>
        <w:tc>
          <w:tcPr>
            <w:tcW w:w="10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8"/>
              </w:rPr>
              <w:t>Power+</w:t>
            </w:r>
          </w:p>
        </w:tc>
        <w:tc>
          <w:tcPr>
            <w:tcW w:w="1080" w:type="dxa"/>
            <w:vAlign w:val="bottom"/>
            <w:gridSpan w:val="2"/>
          </w:tcPr>
          <w:p>
            <w:pPr>
              <w:ind w:left="200"/>
              <w:spacing w:after="0"/>
              <w:rPr>
                <w:sz w:val="20"/>
                <w:szCs w:val="20"/>
                <w:color w:val="auto"/>
              </w:rPr>
            </w:pPr>
            <w:r>
              <w:rPr>
                <w:rFonts w:ascii="Arial" w:cs="Arial" w:eastAsia="Arial" w:hAnsi="Arial"/>
                <w:sz w:val="13"/>
                <w:szCs w:val="13"/>
                <w:b w:val="1"/>
                <w:bCs w:val="1"/>
                <w:color w:val="auto"/>
              </w:rPr>
              <w:t>Number</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6"/>
              </w:rPr>
              <w:t>Percent</w:t>
            </w: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rPr>
              <w:t>Number   Percent</w:t>
            </w:r>
          </w:p>
        </w:tc>
        <w:tc>
          <w:tcPr>
            <w:tcW w:w="72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98"/>
              </w:rPr>
              <w:t>Power+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10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Greater than 5% stockholders:</w:t>
            </w:r>
          </w:p>
        </w:tc>
        <w:tc>
          <w:tcPr>
            <w:tcW w:w="8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120" w:type="dxa"/>
            <w:vAlign w:val="bottom"/>
            <w:gridSpan w:val="3"/>
          </w:tcPr>
          <w:p>
            <w:pPr>
              <w:spacing w:after="0"/>
              <w:rPr>
                <w:sz w:val="20"/>
                <w:szCs w:val="20"/>
                <w:color w:val="auto"/>
              </w:rPr>
            </w:pPr>
            <w:r>
              <w:rPr>
                <w:rFonts w:ascii="Arial" w:cs="Arial" w:eastAsia="Arial" w:hAnsi="Arial"/>
                <w:sz w:val="16"/>
                <w:szCs w:val="16"/>
                <w:color w:val="auto"/>
              </w:rPr>
              <w:t>Privateer Holdings,</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00" w:type="dxa"/>
            <w:vAlign w:val="bottom"/>
            <w:gridSpan w:val="2"/>
          </w:tcPr>
          <w:p>
            <w:pPr>
              <w:ind w:left="140"/>
              <w:spacing w:after="0"/>
              <w:rPr>
                <w:sz w:val="20"/>
                <w:szCs w:val="20"/>
                <w:color w:val="auto"/>
              </w:rPr>
            </w:pPr>
            <w:r>
              <w:rPr>
                <w:rFonts w:ascii="Arial" w:cs="Arial" w:eastAsia="Arial" w:hAnsi="Arial"/>
                <w:sz w:val="16"/>
                <w:szCs w:val="16"/>
                <w:color w:val="auto"/>
              </w:rPr>
              <w:t>Inc.</w:t>
            </w:r>
          </w:p>
        </w:tc>
        <w:tc>
          <w:tcPr>
            <w:tcW w:w="880" w:type="dxa"/>
            <w:vAlign w:val="bottom"/>
          </w:tcPr>
          <w:p>
            <w:pPr>
              <w:jc w:val="right"/>
              <w:spacing w:after="0"/>
              <w:rPr>
                <w:sz w:val="20"/>
                <w:szCs w:val="20"/>
                <w:color w:val="auto"/>
              </w:rPr>
            </w:pPr>
            <w:r>
              <w:rPr>
                <w:rFonts w:ascii="Arial" w:cs="Arial" w:eastAsia="Arial" w:hAnsi="Arial"/>
                <w:sz w:val="16"/>
                <w:szCs w:val="16"/>
                <w:color w:val="auto"/>
              </w:rPr>
              <w:t>75,000,000</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6"/>
                <w:szCs w:val="16"/>
                <w:color w:val="auto"/>
              </w:rPr>
              <w:t>100%</w:t>
            </w:r>
          </w:p>
        </w:tc>
        <w:tc>
          <w:tcPr>
            <w:tcW w:w="880" w:type="dxa"/>
            <w:vAlign w:val="bottom"/>
          </w:tcPr>
          <w:p>
            <w:pPr>
              <w:jc w:val="right"/>
              <w:spacing w:after="0"/>
              <w:rPr>
                <w:sz w:val="20"/>
                <w:szCs w:val="20"/>
                <w:color w:val="auto"/>
              </w:rPr>
            </w:pPr>
            <w:r>
              <w:rPr>
                <w:rFonts w:ascii="Arial" w:cs="Arial" w:eastAsia="Arial" w:hAnsi="Arial"/>
                <w:sz w:val="16"/>
                <w:szCs w:val="16"/>
                <w:color w:val="auto"/>
              </w:rPr>
              <w:t>75,000,000</w:t>
            </w:r>
          </w:p>
        </w:tc>
        <w:tc>
          <w:tcPr>
            <w:tcW w:w="2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Directors and Named Executive</w:t>
            </w:r>
          </w:p>
        </w:tc>
        <w:tc>
          <w:tcPr>
            <w:tcW w:w="8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Officers:</w:t>
            </w: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3"/>
                <w:szCs w:val="13"/>
                <w:color w:val="auto"/>
              </w:rPr>
              <w:t>Brendan Kennedy</w:t>
            </w:r>
            <w:r>
              <w:rPr>
                <w:rFonts w:ascii="Arial" w:cs="Arial" w:eastAsia="Arial" w:hAnsi="Arial"/>
                <w:sz w:val="21"/>
                <w:szCs w:val="21"/>
                <w:color w:val="auto"/>
                <w:vertAlign w:val="superscript"/>
              </w:rPr>
              <w:t>(1)</w:t>
            </w:r>
          </w:p>
        </w:tc>
        <w:tc>
          <w:tcPr>
            <w:tcW w:w="1080" w:type="dxa"/>
            <w:vAlign w:val="bottom"/>
            <w:gridSpan w:val="2"/>
          </w:tcPr>
          <w:p>
            <w:pPr>
              <w:jc w:val="right"/>
              <w:ind w:right="15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Edward Wood Pastorius, Jr.</w:t>
            </w:r>
          </w:p>
        </w:tc>
        <w:tc>
          <w:tcPr>
            <w:tcW w:w="1080" w:type="dxa"/>
            <w:vAlign w:val="bottom"/>
            <w:tcBorders>
              <w:right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gridSpan w:val="3"/>
          </w:tcPr>
          <w:p>
            <w:pPr>
              <w:spacing w:after="0"/>
              <w:rPr>
                <w:sz w:val="20"/>
                <w:szCs w:val="20"/>
                <w:color w:val="auto"/>
              </w:rPr>
            </w:pPr>
            <w:r>
              <w:rPr>
                <w:rFonts w:ascii="Arial" w:cs="Arial" w:eastAsia="Arial" w:hAnsi="Arial"/>
                <w:sz w:val="16"/>
                <w:szCs w:val="16"/>
                <w:color w:val="auto"/>
              </w:rPr>
              <w:t>Michael Auerbach</w:t>
            </w:r>
          </w:p>
        </w:tc>
        <w:tc>
          <w:tcPr>
            <w:tcW w:w="1080" w:type="dxa"/>
            <w:vAlign w:val="bottom"/>
            <w:gridSpan w:val="2"/>
          </w:tcPr>
          <w:p>
            <w:pPr>
              <w:jc w:val="right"/>
              <w:ind w:right="157"/>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current executive officers and</w:t>
            </w: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directors as a group</w:t>
            </w:r>
          </w:p>
        </w:tc>
        <w:tc>
          <w:tcPr>
            <w:tcW w:w="1080" w:type="dxa"/>
            <w:vAlign w:val="bottom"/>
            <w:tcBorders>
              <w:right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520" w:hanging="316"/>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hanging="316"/>
        <w:spacing w:after="0" w:line="238"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the voting power with respect to all shares of our Class 1 common stock and Class 2 common stock, voting as a single class. Each share of Class 1 common stock will be entitled to three votes per share and each share of Class 2 common stock will be entitled to three votes per share. The holders of Class 1 common stock and Class 2 common stock will vote together on all matters (including the election of directors) submitted to a vote of stockholders, except under limited circumstances described in the section titled “</w:t>
      </w:r>
      <w:r>
        <w:rPr>
          <w:rFonts w:ascii="Arial" w:cs="Arial" w:eastAsia="Arial" w:hAnsi="Arial"/>
          <w:sz w:val="18"/>
          <w:szCs w:val="18"/>
          <w:i w:val="1"/>
          <w:iCs w:val="1"/>
          <w:color w:val="auto"/>
        </w:rPr>
        <w:t>Description of Capital Stock—Common Stock—Voting Rights</w:t>
      </w:r>
      <w:r>
        <w:rPr>
          <w:rFonts w:ascii="Arial" w:cs="Arial" w:eastAsia="Arial" w:hAnsi="Arial"/>
          <w:sz w:val="18"/>
          <w:szCs w:val="18"/>
          <w:color w:val="auto"/>
        </w:rPr>
        <w:t>.”</w:t>
      </w:r>
    </w:p>
    <w:p>
      <w:pPr>
        <w:spacing w:after="0" w:line="27" w:lineRule="exact"/>
        <w:rPr>
          <w:sz w:val="20"/>
          <w:szCs w:val="20"/>
          <w:color w:val="auto"/>
        </w:rPr>
      </w:pPr>
    </w:p>
    <w:p>
      <w:pPr>
        <w:ind w:left="520" w:right="380" w:hanging="316"/>
        <w:spacing w:after="0" w:line="246"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Kennedy, an executive officer and member of our board, is the Executive Chairman and member of the board of directors of Privateer Holdings. The address for Privateer Holdings is 1920 Eastlake Avenue E., Seattle, WA 98102.</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40"/>
          </w:cols>
          <w:pgMar w:left="240" w:top="459" w:right="6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34"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following is a summary of some of the terms of our capital stock and certain provisions of our amended and restated certificate of incorporation and amended and restated bylaws, each to be in effect immediately after the closing of the offering are summaries and are qualified by reference to these documents. Copies of these documents will be filed as exhibits to the registration statement of which this prospectus is a part.</w:t>
      </w:r>
    </w:p>
    <w:p>
      <w:pPr>
        <w:spacing w:after="0" w:line="202"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w:t>
      </w:r>
    </w:p>
    <w:p>
      <w:pPr>
        <w:spacing w:after="0" w:line="99"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are a corporation organized under the laws of the State of Delaware. We were incorporated in Delaware on January 25, 2018 under the name Tilray, Inc. Our affairs are governed by our amended and restated certificate of incorporation and amended and restated bylaws, each of which will come into effect immediately prior to the completion of this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85" w:lineRule="exact"/>
        <w:rPr>
          <w:sz w:val="20"/>
          <w:szCs w:val="20"/>
          <w:color w:val="auto"/>
        </w:rPr>
      </w:pPr>
    </w:p>
    <w:p>
      <w:pPr>
        <w:ind w:left="540"/>
        <w:spacing w:after="0"/>
        <w:tabs>
          <w:tab w:leader="none" w:pos="8180" w:val="left"/>
        </w:tabs>
        <w:rPr>
          <w:sz w:val="20"/>
          <w:szCs w:val="20"/>
          <w:color w:val="auto"/>
        </w:rPr>
      </w:pPr>
      <w:r>
        <w:rPr>
          <w:rFonts w:ascii="Arial" w:cs="Arial" w:eastAsia="Arial" w:hAnsi="Arial"/>
          <w:sz w:val="18"/>
          <w:szCs w:val="18"/>
          <w:color w:val="auto"/>
        </w:rPr>
        <w:t>Immediately after the completion of this offering, our authorized capital stock will be</w:t>
      </w:r>
      <w:r>
        <w:rPr>
          <w:sz w:val="20"/>
          <w:szCs w:val="20"/>
          <w:color w:val="auto"/>
        </w:rPr>
        <w:tab/>
      </w:r>
      <w:r>
        <w:rPr>
          <w:rFonts w:ascii="Arial" w:cs="Arial" w:eastAsia="Arial" w:hAnsi="Arial"/>
          <w:sz w:val="17"/>
          <w:szCs w:val="17"/>
          <w:color w:val="auto"/>
        </w:rPr>
        <w:t>, divided into:</w:t>
      </w:r>
    </w:p>
    <w:p>
      <w:pPr>
        <w:spacing w:after="0" w:line="239" w:lineRule="exact"/>
        <w:rPr>
          <w:sz w:val="20"/>
          <w:szCs w:val="20"/>
          <w:color w:val="auto"/>
        </w:rPr>
      </w:pPr>
    </w:p>
    <w:p>
      <w:pPr>
        <w:ind w:left="1520" w:hanging="1316"/>
        <w:spacing w:after="0"/>
        <w:tabs>
          <w:tab w:leader="none" w:pos="1520" w:val="left"/>
        </w:tabs>
        <w:numPr>
          <w:ilvl w:val="0"/>
          <w:numId w:val="65"/>
        </w:numPr>
        <w:rPr>
          <w:rFonts w:ascii="Arial" w:cs="Arial" w:eastAsia="Arial" w:hAnsi="Arial"/>
          <w:sz w:val="15"/>
          <w:szCs w:val="15"/>
          <w:color w:val="auto"/>
        </w:rPr>
      </w:pPr>
      <w:r>
        <w:rPr>
          <w:rFonts w:ascii="Arial" w:cs="Arial" w:eastAsia="Arial" w:hAnsi="Arial"/>
          <w:sz w:val="18"/>
          <w:szCs w:val="18"/>
          <w:color w:val="auto"/>
        </w:rPr>
        <w:t>shares of Class 1 common stock with a par value of $0.0001 per share;</w:t>
      </w:r>
    </w:p>
    <w:p>
      <w:pPr>
        <w:spacing w:after="0" w:line="36" w:lineRule="exact"/>
        <w:rPr>
          <w:rFonts w:ascii="Arial" w:cs="Arial" w:eastAsia="Arial" w:hAnsi="Arial"/>
          <w:sz w:val="15"/>
          <w:szCs w:val="15"/>
          <w:color w:val="auto"/>
        </w:rPr>
      </w:pPr>
    </w:p>
    <w:p>
      <w:pPr>
        <w:ind w:left="1520" w:hanging="1316"/>
        <w:spacing w:after="0"/>
        <w:tabs>
          <w:tab w:leader="none" w:pos="1520" w:val="left"/>
        </w:tabs>
        <w:numPr>
          <w:ilvl w:val="0"/>
          <w:numId w:val="65"/>
        </w:numPr>
        <w:rPr>
          <w:rFonts w:ascii="Arial" w:cs="Arial" w:eastAsia="Arial" w:hAnsi="Arial"/>
          <w:sz w:val="15"/>
          <w:szCs w:val="15"/>
          <w:color w:val="auto"/>
        </w:rPr>
      </w:pPr>
      <w:r>
        <w:rPr>
          <w:rFonts w:ascii="Arial" w:cs="Arial" w:eastAsia="Arial" w:hAnsi="Arial"/>
          <w:sz w:val="18"/>
          <w:szCs w:val="18"/>
          <w:color w:val="auto"/>
        </w:rPr>
        <w:t>shares of Class 2 common stock with a par value of $0.0001 per share; and</w:t>
      </w:r>
    </w:p>
    <w:p>
      <w:pPr>
        <w:spacing w:after="0" w:line="36" w:lineRule="exact"/>
        <w:rPr>
          <w:rFonts w:ascii="Arial" w:cs="Arial" w:eastAsia="Arial" w:hAnsi="Arial"/>
          <w:sz w:val="15"/>
          <w:szCs w:val="15"/>
          <w:color w:val="auto"/>
        </w:rPr>
      </w:pPr>
    </w:p>
    <w:p>
      <w:pPr>
        <w:ind w:left="1520" w:hanging="1316"/>
        <w:spacing w:after="0"/>
        <w:tabs>
          <w:tab w:leader="none" w:pos="1520" w:val="left"/>
        </w:tabs>
        <w:numPr>
          <w:ilvl w:val="0"/>
          <w:numId w:val="65"/>
        </w:numPr>
        <w:rPr>
          <w:rFonts w:ascii="Arial" w:cs="Arial" w:eastAsia="Arial" w:hAnsi="Arial"/>
          <w:sz w:val="15"/>
          <w:szCs w:val="15"/>
          <w:color w:val="auto"/>
        </w:rPr>
      </w:pPr>
      <w:r>
        <w:rPr>
          <w:rFonts w:ascii="Arial" w:cs="Arial" w:eastAsia="Arial" w:hAnsi="Arial"/>
          <w:sz w:val="18"/>
          <w:szCs w:val="18"/>
          <w:color w:val="auto"/>
        </w:rPr>
        <w:t>undesignated shares of preferred stock with a par value of $0.0001 per share.</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Upon the completion of this offering, and the use of proceeds therefrom, we expect to have 75,000,000 shares of Class 1 common</w:t>
      </w:r>
    </w:p>
    <w:p>
      <w:pPr>
        <w:ind w:left="200"/>
        <w:spacing w:after="0"/>
        <w:tabs>
          <w:tab w:leader="none" w:pos="2540" w:val="left"/>
        </w:tabs>
        <w:rPr>
          <w:sz w:val="20"/>
          <w:szCs w:val="20"/>
          <w:color w:val="auto"/>
        </w:rPr>
      </w:pPr>
      <w:r>
        <w:rPr>
          <w:rFonts w:ascii="Arial" w:cs="Arial" w:eastAsia="Arial" w:hAnsi="Arial"/>
          <w:sz w:val="18"/>
          <w:szCs w:val="18"/>
          <w:color w:val="auto"/>
        </w:rPr>
        <w:t>stock outstanding and</w:t>
      </w:r>
      <w:r>
        <w:rPr>
          <w:sz w:val="20"/>
          <w:szCs w:val="20"/>
          <w:color w:val="auto"/>
        </w:rPr>
        <w:tab/>
      </w:r>
      <w:r>
        <w:rPr>
          <w:rFonts w:ascii="Arial" w:cs="Arial" w:eastAsia="Arial" w:hAnsi="Arial"/>
          <w:sz w:val="17"/>
          <w:szCs w:val="17"/>
          <w:color w:val="auto"/>
        </w:rPr>
        <w:t>shares of Class 2 common stock outstanding.</w:t>
      </w:r>
    </w:p>
    <w:p>
      <w:pPr>
        <w:spacing w:after="0" w:line="212"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The rights and restrictions to which the Class 1 common stock and Class 2 common stock will be prescribed in our amended and restated certificate of incorporation. Our amended and restated certificate of incorporation entitle our board of directors, without stockholder approval, to determine the terms of the undesignated shares of preferred stock issued by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 Rights</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Holders of our Class 1 common stock and Class 2 common stock have identical rights, provided that, except as otherwise expressly provided in our certificate of incorporation or required by applicable law, on any matter that is submitted to a vote of our stockholders, each holder of Class 1 common stock is entitled to three votes for each share of Class 1 common stock held by such holder and each holder of Class 2 common stock is entitled to one vote for each share of Class 2 common stock held by such holder.</w:t>
      </w:r>
    </w:p>
    <w:p>
      <w:pPr>
        <w:spacing w:after="0" w:line="202"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Holders of shares of Class 1 common stock and Class 2 common stock will vote together as a single class on all matters (including the election of directors) submitted to a vote of stockholders, except that there will be a separate vote of our Class 1 common stock and Class 2 common stock in the following circumstances:</w:t>
      </w:r>
    </w:p>
    <w:p>
      <w:pPr>
        <w:spacing w:after="0" w:line="230" w:lineRule="exact"/>
        <w:rPr>
          <w:sz w:val="20"/>
          <w:szCs w:val="20"/>
          <w:color w:val="auto"/>
        </w:rPr>
      </w:pPr>
    </w:p>
    <w:p>
      <w:pPr>
        <w:ind w:left="520" w:right="660" w:hanging="316"/>
        <w:spacing w:after="0" w:line="246" w:lineRule="auto"/>
        <w:tabs>
          <w:tab w:leader="none" w:pos="520" w:val="left"/>
        </w:tabs>
        <w:numPr>
          <w:ilvl w:val="0"/>
          <w:numId w:val="66"/>
        </w:numPr>
        <w:rPr>
          <w:rFonts w:ascii="Arial" w:cs="Arial" w:eastAsia="Arial" w:hAnsi="Arial"/>
          <w:sz w:val="15"/>
          <w:szCs w:val="15"/>
          <w:color w:val="auto"/>
        </w:rPr>
      </w:pPr>
      <w:r>
        <w:rPr>
          <w:rFonts w:ascii="Arial" w:cs="Arial" w:eastAsia="Arial" w:hAnsi="Arial"/>
          <w:sz w:val="18"/>
          <w:szCs w:val="18"/>
          <w:color w:val="auto"/>
        </w:rPr>
        <w:t>if we propose to treat the shares of a class of our common stock differently with respect to any dividend or distribution of cash, property or shares of our stock paid or distributed by us;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520" w:hanging="316"/>
        <w:spacing w:after="0" w:line="246" w:lineRule="auto"/>
        <w:tabs>
          <w:tab w:leader="none" w:pos="520" w:val="left"/>
        </w:tabs>
        <w:numPr>
          <w:ilvl w:val="0"/>
          <w:numId w:val="67"/>
        </w:numPr>
        <w:rPr>
          <w:rFonts w:ascii="Arial" w:cs="Arial" w:eastAsia="Arial" w:hAnsi="Arial"/>
          <w:sz w:val="15"/>
          <w:szCs w:val="15"/>
          <w:color w:val="auto"/>
        </w:rPr>
      </w:pPr>
      <w:r>
        <w:rPr>
          <w:rFonts w:ascii="Arial" w:cs="Arial" w:eastAsia="Arial" w:hAnsi="Arial"/>
          <w:sz w:val="18"/>
          <w:szCs w:val="18"/>
          <w:color w:val="auto"/>
        </w:rPr>
        <w:t>if we propose to treat the shares of a class of our common stock differently with respect to any subdivision or combination of the shares of a class of our common stock; or</w:t>
      </w:r>
    </w:p>
    <w:p>
      <w:pPr>
        <w:spacing w:after="0" w:line="102" w:lineRule="exact"/>
        <w:rPr>
          <w:rFonts w:ascii="Arial" w:cs="Arial" w:eastAsia="Arial" w:hAnsi="Arial"/>
          <w:sz w:val="15"/>
          <w:szCs w:val="15"/>
          <w:color w:val="auto"/>
        </w:rPr>
      </w:pPr>
    </w:p>
    <w:p>
      <w:pPr>
        <w:jc w:val="both"/>
        <w:ind w:left="520" w:right="260" w:hanging="316"/>
        <w:spacing w:after="0"/>
        <w:tabs>
          <w:tab w:leader="none" w:pos="520" w:val="left"/>
        </w:tabs>
        <w:numPr>
          <w:ilvl w:val="0"/>
          <w:numId w:val="67"/>
        </w:numPr>
        <w:rPr>
          <w:rFonts w:ascii="Arial" w:cs="Arial" w:eastAsia="Arial" w:hAnsi="Arial"/>
          <w:sz w:val="15"/>
          <w:szCs w:val="15"/>
          <w:color w:val="auto"/>
        </w:rPr>
      </w:pPr>
      <w:r>
        <w:rPr>
          <w:rFonts w:ascii="Arial" w:cs="Arial" w:eastAsia="Arial" w:hAnsi="Arial"/>
          <w:sz w:val="18"/>
          <w:szCs w:val="18"/>
          <w:color w:val="auto"/>
        </w:rPr>
        <w:t>if we propose to treat the shares of a class of our common stock differently in connection with a liquidation, dissolution or change in control (by merger, asset sale or other similar transaction) with respect to any consideration into which the shares are converted or any consideration paid or otherwise distributed to our stockholders.</w:t>
      </w:r>
    </w:p>
    <w:p>
      <w:pPr>
        <w:spacing w:after="0" w:line="203"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In addition, there will be a separate vote of and approval requirement for our Class 1 common stock in order for us to, directly or indirectly, take action in the following circumstances:</w:t>
      </w:r>
    </w:p>
    <w:p>
      <w:pPr>
        <w:spacing w:after="0" w:line="224" w:lineRule="exact"/>
        <w:rPr>
          <w:sz w:val="20"/>
          <w:szCs w:val="20"/>
          <w:color w:val="auto"/>
        </w:rPr>
      </w:pPr>
    </w:p>
    <w:p>
      <w:pPr>
        <w:ind w:left="520" w:right="20" w:hanging="316"/>
        <w:spacing w:after="0" w:line="246" w:lineRule="auto"/>
        <w:tabs>
          <w:tab w:leader="none" w:pos="520" w:val="left"/>
        </w:tabs>
        <w:numPr>
          <w:ilvl w:val="0"/>
          <w:numId w:val="68"/>
        </w:numPr>
        <w:rPr>
          <w:rFonts w:ascii="Arial" w:cs="Arial" w:eastAsia="Arial" w:hAnsi="Arial"/>
          <w:sz w:val="15"/>
          <w:szCs w:val="15"/>
          <w:color w:val="auto"/>
        </w:rPr>
      </w:pPr>
      <w:r>
        <w:rPr>
          <w:rFonts w:ascii="Arial" w:cs="Arial" w:eastAsia="Arial" w:hAnsi="Arial"/>
          <w:sz w:val="18"/>
          <w:szCs w:val="18"/>
          <w:color w:val="auto"/>
        </w:rPr>
        <w:t>if we propose to amend, waive, alter or repeal any provision of our certificate of incorporation or our bylaws in a manner that modifies the voting, conversion or other powers, preferences or other special rights or privileges or restrictions of the Class 1 common stock; or</w:t>
      </w:r>
    </w:p>
    <w:p>
      <w:pPr>
        <w:spacing w:after="0" w:line="102" w:lineRule="exact"/>
        <w:rPr>
          <w:rFonts w:ascii="Arial" w:cs="Arial" w:eastAsia="Arial" w:hAnsi="Arial"/>
          <w:sz w:val="15"/>
          <w:szCs w:val="15"/>
          <w:color w:val="auto"/>
        </w:rPr>
      </w:pPr>
    </w:p>
    <w:p>
      <w:pPr>
        <w:ind w:left="520" w:hanging="316"/>
        <w:spacing w:after="0" w:line="246" w:lineRule="auto"/>
        <w:tabs>
          <w:tab w:leader="none" w:pos="520" w:val="left"/>
        </w:tabs>
        <w:numPr>
          <w:ilvl w:val="0"/>
          <w:numId w:val="68"/>
        </w:numPr>
        <w:rPr>
          <w:rFonts w:ascii="Arial" w:cs="Arial" w:eastAsia="Arial" w:hAnsi="Arial"/>
          <w:sz w:val="15"/>
          <w:szCs w:val="15"/>
          <w:color w:val="auto"/>
        </w:rPr>
      </w:pPr>
      <w:r>
        <w:rPr>
          <w:rFonts w:ascii="Arial" w:cs="Arial" w:eastAsia="Arial" w:hAnsi="Arial"/>
          <w:sz w:val="18"/>
          <w:szCs w:val="18"/>
          <w:color w:val="auto"/>
        </w:rPr>
        <w:t>if we reclassify any outstanding shares of Class 2 common stock into shares having rights as to dividends or liquidation that are senior to the Class 1 common stock or the right to more than one vote for each share thereof.</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Cumulative voting for the election of directors is not provided for in our amended and restated certificate of incorporation, which</w:t>
      </w:r>
    </w:p>
    <w:p>
      <w:pPr>
        <w:ind w:left="200" w:right="80"/>
        <w:spacing w:after="0" w:line="246" w:lineRule="auto"/>
        <w:rPr>
          <w:sz w:val="20"/>
          <w:szCs w:val="20"/>
          <w:color w:val="auto"/>
        </w:rPr>
      </w:pPr>
      <w:r>
        <w:rPr>
          <w:rFonts w:ascii="Arial" w:cs="Arial" w:eastAsia="Arial" w:hAnsi="Arial"/>
          <w:sz w:val="18"/>
          <w:szCs w:val="18"/>
          <w:color w:val="auto"/>
        </w:rPr>
        <w:t>means that, following the closing of this offering, the holders of shares of Class 1 common stock can elect all of the directors then standing for election.</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99"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Subject to preferences that may apply to any shares of preferred stock outstanding at the time, the holders of outstanding shares of Class 1 common stock and Class 2 common stock are entitled to receive dividends out of funds legally available at the times and in the amounts that our board of directors may determine. We do not anticipate paying any cash dividends in the foreseeable future.</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85"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203"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8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Each share of Class 1 common stock is convertible at any time at the option of the holder into one share of Class 2 common stock. In addition, each share of Class 1 common stock will automatically convert into one share of Class 2 common stock upon any transfer, whether or not for value and whether voluntary or involuntary or by operation of law, except for certain transfers described in our certificate of incorporation, including, without limitation, certain transfers for tax and estate planning purposes. In addition, upon the date on which the outstanding shares of Class 1 common stock represent less than 10% of the aggregate number of shares of Class 1 common stock and Class 2 common stock then outstanding, all outstanding shares of Class 1 common stock shall convert automatically into Class 2 common stock, and no additional shares of Class 1 common stock will be issued.</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Rights of Repurchase</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currently have no rights to repurchase shares of our common stock.</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common stock is not entitled to preemptive rights and is not subject redemption.</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200" w:right="480" w:firstLine="331"/>
        <w:spacing w:after="0" w:line="239" w:lineRule="auto"/>
        <w:rPr>
          <w:sz w:val="20"/>
          <w:szCs w:val="20"/>
          <w:color w:val="auto"/>
        </w:rPr>
      </w:pPr>
      <w:r>
        <w:rPr>
          <w:rFonts w:ascii="Arial" w:cs="Arial" w:eastAsia="Arial" w:hAnsi="Arial"/>
          <w:sz w:val="18"/>
          <w:szCs w:val="18"/>
          <w:color w:val="auto"/>
        </w:rPr>
        <w:t>As of December 31, 2017, no shares of Class 2 common stock were issuable upon the exercise of outstanding stock options. Pursuant to the terms of our standard option agreement, we have a right to repurchase shares of our common stock issued upon the exercise of options granted under the 2018 Plan if the holder of such shares ceases providing services for us for any reason. For additional information regarding the terms of these plans, see the section titled “</w:t>
      </w:r>
      <w:r>
        <w:rPr>
          <w:rFonts w:ascii="Arial" w:cs="Arial" w:eastAsia="Arial" w:hAnsi="Arial"/>
          <w:sz w:val="18"/>
          <w:szCs w:val="18"/>
          <w:i w:val="1"/>
          <w:iCs w:val="1"/>
          <w:color w:val="auto"/>
        </w:rPr>
        <w:t>Executive Compensation—Equity Incentive Plans.”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February 2018, we entered into an investor rights agreement which provides certain holders of our Class 2 common stock, including certain holders of 5% of our capital stock, certain registration rights, as set forth below. The registration of shares of our Class 2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selling commissions, of the shares registered pursuant to the demand, piggyback and Form S-3 registrations described below.</w:t>
      </w:r>
    </w:p>
    <w:p>
      <w:pPr>
        <w:spacing w:after="0" w:line="205" w:lineRule="exact"/>
        <w:rPr>
          <w:sz w:val="20"/>
          <w:szCs w:val="20"/>
          <w:color w:val="auto"/>
        </w:rPr>
      </w:pPr>
    </w:p>
    <w:p>
      <w:pPr>
        <w:ind w:left="200" w:right="20" w:firstLine="331"/>
        <w:spacing w:after="0" w:line="257" w:lineRule="auto"/>
        <w:rPr>
          <w:sz w:val="20"/>
          <w:szCs w:val="20"/>
          <w:color w:val="auto"/>
        </w:rPr>
      </w:pPr>
      <w:r>
        <w:rPr>
          <w:rFonts w:ascii="Arial" w:cs="Arial" w:eastAsia="Arial" w:hAnsi="Arial"/>
          <w:sz w:val="17"/>
          <w:szCs w:val="17"/>
          <w:color w:val="auto"/>
        </w:rPr>
        <w:t>Generally, in an underwritten offering, the managing underwriter or underwriters, if any, have the right, subject to specific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as that stockholder can sell all of its shares under Rule 144 of the Securities Act during any three month period.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9"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The holders of 7,794,042 shares of Class 2 common stock will be entitled to certain demand registration rights. At any time beginning 180 days after the closing of this offering, the holders of a majority of these shares may, on not more than two occasions, request that we file a registration to register the offer and sale of all or a portion of their shares.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ind w:left="200" w:right="20" w:firstLine="331"/>
        <w:spacing w:after="0" w:line="252" w:lineRule="auto"/>
        <w:rPr>
          <w:sz w:val="20"/>
          <w:szCs w:val="20"/>
          <w:color w:val="auto"/>
        </w:rPr>
      </w:pPr>
      <w:r>
        <w:rPr>
          <w:rFonts w:ascii="Arial" w:cs="Arial" w:eastAsia="Arial" w:hAnsi="Arial"/>
          <w:sz w:val="17"/>
          <w:szCs w:val="17"/>
          <w:color w:val="auto"/>
        </w:rPr>
        <w:t>If we propose to register the offer and sale of any of our securities under the Securities Act either for our own account or for the account of other security holders following this offering, the holders of 7,794,042 shares of Class 2 common stock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a registration statement on Forms S-4 or S-8 or a registration in which the only shares of Class 2 common stock registered are shares of Class 2 common stock issuable upon conversion of debt securities that are also being registered, the holders of these shares are entitled to notice of the registration and have the right, subject to limitations that the underwriters may impose on the number of shares included in the registration, to include their shares in the registration.</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85"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The holders of 7,794,042 shares of Class 2 common stock will be entitled to certain Form S-3 registration rights. Any holder of such shares may make a request that we register their shares on Form S-3 if we are qualified to file a registration statement on Form S-3 so long as the anticipated aggregate price to the public is not less than C$1,000,000.</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Among other things, our amended and restated certificate of incorporation and amended and restated bylaws will:</w:t>
      </w:r>
    </w:p>
    <w:p>
      <w:pPr>
        <w:spacing w:after="0" w:line="236" w:lineRule="exact"/>
        <w:rPr>
          <w:sz w:val="20"/>
          <w:szCs w:val="20"/>
          <w:color w:val="auto"/>
        </w:rPr>
      </w:pPr>
    </w:p>
    <w:p>
      <w:pPr>
        <w:ind w:left="520" w:right="40" w:hanging="319"/>
        <w:spacing w:after="0" w:line="246" w:lineRule="auto"/>
        <w:tabs>
          <w:tab w:leader="none" w:pos="5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8"/>
          <w:szCs w:val="18"/>
          <w:color w:val="auto"/>
        </w:rPr>
        <w:t>permit our board of directors to issue up to shares of preferred stock, with any rights, preferences and privileges as they may designate, including the right to approve an acquisition or other change of control;</w:t>
      </w:r>
    </w:p>
    <w:p>
      <w:pPr>
        <w:spacing w:after="0" w:line="24" w:lineRule="exact"/>
        <w:rPr>
          <w:sz w:val="20"/>
          <w:szCs w:val="20"/>
          <w:color w:val="auto"/>
        </w:rPr>
      </w:pPr>
    </w:p>
    <w:p>
      <w:pPr>
        <w:ind w:left="520" w:hanging="316"/>
        <w:spacing w:after="0"/>
        <w:tabs>
          <w:tab w:leader="none" w:pos="520" w:val="left"/>
        </w:tabs>
        <w:numPr>
          <w:ilvl w:val="0"/>
          <w:numId w:val="69"/>
        </w:numPr>
        <w:rPr>
          <w:rFonts w:ascii="Arial" w:cs="Arial" w:eastAsia="Arial" w:hAnsi="Arial"/>
          <w:sz w:val="15"/>
          <w:szCs w:val="15"/>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36" w:lineRule="exact"/>
        <w:rPr>
          <w:rFonts w:ascii="Arial" w:cs="Arial" w:eastAsia="Arial" w:hAnsi="Arial"/>
          <w:sz w:val="15"/>
          <w:szCs w:val="15"/>
          <w:color w:val="auto"/>
        </w:rPr>
      </w:pPr>
    </w:p>
    <w:p>
      <w:pPr>
        <w:ind w:left="520" w:hanging="316"/>
        <w:spacing w:after="0" w:line="238" w:lineRule="auto"/>
        <w:tabs>
          <w:tab w:leader="none" w:pos="520" w:val="left"/>
        </w:tabs>
        <w:numPr>
          <w:ilvl w:val="0"/>
          <w:numId w:val="69"/>
        </w:numPr>
        <w:rPr>
          <w:rFonts w:ascii="Arial" w:cs="Arial" w:eastAsia="Arial" w:hAnsi="Arial"/>
          <w:sz w:val="15"/>
          <w:szCs w:val="15"/>
          <w:color w:val="auto"/>
        </w:rPr>
      </w:pPr>
      <w:r>
        <w:rPr>
          <w:rFonts w:ascii="Arial" w:cs="Arial" w:eastAsia="Arial" w:hAnsi="Arial"/>
          <w:sz w:val="18"/>
          <w:szCs w:val="18"/>
          <w:color w:val="auto"/>
        </w:rPr>
        <w:t>provide that, subject to the rights of any series of preferred stock to elect directors, directors may be removed with or without cause, by the holders of a majority of our then-outstanding shares of capital stock entitled to vote generally at an election of directors for so long as Privateer Holdings holds a majority of our then-outstanding shares of capital stock entitled to vote generally at an election of directors, or otherwise by the holders of at least 66 2/3% of all of our then-outstanding shares of the capital stock entitled to vote generally at an election of directors;</w:t>
      </w:r>
    </w:p>
    <w:p>
      <w:pPr>
        <w:spacing w:after="0" w:line="27" w:lineRule="exact"/>
        <w:rPr>
          <w:rFonts w:ascii="Arial" w:cs="Arial" w:eastAsia="Arial" w:hAnsi="Arial"/>
          <w:sz w:val="15"/>
          <w:szCs w:val="15"/>
          <w:color w:val="auto"/>
        </w:rPr>
      </w:pPr>
    </w:p>
    <w:p>
      <w:pPr>
        <w:ind w:left="520" w:right="120" w:hanging="316"/>
        <w:spacing w:after="0" w:line="246" w:lineRule="auto"/>
        <w:tabs>
          <w:tab w:leader="none" w:pos="520" w:val="left"/>
        </w:tabs>
        <w:numPr>
          <w:ilvl w:val="0"/>
          <w:numId w:val="69"/>
        </w:numPr>
        <w:rPr>
          <w:rFonts w:ascii="Arial" w:cs="Arial" w:eastAsia="Arial" w:hAnsi="Arial"/>
          <w:sz w:val="15"/>
          <w:szCs w:val="15"/>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21" w:lineRule="exact"/>
        <w:rPr>
          <w:rFonts w:ascii="Arial" w:cs="Arial" w:eastAsia="Arial" w:hAnsi="Arial"/>
          <w:sz w:val="15"/>
          <w:szCs w:val="15"/>
          <w:color w:val="auto"/>
        </w:rPr>
      </w:pPr>
    </w:p>
    <w:p>
      <w:pPr>
        <w:ind w:left="520" w:right="160" w:hanging="316"/>
        <w:spacing w:after="0"/>
        <w:tabs>
          <w:tab w:leader="none" w:pos="520" w:val="left"/>
        </w:tabs>
        <w:numPr>
          <w:ilvl w:val="0"/>
          <w:numId w:val="69"/>
        </w:numPr>
        <w:rPr>
          <w:rFonts w:ascii="Arial" w:cs="Arial" w:eastAsia="Arial" w:hAnsi="Arial"/>
          <w:sz w:val="15"/>
          <w:szCs w:val="15"/>
          <w:color w:val="auto"/>
        </w:rPr>
      </w:pPr>
      <w:r>
        <w:rPr>
          <w:rFonts w:ascii="Arial" w:cs="Arial" w:eastAsia="Arial" w:hAnsi="Arial"/>
          <w:sz w:val="18"/>
          <w:szCs w:val="18"/>
          <w:color w:val="auto"/>
        </w:rPr>
        <w:t>provide that any action to be taken by our stockholders may be taken by written consent or electronic transmission pursuant to Section 228 of the Delaware General Corporation Law, so long as Privateer Holdings holds a majority of our then-outstanding capital stock entitled to vote generally at an election of directors;</w:t>
      </w:r>
    </w:p>
    <w:p>
      <w:pPr>
        <w:spacing w:after="0" w:line="27" w:lineRule="exact"/>
        <w:rPr>
          <w:rFonts w:ascii="Arial" w:cs="Arial" w:eastAsia="Arial" w:hAnsi="Arial"/>
          <w:sz w:val="15"/>
          <w:szCs w:val="15"/>
          <w:color w:val="auto"/>
        </w:rPr>
      </w:pPr>
    </w:p>
    <w:p>
      <w:pPr>
        <w:ind w:left="520" w:right="20" w:hanging="316"/>
        <w:spacing w:after="0"/>
        <w:tabs>
          <w:tab w:leader="none" w:pos="520" w:val="left"/>
        </w:tabs>
        <w:numPr>
          <w:ilvl w:val="0"/>
          <w:numId w:val="69"/>
        </w:numPr>
        <w:rPr>
          <w:rFonts w:ascii="Arial" w:cs="Arial" w:eastAsia="Arial" w:hAnsi="Arial"/>
          <w:sz w:val="15"/>
          <w:szCs w:val="15"/>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27" w:lineRule="exact"/>
        <w:rPr>
          <w:rFonts w:ascii="Arial" w:cs="Arial" w:eastAsia="Arial" w:hAnsi="Arial"/>
          <w:sz w:val="15"/>
          <w:szCs w:val="15"/>
          <w:color w:val="auto"/>
        </w:rPr>
      </w:pPr>
    </w:p>
    <w:p>
      <w:pPr>
        <w:ind w:left="520" w:right="220" w:hanging="316"/>
        <w:spacing w:after="0" w:line="239" w:lineRule="auto"/>
        <w:tabs>
          <w:tab w:leader="none" w:pos="520" w:val="left"/>
        </w:tabs>
        <w:numPr>
          <w:ilvl w:val="0"/>
          <w:numId w:val="69"/>
        </w:numPr>
        <w:rPr>
          <w:rFonts w:ascii="Arial" w:cs="Arial" w:eastAsia="Arial" w:hAnsi="Arial"/>
          <w:sz w:val="15"/>
          <w:szCs w:val="15"/>
          <w:color w:val="auto"/>
        </w:rPr>
      </w:pPr>
      <w:r>
        <w:rPr>
          <w:rFonts w:ascii="Arial" w:cs="Arial" w:eastAsia="Arial" w:hAnsi="Arial"/>
          <w:sz w:val="18"/>
          <w:szCs w:val="18"/>
          <w:color w:val="auto"/>
        </w:rPr>
        <w:t>provide that special meetings of our stockholders may be called by the chairperson of our board of directors, our chief executive officer, by our board of directors pursuant to a resolution adopted by a majority of the total number of authorized directors or, for so long as Privateer Holdings holds a majority of our then-outstanding capital stock entitled to vote generally at an election of directors, one or more stockholders that in the aggregate represent at least 50% of the total votes entitled to be cast at the meeting;</w:t>
      </w:r>
    </w:p>
    <w:p>
      <w:pPr>
        <w:spacing w:after="0" w:line="26" w:lineRule="exact"/>
        <w:rPr>
          <w:rFonts w:ascii="Arial" w:cs="Arial" w:eastAsia="Arial" w:hAnsi="Arial"/>
          <w:sz w:val="15"/>
          <w:szCs w:val="15"/>
          <w:color w:val="auto"/>
        </w:rPr>
      </w:pPr>
    </w:p>
    <w:p>
      <w:pPr>
        <w:ind w:left="520" w:right="40" w:hanging="316"/>
        <w:spacing w:after="0"/>
        <w:tabs>
          <w:tab w:leader="none" w:pos="520" w:val="left"/>
        </w:tabs>
        <w:numPr>
          <w:ilvl w:val="0"/>
          <w:numId w:val="69"/>
        </w:numPr>
        <w:rPr>
          <w:rFonts w:ascii="Arial" w:cs="Arial" w:eastAsia="Arial" w:hAnsi="Arial"/>
          <w:sz w:val="15"/>
          <w:szCs w:val="15"/>
          <w:color w:val="auto"/>
        </w:rPr>
      </w:pPr>
      <w:r>
        <w:rPr>
          <w:rFonts w:ascii="Arial" w:cs="Arial" w:eastAsia="Arial" w:hAnsi="Arial"/>
          <w:sz w:val="18"/>
          <w:szCs w:val="18"/>
          <w:color w:val="auto"/>
        </w:rPr>
        <w:t>provide that our board of directors will be divided into three classes of directors, with the classes to be as nearly equal as possible and with the directors serving three-year terms (see the section titled “</w:t>
      </w:r>
      <w:r>
        <w:rPr>
          <w:rFonts w:ascii="Arial" w:cs="Arial" w:eastAsia="Arial" w:hAnsi="Arial"/>
          <w:sz w:val="18"/>
          <w:szCs w:val="18"/>
          <w:i w:val="1"/>
          <w:iCs w:val="1"/>
          <w:color w:val="auto"/>
        </w:rPr>
        <w:t>Management</w:t>
      </w:r>
      <w:r>
        <w:rPr>
          <w:rFonts w:ascii="Arial" w:cs="Arial" w:eastAsia="Arial" w:hAnsi="Arial"/>
          <w:sz w:val="18"/>
          <w:szCs w:val="18"/>
          <w:color w:val="auto"/>
        </w:rPr>
        <w:t>”), therefore making it more difficult for stockholders to change the composition of our board of directors; and</w:t>
      </w:r>
    </w:p>
    <w:p>
      <w:pPr>
        <w:spacing w:after="0" w:line="27" w:lineRule="exact"/>
        <w:rPr>
          <w:rFonts w:ascii="Arial" w:cs="Arial" w:eastAsia="Arial" w:hAnsi="Arial"/>
          <w:sz w:val="15"/>
          <w:szCs w:val="15"/>
          <w:color w:val="auto"/>
        </w:rPr>
      </w:pPr>
    </w:p>
    <w:p>
      <w:pPr>
        <w:ind w:left="520" w:right="200" w:hanging="316"/>
        <w:spacing w:after="0" w:line="246" w:lineRule="auto"/>
        <w:tabs>
          <w:tab w:leader="none" w:pos="520" w:val="left"/>
        </w:tabs>
        <w:numPr>
          <w:ilvl w:val="0"/>
          <w:numId w:val="69"/>
        </w:numPr>
        <w:rPr>
          <w:rFonts w:ascii="Arial" w:cs="Arial" w:eastAsia="Arial" w:hAnsi="Arial"/>
          <w:sz w:val="15"/>
          <w:szCs w:val="15"/>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For so long as Privateer Holdings holds a majority of our then-outstanding capital stock entitled to vote generally at an election of directors, the amendment of any of these provisions would require approval of the holders of a majority of all of our then-outstanding capital stock entitled to vote generally in the election of directors; otherwise, the amendment of any of these provisions would require approval by the holders of at least 66 2/3% of all of our then-outstanding capital stock entitled to vote generally in the election of directors.</w:t>
      </w:r>
    </w:p>
    <w:p>
      <w:pPr>
        <w:spacing w:after="0" w:line="202"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99"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We will opt out of Section 203 of the Delaware General Corporation Law.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230" w:lineRule="exact"/>
        <w:rPr>
          <w:sz w:val="20"/>
          <w:szCs w:val="20"/>
          <w:color w:val="auto"/>
        </w:rPr>
      </w:pPr>
    </w:p>
    <w:p>
      <w:pPr>
        <w:ind w:left="520" w:hanging="316"/>
        <w:spacing w:after="0" w:line="246" w:lineRule="auto"/>
        <w:tabs>
          <w:tab w:leader="none" w:pos="520" w:val="left"/>
        </w:tabs>
        <w:numPr>
          <w:ilvl w:val="0"/>
          <w:numId w:val="70"/>
        </w:numPr>
        <w:rPr>
          <w:rFonts w:ascii="Arial" w:cs="Arial" w:eastAsia="Arial" w:hAnsi="Arial"/>
          <w:sz w:val="15"/>
          <w:szCs w:val="15"/>
          <w:color w:val="auto"/>
        </w:rPr>
      </w:pPr>
      <w:r>
        <w:rPr>
          <w:rFonts w:ascii="Arial" w:cs="Arial" w:eastAsia="Arial" w:hAnsi="Arial"/>
          <w:sz w:val="18"/>
          <w:szCs w:val="18"/>
          <w:color w:val="auto"/>
        </w:rPr>
        <w:t>prior to the date of the transaction, our board of directors approved either the business combination or the transaction which resulted in the stockholder becoming an interested stockholder;</w:t>
      </w:r>
    </w:p>
    <w:p>
      <w:pPr>
        <w:spacing w:after="0" w:line="21" w:lineRule="exact"/>
        <w:rPr>
          <w:rFonts w:ascii="Arial" w:cs="Arial" w:eastAsia="Arial" w:hAnsi="Arial"/>
          <w:sz w:val="15"/>
          <w:szCs w:val="15"/>
          <w:color w:val="auto"/>
        </w:rPr>
      </w:pPr>
    </w:p>
    <w:p>
      <w:pPr>
        <w:ind w:left="520" w:right="140" w:hanging="316"/>
        <w:spacing w:after="0" w:line="234" w:lineRule="auto"/>
        <w:tabs>
          <w:tab w:leader="none" w:pos="520" w:val="left"/>
        </w:tabs>
        <w:numPr>
          <w:ilvl w:val="0"/>
          <w:numId w:val="70"/>
        </w:numPr>
        <w:rPr>
          <w:rFonts w:ascii="Arial" w:cs="Arial" w:eastAsia="Arial" w:hAnsi="Arial"/>
          <w:sz w:val="15"/>
          <w:szCs w:val="15"/>
          <w:color w:val="auto"/>
        </w:rPr>
      </w:pPr>
      <w:r>
        <w:rPr>
          <w:rFonts w:ascii="Arial" w:cs="Arial" w:eastAsia="Arial" w:hAnsi="Arial"/>
          <w:sz w:val="18"/>
          <w:szCs w:val="18"/>
          <w:color w:val="auto"/>
        </w:rPr>
        <w:t>the interested stockholder owned at least 85% of our voting stock outstanding upon consummation of the transaction, excluding for purposes of determining the number of shares outstanding (1) shares owned by persons who are directors and also officers and</w:t>
      </w:r>
    </w:p>
    <w:p>
      <w:pPr>
        <w:spacing w:after="0" w:line="1" w:lineRule="exact"/>
        <w:rPr>
          <w:rFonts w:ascii="Arial" w:cs="Arial" w:eastAsia="Arial" w:hAnsi="Arial"/>
          <w:sz w:val="15"/>
          <w:szCs w:val="15"/>
          <w:color w:val="auto"/>
        </w:rPr>
      </w:pPr>
    </w:p>
    <w:p>
      <w:pPr>
        <w:ind w:left="520" w:right="100"/>
        <w:spacing w:after="0" w:line="246" w:lineRule="auto"/>
        <w:rPr>
          <w:rFonts w:ascii="Arial" w:cs="Arial" w:eastAsia="Arial" w:hAnsi="Arial"/>
          <w:sz w:val="15"/>
          <w:szCs w:val="15"/>
          <w:color w:val="auto"/>
        </w:rPr>
      </w:pPr>
      <w:r>
        <w:rPr>
          <w:rFonts w:ascii="Arial" w:cs="Arial" w:eastAsia="Arial" w:hAnsi="Arial"/>
          <w:sz w:val="18"/>
          <w:szCs w:val="18"/>
          <w:color w:val="auto"/>
        </w:rPr>
        <w:t>(2) shares owned by employee stock plans in which employee participants do not have the right to determine confidentially whether shares held subject to the plan will be tendered in a tender or exchange offer; or</w:t>
      </w:r>
    </w:p>
    <w:p>
      <w:pPr>
        <w:spacing w:after="0" w:line="21" w:lineRule="exact"/>
        <w:rPr>
          <w:rFonts w:ascii="Arial" w:cs="Arial" w:eastAsia="Arial" w:hAnsi="Arial"/>
          <w:sz w:val="15"/>
          <w:szCs w:val="15"/>
          <w:color w:val="auto"/>
        </w:rPr>
      </w:pPr>
    </w:p>
    <w:p>
      <w:pPr>
        <w:ind w:left="520" w:right="80" w:hanging="316"/>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8"/>
          <w:szCs w:val="18"/>
          <w:color w:val="auto"/>
        </w:rPr>
        <w:t>on or subsequent to the consummation of the transaction, the business combination is approved by our board of directors and authorized at an annual or special meeting of stockholders, and not by written consent, by the affirmative vote of at least 66 2/3% of the outstanding voting stock which is not owned by the interested stockholder.</w:t>
      </w:r>
    </w:p>
    <w:p>
      <w:pPr>
        <w:spacing w:after="0" w:line="203"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An interested stockholder is a person who, together with its affiliates and associates, owns or, within three years prior to the determination of interested stockholder status, owned 15% or more of our outstanding voting stock. These provisions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03"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Our amended and restated certificate of incorporation will provide that Privateer Holdings and its affiliates and any of their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85"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(i) any derivative action or proceeding brought on our</w:t>
      </w:r>
    </w:p>
    <w:p>
      <w:pPr>
        <w:spacing w:after="0" w:line="1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240" w:top="459" w:right="5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4" w:lineRule="auto"/>
        <w:rPr>
          <w:sz w:val="20"/>
          <w:szCs w:val="20"/>
          <w:color w:val="auto"/>
        </w:rPr>
      </w:pPr>
      <w:r>
        <w:rPr>
          <w:rFonts w:ascii="Arial" w:cs="Arial" w:eastAsia="Arial" w:hAnsi="Arial"/>
          <w:sz w:val="18"/>
          <w:szCs w:val="18"/>
          <w:color w:val="auto"/>
        </w:rPr>
        <w:t>behalf; (ii) any action asserting a breach of fiduciary duty; (iii) any action asserting a claim against us arising under the Delaware General Corporation Law; (iv) any action regarding our amended and restated certificate of incorporation or our amended and restated bylaws or</w:t>
      </w:r>
    </w:p>
    <w:p>
      <w:pPr>
        <w:spacing w:after="0" w:line="2" w:lineRule="exact"/>
        <w:rPr>
          <w:sz w:val="20"/>
          <w:szCs w:val="20"/>
          <w:color w:val="auto"/>
        </w:rPr>
      </w:pPr>
    </w:p>
    <w:p>
      <w:pPr>
        <w:ind w:left="200" w:right="120" w:firstLine="4"/>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Executive Compensation—Limitation on Liability and Indemnification of Directors and Officers</w:t>
      </w:r>
      <w:r>
        <w:rPr>
          <w:rFonts w:ascii="Arial" w:cs="Arial" w:eastAsia="Arial" w:hAnsi="Arial"/>
          <w:sz w:val="18"/>
          <w:szCs w:val="18"/>
          <w:color w:val="auto"/>
        </w:rPr>
        <w:t>.”</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left="540"/>
        <w:spacing w:after="0"/>
        <w:tabs>
          <w:tab w:leader="none" w:pos="6260" w:val="left"/>
        </w:tabs>
        <w:rPr>
          <w:sz w:val="20"/>
          <w:szCs w:val="20"/>
          <w:color w:val="auto"/>
        </w:rPr>
      </w:pPr>
      <w:r>
        <w:rPr>
          <w:rFonts w:ascii="Arial" w:cs="Arial" w:eastAsia="Arial" w:hAnsi="Arial"/>
          <w:sz w:val="18"/>
          <w:szCs w:val="18"/>
          <w:color w:val="auto"/>
        </w:rPr>
        <w:t>The transfer agent and registrar for our Class 2 common stock is</w:t>
      </w:r>
      <w:r>
        <w:rPr>
          <w:sz w:val="20"/>
          <w:szCs w:val="20"/>
          <w:color w:val="auto"/>
        </w:rPr>
        <w:tab/>
      </w:r>
      <w:r>
        <w:rPr>
          <w:rFonts w:ascii="Arial" w:cs="Arial" w:eastAsia="Arial" w:hAnsi="Arial"/>
          <w:sz w:val="14"/>
          <w:szCs w:val="14"/>
          <w:color w:val="auto"/>
        </w:rPr>
        <w: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intend to apply to list our Class 2 common stock on the Nasdaq Global Select Market under the symbol “TLRY.”</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240" w:top="459" w:right="5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34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Prior to this offering, no public market for our shares of Class 2 common stock existed, and a liquid trading market for our shares of Class 2 common stock may not develop or be sustained after this offering. Future sales of our Class 2 common stock in the public market could adversely affect prevailing market prices of our Class 2 common stock from time to time and could impair our ability to raise equity capital in the future. As described below, only a limited number of shares will be available for sale shortly after this offering due to contractual and legal restrictions on resale. Nevertheless, sales of our shares of Class 2 common stock in the public market after such restrictions lapse, or the perception that those sales may occur, could adversely affect the prevailing market price at such time and our ability to raise equity capital in the future.</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Based upon the number of shares outstanding as of March 31, 2018, upon the closing of this offering 75,000,000 shares of our Class</w:t>
      </w:r>
    </w:p>
    <w:p>
      <w:pPr>
        <w:ind w:left="200" w:right="80"/>
        <w:spacing w:after="0" w:line="239" w:lineRule="auto"/>
        <w:rPr>
          <w:sz w:val="20"/>
          <w:szCs w:val="20"/>
          <w:color w:val="auto"/>
        </w:rPr>
      </w:pPr>
      <w:r>
        <w:rPr>
          <w:rFonts w:ascii="Arial" w:cs="Arial" w:eastAsia="Arial" w:hAnsi="Arial"/>
          <w:sz w:val="18"/>
          <w:szCs w:val="18"/>
          <w:color w:val="auto"/>
        </w:rPr>
        <w:t>1 common stock and shares of our Class 2 common stock will be outstanding, assuming no exercise of the underwriters’ over-allotment option to purchase additional shares of Class 2 common stock from us and no exercise of outstanding options. All of the shares sold in this offering will be freely tradable, except that any shares held by our affiliates, as that term is defined in Rule 144 under the Securities Act, may only be sold in compliance with the limitations described below.</w:t>
      </w:r>
    </w:p>
    <w:p>
      <w:pPr>
        <w:spacing w:after="0" w:line="20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75,000,000 shares of our Class 1 common stock and the remaining 7,794,042 shares of Class 2 common stock outstanding after this offering are restricted securities as defined in Rule 144 under the Securities Act or are subject to lock-up agreements with us as described below. Following the expiration of the lock-up period, restricted securities may be sold in the public market only if the offer and sale is registered or if the offer and sale qualifies for an exemption from registration, including under Rule 144 or 701 promulgated under the Securities Act, described in greater detail below. These remaining shares will generally become available for sale in the public market as follows:</w:t>
      </w:r>
    </w:p>
    <w:p>
      <w:pPr>
        <w:spacing w:after="0" w:line="232" w:lineRule="exact"/>
        <w:rPr>
          <w:sz w:val="20"/>
          <w:szCs w:val="20"/>
          <w:color w:val="auto"/>
        </w:rPr>
      </w:pPr>
    </w:p>
    <w:p>
      <w:pPr>
        <w:ind w:left="520" w:hanging="316"/>
        <w:spacing w:after="0"/>
        <w:tabs>
          <w:tab w:leader="none" w:pos="520" w:val="left"/>
        </w:tabs>
        <w:numPr>
          <w:ilvl w:val="0"/>
          <w:numId w:val="72"/>
        </w:numPr>
        <w:rPr>
          <w:rFonts w:ascii="Arial" w:cs="Arial" w:eastAsia="Arial" w:hAnsi="Arial"/>
          <w:sz w:val="15"/>
          <w:szCs w:val="15"/>
          <w:color w:val="auto"/>
        </w:rPr>
      </w:pPr>
      <w:r>
        <w:rPr>
          <w:rFonts w:ascii="Arial" w:cs="Arial" w:eastAsia="Arial" w:hAnsi="Arial"/>
          <w:sz w:val="18"/>
          <w:szCs w:val="18"/>
          <w:color w:val="auto"/>
        </w:rPr>
        <w:t>no shares will be eligible for sale in the public market on the date of this prospectus; and</w:t>
      </w:r>
    </w:p>
    <w:p>
      <w:pPr>
        <w:spacing w:after="0" w:line="34" w:lineRule="exact"/>
        <w:rPr>
          <w:sz w:val="20"/>
          <w:szCs w:val="20"/>
          <w:color w:val="auto"/>
        </w:rPr>
      </w:pPr>
    </w:p>
    <w:p>
      <w:pPr>
        <w:ind w:left="520" w:hanging="323"/>
        <w:spacing w:after="0"/>
        <w:tabs>
          <w:tab w:leader="none" w:pos="5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8"/>
          <w:szCs w:val="18"/>
          <w:color w:val="auto"/>
        </w:rPr>
        <w:t>approximately shares will be eligible for sale in the public market upon the expiration of lock-up agreements 180 days after the date of this prospectus, subject in certain circumstances to the volume, manner of sale and other limitations of Rule 144 and Rule 701.</w:t>
      </w:r>
    </w:p>
    <w:p>
      <w:pPr>
        <w:spacing w:after="0" w:line="200" w:lineRule="exact"/>
        <w:rPr>
          <w:sz w:val="20"/>
          <w:szCs w:val="20"/>
          <w:color w:val="auto"/>
        </w:rPr>
      </w:pPr>
    </w:p>
    <w:p>
      <w:pPr>
        <w:spacing w:after="0" w:line="212" w:lineRule="exact"/>
        <w:rPr>
          <w:sz w:val="20"/>
          <w:szCs w:val="20"/>
          <w:color w:val="auto"/>
        </w:rPr>
      </w:pPr>
    </w:p>
    <w:p>
      <w:pPr>
        <w:ind w:left="1000" w:right="180" w:hanging="469"/>
        <w:spacing w:after="0" w:line="246" w:lineRule="auto"/>
        <w:rPr>
          <w:sz w:val="20"/>
          <w:szCs w:val="20"/>
          <w:color w:val="auto"/>
        </w:rPr>
      </w:pPr>
      <w:r>
        <w:rPr>
          <w:rFonts w:ascii="Arial" w:cs="Arial" w:eastAsia="Arial" w:hAnsi="Arial"/>
          <w:sz w:val="18"/>
          <w:szCs w:val="18"/>
          <w:color w:val="auto"/>
        </w:rPr>
        <w:t>As of March 31, 2018, of the</w:t>
      </w:r>
      <w:r>
        <w:rPr>
          <w:sz w:val="20"/>
          <w:szCs w:val="20"/>
          <w:color w:val="auto"/>
        </w:rPr>
        <w:t xml:space="preserve"> </w:t>
      </w:r>
      <w:r>
        <w:rPr>
          <w:rFonts w:ascii="Arial" w:cs="Arial" w:eastAsia="Arial" w:hAnsi="Arial"/>
          <w:sz w:val="18"/>
          <w:szCs w:val="18"/>
          <w:color w:val="auto"/>
        </w:rPr>
        <w:t>shares of Class 2 common stock issuable upon exercise of options outstanding, approximately shares will be vested and eligible for sale 180 days after the date of this prospectus.</w:t>
      </w:r>
    </w:p>
    <w:p>
      <w:pPr>
        <w:spacing w:after="0" w:line="197"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may issue shares of Class 2 common stock from time to time as consideration for future acquisitions, investments or other corporate purposes. In the event that any such acquisition, investment or other transaction is significant, the number of shares of Class 2 common stock that we may issue may in turn be significant. We may also grant registration rights covering those shares of Class 2 common stock issued in connection with any such acquisition and investment.</w:t>
      </w:r>
    </w:p>
    <w:p>
      <w:pPr>
        <w:spacing w:after="0" w:line="202"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In addition, the shares of Class 2 common stock reserved for future issuance under the 2018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In general, after we have been a public company for 90 days, persons who have beneficially owned restricted shares of our common stock for at least six months, and any affiliate of the company</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who owns either restricted or unrestricted shares of our Class 2 common stock, are entitled to sell their shares without registration with the SEC under an exemption from registration provided by Rule 144 under the Securities Act.</w:t>
      </w:r>
    </w:p>
    <w:p>
      <w:pPr>
        <w:spacing w:after="0" w:line="197" w:lineRule="exact"/>
        <w:rPr>
          <w:sz w:val="20"/>
          <w:szCs w:val="20"/>
          <w:color w:val="auto"/>
        </w:rPr>
      </w:pPr>
    </w:p>
    <w:p>
      <w:pPr>
        <w:jc w:val="both"/>
        <w:ind w:left="200" w:right="120" w:firstLine="331"/>
        <w:spacing w:after="0" w:line="239" w:lineRule="auto"/>
        <w:rPr>
          <w:sz w:val="20"/>
          <w:szCs w:val="20"/>
          <w:color w:val="auto"/>
        </w:rPr>
      </w:pPr>
      <w:r>
        <w:rPr>
          <w:rFonts w:ascii="Arial" w:cs="Arial" w:eastAsia="Arial" w:hAnsi="Arial"/>
          <w:sz w:val="18"/>
          <w:szCs w:val="18"/>
          <w:color w:val="auto"/>
        </w:rPr>
        <w:t>Persons who have beneficially owned shares of our restricted Class 2 common stock for at least six months would be entitled to sell their securities provided that (1) such person is not deemed to have been one of our affiliates at the time of, or at any time during the 90 days preceding, a sale, (2) we are subject to the periodic reporting requirements of the Exchange Act for at least 90 days before the sale and (3) we are current in our Exchange Act reporting at the time of sale.</w:t>
      </w:r>
    </w:p>
    <w:p>
      <w:pPr>
        <w:spacing w:after="0" w:line="20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Persons who have beneficially owned shares of our restricted Class 2 common stock for at least six months but who are our affiliates at the time of, or any time during the 90 days preceding, a sale, would be subject to additional restrictions, by which such person would be entitled to sell within any three-month period only a number of shares that does not exceed the greater of either of the following:</w:t>
      </w:r>
    </w:p>
    <w:p>
      <w:pPr>
        <w:spacing w:after="0" w:line="227" w:lineRule="exact"/>
        <w:rPr>
          <w:sz w:val="20"/>
          <w:szCs w:val="20"/>
          <w:color w:val="auto"/>
        </w:rPr>
      </w:pPr>
    </w:p>
    <w:p>
      <w:pPr>
        <w:ind w:left="520" w:right="100" w:hanging="319"/>
        <w:spacing w:after="0"/>
        <w:tabs>
          <w:tab w:leader="none" w:pos="50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8"/>
          <w:szCs w:val="18"/>
          <w:color w:val="auto"/>
        </w:rPr>
        <w:t>1% of the number of shares of Class 2 common stock outstanding after this offering, which will equal approximately shares immediately after the closing of this offering, based on the number of shares of Class 2 common stock outstanding as of March 31, 2018; or</w:t>
      </w:r>
    </w:p>
    <w:p>
      <w:pPr>
        <w:spacing w:after="0" w:line="30" w:lineRule="exact"/>
        <w:rPr>
          <w:sz w:val="20"/>
          <w:szCs w:val="20"/>
          <w:color w:val="auto"/>
        </w:rPr>
      </w:pPr>
    </w:p>
    <w:p>
      <w:pPr>
        <w:ind w:left="520" w:right="280" w:hanging="316"/>
        <w:spacing w:after="0" w:line="246" w:lineRule="auto"/>
        <w:tabs>
          <w:tab w:leader="none" w:pos="520" w:val="left"/>
        </w:tabs>
        <w:numPr>
          <w:ilvl w:val="0"/>
          <w:numId w:val="73"/>
        </w:numPr>
        <w:rPr>
          <w:rFonts w:ascii="Arial" w:cs="Arial" w:eastAsia="Arial" w:hAnsi="Arial"/>
          <w:sz w:val="15"/>
          <w:szCs w:val="15"/>
          <w:color w:val="auto"/>
        </w:rPr>
      </w:pPr>
      <w:r>
        <w:rPr>
          <w:rFonts w:ascii="Arial" w:cs="Arial" w:eastAsia="Arial" w:hAnsi="Arial"/>
          <w:sz w:val="18"/>
          <w:szCs w:val="18"/>
          <w:color w:val="auto"/>
        </w:rPr>
        <w:t>the average weekly trading volume of our shares of Class 2 common stock during the four calendar weeks preceding the filing of a notice on Form 144 with respect to the sale;</w:t>
      </w:r>
    </w:p>
    <w:p>
      <w:pPr>
        <w:spacing w:after="0" w:line="197"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provided, in each case, that we are subject to the periodic reporting requirements of the Exchange Act for at least 90 days before the sale. Such sales by affiliates must also comply with the manner of sale, current public information and notice provisions of Rule 144.</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Rule 701 under the Securities Act, as in effect on the date of this prospectus, permits resales of stock acquired pursuant to Rule 701 in reliance upon Rule 144 but without compliance with certain restrictions of Rule 144, including the holding period requirement. Most of our employees, executive officers or directors who purchased or may purchase prior to the closing of this offering stock under a written compensatory plan or contract may be entitled to rely on the resale provisions of Rule 701, but all holders of Rule 701 shares are required to wait until 90 days after the date of this prospectus before selling their shares of stock. However, substantially all shares of Rule 701 stock are subject to lock-up agreements as described below and in the section titled “</w:t>
      </w:r>
      <w:r>
        <w:rPr>
          <w:rFonts w:ascii="Arial" w:cs="Arial" w:eastAsia="Arial" w:hAnsi="Arial"/>
          <w:sz w:val="18"/>
          <w:szCs w:val="18"/>
          <w:i w:val="1"/>
          <w:iCs w:val="1"/>
          <w:color w:val="auto"/>
        </w:rPr>
        <w:t>Underwriting</w:t>
      </w:r>
      <w:r>
        <w:rPr>
          <w:rFonts w:ascii="Arial" w:cs="Arial" w:eastAsia="Arial" w:hAnsi="Arial"/>
          <w:sz w:val="18"/>
          <w:szCs w:val="18"/>
          <w:color w:val="auto"/>
        </w:rPr>
        <w:t>” and will become eligible for sale upon the expiration of the restrictions set forth in those agreements.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S-8 Registration Statements</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As soon as practicable after the closing of this offering, we intend to file a Form S-8 registration statement under the Securities Act to register the issuance of our Class 2 common stock under our equity compensation plans and agreements. This registration statement will become effective immediately upon filing, and shares covered by such registration statement will be eligible for sale in the public markets, subject to vesting restrictions, the lock-up agreements described above and Rule 144 limitations applicable to affiliates. For a more complete discussion of our equity compensation plans, see the section titled “</w:t>
      </w:r>
      <w:r>
        <w:rPr>
          <w:rFonts w:ascii="Arial" w:cs="Arial" w:eastAsia="Arial" w:hAnsi="Arial"/>
          <w:sz w:val="18"/>
          <w:szCs w:val="18"/>
          <w:i w:val="1"/>
          <w:iCs w:val="1"/>
          <w:color w:val="auto"/>
        </w:rPr>
        <w:t>Executive Compensation—Equity Incentive Plans</w:t>
      </w:r>
      <w:r>
        <w:rPr>
          <w:rFonts w:ascii="Arial" w:cs="Arial" w:eastAsia="Arial" w:hAnsi="Arial"/>
          <w:sz w:val="18"/>
          <w:szCs w:val="18"/>
          <w:color w:val="auto"/>
        </w:rPr>
        <w: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Arrangements</w:t>
      </w:r>
    </w:p>
    <w:p>
      <w:pPr>
        <w:spacing w:after="0" w:line="8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Our executive officers, directors and our other stockholders have agreed with the underwriters that for a period of 180 days following the date of this prospectus, subject to certain exceptions, that they will not (1) offer, sell, assign, transfer, pledge, contract to sell or otherwise dispose of, or announce the intention to otherwise dispose of, or enter into any swap, hedge or similar agreement or arrangement</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57" w:lineRule="auto"/>
        <w:rPr>
          <w:sz w:val="20"/>
          <w:szCs w:val="20"/>
          <w:color w:val="auto"/>
        </w:rPr>
      </w:pPr>
      <w:r>
        <w:rPr>
          <w:rFonts w:ascii="Arial" w:cs="Arial" w:eastAsia="Arial" w:hAnsi="Arial"/>
          <w:sz w:val="17"/>
          <w:szCs w:val="17"/>
          <w:color w:val="auto"/>
        </w:rPr>
        <w:t xml:space="preserve">that transfers, in whole or in part, the economic consequence of ownership of, directly or indirectly, or (2) engage in any short selling of, any of our Class 2 common stock or securities convertible into or exchangeable or exercisable for any of our Class 2 common stock without the prior written consent of Cowen and Company, LLC. Cowen and Company, LLC may, in its sole discretion, at any time, release all or any portion of the shares from the restrictions in this agreement. See the section titled </w:t>
      </w:r>
      <w:r>
        <w:rPr>
          <w:rFonts w:ascii="Arial" w:cs="Arial" w:eastAsia="Arial" w:hAnsi="Arial"/>
          <w:sz w:val="17"/>
          <w:szCs w:val="17"/>
          <w:i w:val="1"/>
          <w:iCs w:val="1"/>
          <w:color w:val="auto"/>
        </w:rPr>
        <w:t>“Underwriting—Lock-up Agreements.</w:t>
      </w:r>
      <w:r>
        <w:rPr>
          <w:rFonts w:ascii="Arial" w:cs="Arial" w:eastAsia="Arial" w:hAnsi="Arial"/>
          <w:sz w:val="17"/>
          <w:szCs w:val="17"/>
          <w:color w:val="auto"/>
        </w:rPr>
        <w:t>”</w:t>
      </w:r>
    </w:p>
    <w:p>
      <w:pPr>
        <w:spacing w:after="0" w:line="18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addition to the restrictions contained in the lock-up agreement described above, we have entered into agreements with certain securityholders, including the investor rights agreement and our standard form option agreement, that contain market stand-off provisions imposing restrictions on the ability of such securityholders to offer, sell or transfer shares of our Class 2 common stock for a period of 180 days following the date of this prospectus.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99"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Upon the closing of this offering, the holders of 7,794,042 shares of Class 2 common stock or their transferees, will be entitled to certain rights with respect to the registration of those shares under the Securities Act. If the offer and sale of these shares are registered, they will be freely tradable without restriction under the Securities Act immediately upon the effectiveness of the registration. For a description of these registration rights, see the section titled “</w:t>
      </w:r>
      <w:r>
        <w:rPr>
          <w:rFonts w:ascii="Arial" w:cs="Arial" w:eastAsia="Arial" w:hAnsi="Arial"/>
          <w:sz w:val="18"/>
          <w:szCs w:val="18"/>
          <w:i w:val="1"/>
          <w:iCs w:val="1"/>
          <w:color w:val="auto"/>
        </w:rPr>
        <w:t>Description of Capital Stock—Registration Rights</w:t>
      </w:r>
      <w:r>
        <w:rPr>
          <w:rFonts w:ascii="Arial" w:cs="Arial" w:eastAsia="Arial" w:hAnsi="Arial"/>
          <w:sz w:val="18"/>
          <w:szCs w:val="18"/>
          <w:color w:val="auto"/>
        </w:rPr>
        <w:t>.”</w:t>
      </w:r>
    </w:p>
    <w:p>
      <w:pPr>
        <w:spacing w:after="0" w:line="1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240" w:top="459" w:right="5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MATERIAL U.S. FEDERAL INCOME TAX CONSIDERATIONS FOR CERTAIN NON-U.S. HOLDERS</w:t>
      </w:r>
    </w:p>
    <w:p>
      <w:pPr>
        <w:spacing w:after="0" w:line="342" w:lineRule="exact"/>
        <w:rPr>
          <w:sz w:val="20"/>
          <w:szCs w:val="20"/>
          <w:color w:val="auto"/>
        </w:rPr>
      </w:pPr>
    </w:p>
    <w:p>
      <w:pPr>
        <w:ind w:left="200" w:firstLine="331"/>
        <w:spacing w:after="0" w:line="251" w:lineRule="auto"/>
        <w:rPr>
          <w:sz w:val="20"/>
          <w:szCs w:val="20"/>
          <w:color w:val="auto"/>
        </w:rPr>
      </w:pPr>
      <w:r>
        <w:rPr>
          <w:rFonts w:ascii="Arial" w:cs="Arial" w:eastAsia="Arial" w:hAnsi="Arial"/>
          <w:sz w:val="17"/>
          <w:szCs w:val="17"/>
          <w:color w:val="auto"/>
        </w:rPr>
        <w:t>The following is a summary of certain material U.S. federal income tax consequences to non-U.S. holders (as defined below) of the acquisition, ownership and disposition of our Class 2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Internal Revenue Code of 1986, as amended, or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This discussion is limited to non-U.S. holders who purchase our Class 2 common stock pursuant to this offering and who hold our Class 2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230" w:lineRule="exact"/>
        <w:rPr>
          <w:sz w:val="20"/>
          <w:szCs w:val="20"/>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certain former citizens or long-term residents of the United States;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partnerships or other pass-through entities (and investors therein);</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“controlled foreign corporations;”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“passive foreign investment companies;”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corporations that accumulate earnings to avoid U.S. federal income tax;</w:t>
      </w:r>
    </w:p>
    <w:p>
      <w:pPr>
        <w:spacing w:after="0" w:line="36" w:lineRule="exact"/>
        <w:rPr>
          <w:rFonts w:ascii="Arial" w:cs="Arial" w:eastAsia="Arial" w:hAnsi="Arial"/>
          <w:sz w:val="15"/>
          <w:szCs w:val="15"/>
          <w:color w:val="auto"/>
        </w:rPr>
      </w:pPr>
    </w:p>
    <w:p>
      <w:pPr>
        <w:ind w:left="520" w:right="180" w:hanging="316"/>
        <w:spacing w:after="0" w:line="246" w:lineRule="auto"/>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banks, financial institutions, investment funds, insurance companies, regulated investment companies, real estate investment trusts, brokers, dealers or traders in securities;</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tax-exempt organizations and governmental organizations;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tax-qualified retirement plans;</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persons subject to the alternative minimum tax;</w:t>
      </w:r>
    </w:p>
    <w:p>
      <w:pPr>
        <w:spacing w:after="0" w:line="36" w:lineRule="exact"/>
        <w:rPr>
          <w:rFonts w:ascii="Arial" w:cs="Arial" w:eastAsia="Arial" w:hAnsi="Arial"/>
          <w:sz w:val="15"/>
          <w:szCs w:val="15"/>
          <w:color w:val="auto"/>
        </w:rPr>
      </w:pPr>
    </w:p>
    <w:p>
      <w:pPr>
        <w:ind w:left="520" w:right="620" w:hanging="316"/>
        <w:spacing w:after="0" w:line="246" w:lineRule="auto"/>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persons who hold or receive our Class 2 common stock pursuant to the exercise of any employee stock option or otherwise as compensation;</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persons that own, or have owned, actually or constructively, more than 5% of our Class 2 common stock;</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accrual-method taxpayers subject to special tax accounting rules under Section 451(b) of the Code;</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persons who have elected to mark securities to market; and</w:t>
      </w:r>
    </w:p>
    <w:p>
      <w:pPr>
        <w:spacing w:after="0" w:line="36" w:lineRule="exact"/>
        <w:rPr>
          <w:rFonts w:ascii="Arial" w:cs="Arial" w:eastAsia="Arial" w:hAnsi="Arial"/>
          <w:sz w:val="15"/>
          <w:szCs w:val="15"/>
          <w:color w:val="auto"/>
        </w:rPr>
      </w:pPr>
    </w:p>
    <w:p>
      <w:pPr>
        <w:ind w:left="520" w:right="100" w:hanging="316"/>
        <w:spacing w:after="0" w:line="246" w:lineRule="auto"/>
        <w:tabs>
          <w:tab w:leader="none" w:pos="520" w:val="left"/>
        </w:tabs>
        <w:numPr>
          <w:ilvl w:val="0"/>
          <w:numId w:val="74"/>
        </w:numPr>
        <w:rPr>
          <w:rFonts w:ascii="Arial" w:cs="Arial" w:eastAsia="Arial" w:hAnsi="Arial"/>
          <w:sz w:val="15"/>
          <w:szCs w:val="15"/>
          <w:color w:val="auto"/>
        </w:rPr>
      </w:pPr>
      <w:r>
        <w:rPr>
          <w:rFonts w:ascii="Arial" w:cs="Arial" w:eastAsia="Arial" w:hAnsi="Arial"/>
          <w:sz w:val="18"/>
          <w:szCs w:val="18"/>
          <w:color w:val="auto"/>
        </w:rPr>
        <w:t>persons holding our Class 2 common stock as part of a hedging or conversion transaction or straddle, or a constructive sale, or other risk reduction strategy or integrated investment.</w:t>
      </w:r>
    </w:p>
    <w:p>
      <w:pPr>
        <w:spacing w:after="0" w:line="197"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2 common stock, the U.S. federal income tax treatment of a partner in the partnership will generally depend on the status of the partner and the activities of the partnership. Partnerships holding our Class 2 common stock and the partners in such partnerships are urged to consult their tax</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advisors about the particular U.S. federal income tax consequences to them of acquiring, holding and disposing of our Class 2 common stock.</w:t>
      </w:r>
    </w:p>
    <w:p>
      <w:pPr>
        <w:spacing w:after="0" w:line="175" w:lineRule="exact"/>
        <w:rPr>
          <w:sz w:val="20"/>
          <w:szCs w:val="20"/>
          <w:color w:val="auto"/>
        </w:rPr>
      </w:pPr>
    </w:p>
    <w:p>
      <w:pPr>
        <w:ind w:left="200" w:right="20" w:firstLine="331"/>
        <w:spacing w:after="0" w:line="241"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2 COMMON STOCK, AS WELL AS ANY TAX CONSEQUENCES ARISING UNDER ANY STATE, LOCAL OR FOREIGN TAX LAWS AND ANY OTHER U.S. FEDERAL TAX LAWS. IN ADDITION, SIGNIFICANT CHANGES IN U.S. FEDERAL INCOME TAX LAWS WERE RECENTLY ENACTED. YOU SHOULD ALSO CONSULT WITH YOUR TAX ADVISOR WITH RESPECT TO SUCH CHANGES IN U.S. TAX LAW AS WELL AS POTENTIAL CONFORMING CHANGES IN STATE TAX LAWS.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99"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For purposes of this discussion, a non-U.S. holder is any beneficial owner of our Class 2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230" w:lineRule="exact"/>
        <w:rPr>
          <w:sz w:val="20"/>
          <w:szCs w:val="20"/>
          <w:color w:val="auto"/>
        </w:rPr>
      </w:pPr>
    </w:p>
    <w:p>
      <w:pPr>
        <w:ind w:left="520" w:hanging="316"/>
        <w:spacing w:after="0"/>
        <w:tabs>
          <w:tab w:leader="none" w:pos="520" w:val="left"/>
        </w:tabs>
        <w:numPr>
          <w:ilvl w:val="0"/>
          <w:numId w:val="75"/>
        </w:numPr>
        <w:rPr>
          <w:rFonts w:ascii="Arial" w:cs="Arial" w:eastAsia="Arial" w:hAnsi="Arial"/>
          <w:sz w:val="15"/>
          <w:szCs w:val="15"/>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5"/>
          <w:szCs w:val="15"/>
          <w:color w:val="auto"/>
        </w:rPr>
      </w:pPr>
    </w:p>
    <w:p>
      <w:pPr>
        <w:ind w:left="520" w:right="460" w:hanging="316"/>
        <w:spacing w:after="0" w:line="246" w:lineRule="auto"/>
        <w:tabs>
          <w:tab w:leader="none" w:pos="520" w:val="left"/>
        </w:tabs>
        <w:numPr>
          <w:ilvl w:val="0"/>
          <w:numId w:val="75"/>
        </w:numPr>
        <w:rPr>
          <w:rFonts w:ascii="Arial" w:cs="Arial" w:eastAsia="Arial" w:hAnsi="Arial"/>
          <w:sz w:val="15"/>
          <w:szCs w:val="15"/>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75"/>
        </w:numPr>
        <w:rPr>
          <w:rFonts w:ascii="Arial" w:cs="Arial" w:eastAsia="Arial" w:hAnsi="Arial"/>
          <w:sz w:val="15"/>
          <w:szCs w:val="15"/>
          <w:color w:val="auto"/>
        </w:rPr>
      </w:pPr>
      <w:r>
        <w:rPr>
          <w:rFonts w:ascii="Arial" w:cs="Arial" w:eastAsia="Arial" w:hAnsi="Arial"/>
          <w:sz w:val="18"/>
          <w:szCs w:val="18"/>
          <w:color w:val="auto"/>
        </w:rPr>
        <w:t>an estate, the income of which is subject to U.S. federal income tax regardless of its source; or</w:t>
      </w:r>
    </w:p>
    <w:p>
      <w:pPr>
        <w:spacing w:after="0" w:line="36" w:lineRule="exact"/>
        <w:rPr>
          <w:rFonts w:ascii="Arial" w:cs="Arial" w:eastAsia="Arial" w:hAnsi="Arial"/>
          <w:sz w:val="15"/>
          <w:szCs w:val="15"/>
          <w:color w:val="auto"/>
        </w:rPr>
      </w:pPr>
    </w:p>
    <w:p>
      <w:pPr>
        <w:jc w:val="both"/>
        <w:ind w:left="520" w:right="360" w:hanging="316"/>
        <w:spacing w:after="0"/>
        <w:tabs>
          <w:tab w:leader="none" w:pos="520" w:val="left"/>
        </w:tabs>
        <w:numPr>
          <w:ilvl w:val="0"/>
          <w:numId w:val="75"/>
        </w:numPr>
        <w:rPr>
          <w:rFonts w:ascii="Arial" w:cs="Arial" w:eastAsia="Arial" w:hAnsi="Arial"/>
          <w:sz w:val="15"/>
          <w:szCs w:val="15"/>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Class 2 Common Stock</w:t>
      </w:r>
    </w:p>
    <w:p>
      <w:pPr>
        <w:spacing w:after="0" w:line="6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As described in the section titled “</w:t>
      </w:r>
      <w:r>
        <w:rPr>
          <w:rFonts w:ascii="Arial" w:cs="Arial" w:eastAsia="Arial" w:hAnsi="Arial"/>
          <w:sz w:val="18"/>
          <w:szCs w:val="18"/>
          <w:i w:val="1"/>
          <w:iCs w:val="1"/>
          <w:color w:val="auto"/>
        </w:rPr>
        <w:t>Dividend Policy</w:t>
      </w:r>
      <w:r>
        <w:rPr>
          <w:rFonts w:ascii="Arial" w:cs="Arial" w:eastAsia="Arial" w:hAnsi="Arial"/>
          <w:sz w:val="18"/>
          <w:szCs w:val="18"/>
          <w:color w:val="auto"/>
        </w:rPr>
        <w:t>,” we have not paid and do not anticipate paying dividends. However, if we make cash or other property distributions on our Class 2 common stock, such distributions will constitute dividends for U.S. federal income tax purposes to the extent paid from our current or accumulated earnings and profits, as determined under U.S. federal income tax principles. To the extent those distributions exceed both our current and accumulated earnings and profits, they will first constitute a non-taxable return of capital and will be applied against and reduce a holder’s tax basis in our Class 2 common stock, but not below zero. Any remaining excess will be treated as gain realized on the sale or other disposition of our Class 2 common stock and will be treated as described in the section titled “</w:t>
      </w:r>
      <w:r>
        <w:rPr>
          <w:rFonts w:ascii="Arial" w:cs="Arial" w:eastAsia="Arial" w:hAnsi="Arial"/>
          <w:sz w:val="18"/>
          <w:szCs w:val="18"/>
          <w:i w:val="1"/>
          <w:iCs w:val="1"/>
          <w:color w:val="auto"/>
        </w:rPr>
        <w:t>—Gain On Disposition of our Class 2 Common Stock</w:t>
      </w:r>
      <w:r>
        <w:rPr>
          <w:rFonts w:ascii="Arial" w:cs="Arial" w:eastAsia="Arial" w:hAnsi="Arial"/>
          <w:sz w:val="18"/>
          <w:szCs w:val="18"/>
          <w:color w:val="auto"/>
        </w:rPr>
        <w:t>” below.</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Subject to the discussions below regarding effectively connected income, backup withholding and FATCA, dividends paid to a non-U.S. holder of our Class 2 common stock generally will be subject to U.S. federal withholding tax at a rate of 30% of the gross amount of the dividends or such lower rate specified by an applicable income tax treaty. Except to the extent that we elect (or the paying agent or other intermediary through which the non-U.S. holder holds common stock elects) otherwise, we (or intermediary) must generally withhold on the entire distribution, in which case the non-U.S. holder would be entitled to a refund from the IRS for the withholding tax on the portion of the distribution that exceeded our current and accumulated earnings and profits. To receive the benefit of a reduced treaty rate, a non-U.S. holder must furnish us or our paying agent with a valid IRS Form W-8BEN or IRS Form W-8BEN-E (or applicable successor form) including an applicable taxpayer identification number and certifying such holder’s qualification for the reduced rate. This certification must be provided to us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 and the manner of claiming the benefits of such treaty.</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97"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If a non-U.S. holder holds our Class 2 common stock in connection with the conduct of a trade or business in the United States, and dividends paid on our Class 2 common stock are effectively connected with such holder’s U.S. trade or business (and are attributable to such holder’s permanent establishment in the United States if required by an applicable tax treaty), the non-U.S. holder will be exempt from U.S. federal withholding tax described above. To claim the exemption, the non-U.S. holder must generally furnish a valid IRS Form W-8ECI (or applicable successor form) to the applicable withholding agent, certifying that the dividends are effectively connected with the non-U.S. holders’ conduct of a trade or business within the United States. This certification must be provided to us or our paying agent before the payment of dividends and must be updated periodically.</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However, any such effectively connected dividends paid on our Class 2 common stock generally will be subject to U.S.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Class 2 Common Stock</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w:t>
      </w:r>
    </w:p>
    <w:p>
      <w:pPr>
        <w:ind w:left="200"/>
        <w:spacing w:after="0"/>
        <w:rPr>
          <w:sz w:val="20"/>
          <w:szCs w:val="20"/>
          <w:color w:val="auto"/>
        </w:rPr>
      </w:pPr>
      <w:r>
        <w:rPr>
          <w:rFonts w:ascii="Arial" w:cs="Arial" w:eastAsia="Arial" w:hAnsi="Arial"/>
          <w:sz w:val="18"/>
          <w:szCs w:val="18"/>
          <w:color w:val="auto"/>
        </w:rPr>
        <w:t>federal income tax on any gain realized on the sale or other disposition of our Class 2 common stock, unless:</w:t>
      </w:r>
    </w:p>
    <w:p>
      <w:pPr>
        <w:spacing w:after="0" w:line="239" w:lineRule="exact"/>
        <w:rPr>
          <w:sz w:val="20"/>
          <w:szCs w:val="20"/>
          <w:color w:val="auto"/>
        </w:rPr>
      </w:pPr>
    </w:p>
    <w:p>
      <w:pPr>
        <w:ind w:left="520" w:right="180" w:hanging="316"/>
        <w:spacing w:after="0" w:line="246" w:lineRule="auto"/>
        <w:tabs>
          <w:tab w:leader="none" w:pos="520" w:val="left"/>
        </w:tabs>
        <w:numPr>
          <w:ilvl w:val="0"/>
          <w:numId w:val="76"/>
        </w:numPr>
        <w:rPr>
          <w:rFonts w:ascii="Arial" w:cs="Arial" w:eastAsia="Arial" w:hAnsi="Arial"/>
          <w:sz w:val="15"/>
          <w:szCs w:val="15"/>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21" w:lineRule="exact"/>
        <w:rPr>
          <w:rFonts w:ascii="Arial" w:cs="Arial" w:eastAsia="Arial" w:hAnsi="Arial"/>
          <w:sz w:val="15"/>
          <w:szCs w:val="15"/>
          <w:color w:val="auto"/>
        </w:rPr>
      </w:pPr>
    </w:p>
    <w:p>
      <w:pPr>
        <w:ind w:left="520" w:right="200" w:hanging="316"/>
        <w:spacing w:after="0" w:line="246" w:lineRule="auto"/>
        <w:tabs>
          <w:tab w:leader="none" w:pos="520" w:val="left"/>
        </w:tabs>
        <w:numPr>
          <w:ilvl w:val="0"/>
          <w:numId w:val="76"/>
        </w:numPr>
        <w:rPr>
          <w:rFonts w:ascii="Arial" w:cs="Arial" w:eastAsia="Arial" w:hAnsi="Arial"/>
          <w:sz w:val="15"/>
          <w:szCs w:val="15"/>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21" w:lineRule="exact"/>
        <w:rPr>
          <w:rFonts w:ascii="Arial" w:cs="Arial" w:eastAsia="Arial" w:hAnsi="Arial"/>
          <w:sz w:val="15"/>
          <w:szCs w:val="15"/>
          <w:color w:val="auto"/>
        </w:rPr>
      </w:pPr>
    </w:p>
    <w:p>
      <w:pPr>
        <w:ind w:left="520" w:right="60" w:hanging="316"/>
        <w:spacing w:after="0" w:line="239" w:lineRule="auto"/>
        <w:tabs>
          <w:tab w:leader="none" w:pos="520" w:val="left"/>
        </w:tabs>
        <w:numPr>
          <w:ilvl w:val="0"/>
          <w:numId w:val="76"/>
        </w:numPr>
        <w:rPr>
          <w:rFonts w:ascii="Arial" w:cs="Arial" w:eastAsia="Arial" w:hAnsi="Arial"/>
          <w:sz w:val="15"/>
          <w:szCs w:val="15"/>
          <w:color w:val="auto"/>
        </w:rPr>
      </w:pPr>
      <w:r>
        <w:rPr>
          <w:rFonts w:ascii="Arial" w:cs="Arial" w:eastAsia="Arial" w:hAnsi="Arial"/>
          <w:sz w:val="18"/>
          <w:szCs w:val="18"/>
          <w:color w:val="auto"/>
        </w:rPr>
        <w:t>our Class 2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Class 2 common stock, and our Class 2 common stock is not regularly traded on an established securities market during the calendar year in which the sale or other disposition occurs.</w:t>
      </w:r>
    </w:p>
    <w:p>
      <w:pPr>
        <w:spacing w:after="0" w:line="20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 federal income tax purposes, although there can be no assurance we will not in the future become a USRPHC.</w:t>
      </w:r>
    </w:p>
    <w:p>
      <w:pPr>
        <w:spacing w:after="0" w:line="212" w:lineRule="exact"/>
        <w:rPr>
          <w:sz w:val="20"/>
          <w:szCs w:val="20"/>
          <w:color w:val="auto"/>
        </w:rPr>
      </w:pPr>
    </w:p>
    <w:p>
      <w:pPr>
        <w:ind w:left="200" w:firstLine="331"/>
        <w:spacing w:after="0" w:line="252" w:lineRule="auto"/>
        <w:rPr>
          <w:sz w:val="20"/>
          <w:szCs w:val="20"/>
          <w:color w:val="auto"/>
        </w:rPr>
      </w:pPr>
      <w:r>
        <w:rPr>
          <w:rFonts w:ascii="Arial" w:cs="Arial" w:eastAsia="Arial" w:hAnsi="Arial"/>
          <w:sz w:val="17"/>
          <w:szCs w:val="17"/>
          <w:color w:val="auto"/>
        </w:rPr>
        <w:t>Gain described in the first bullet point above generally will be subject to United States federal income tax on a net income basis at the regular graduated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Annual reports are required to be filed with the IRS and provided to each non-U.S. holder indicating the amount of dividends on our Class 2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In addition, in certain circumstances, the payment of the proceeds from a sale or of disposition of our Class 2 common stock may be subject to information reporting. Copies of information returns that are filed with the IRS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2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 Non-U.S. holders are urged to consult their tax advisors on the application of information reporting and backup withholding in light of their particular circumstances.</w:t>
      </w:r>
    </w:p>
    <w:p>
      <w:pPr>
        <w:spacing w:after="0" w:line="20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on Foreign Entities</w:t>
      </w:r>
    </w:p>
    <w:p>
      <w:pPr>
        <w:spacing w:after="0" w:line="8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foreign country may modify these requirements. Under certain circumstances, a non-U.S. holder might be eligible for refunds or credits of such taxes. FATCA currently applies to dividends paid on our Class 2 common stock. FATCA will also apply to gross proceeds from sales or other dispositions of our Class 2 common stock after December 31, 2018.</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and other U.S. federal, state and local, and non-U.S. tax consequences of acquiring, holding and disposing of our Class 2 common stock.</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240" w:top="459" w:right="5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jc w:val="both"/>
        <w:ind w:left="200" w:right="160" w:firstLine="331"/>
        <w:spacing w:after="0" w:line="239"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shares of our Class 2 common stock being offered. Subject to the terms and conditions of the underwriting agreement, each underwriter has severally agreed to purchase from us the number of shares of our Class 2 common stock set forth opposite its name below. Cowen and Company, LLC is the sole representative of the underwriters.</w:t>
      </w:r>
    </w:p>
    <w:p>
      <w:pPr>
        <w:sectPr>
          <w:pgSz w:w="11900" w:h="16838" w:orient="portrait"/>
          <w:cols w:equalWidth="0" w:num="1">
            <w:col w:w="11220"/>
          </w:cols>
          <w:pgMar w:left="240" w:top="459" w:right="439" w:bottom="1440" w:gutter="0" w:footer="0" w:header="0"/>
        </w:sectPr>
      </w:pPr>
    </w:p>
    <w:p>
      <w:pPr>
        <w:spacing w:after="0" w:line="379" w:lineRule="exact"/>
        <w:rPr>
          <w:sz w:val="20"/>
          <w:szCs w:val="20"/>
          <w:color w:val="auto"/>
        </w:rPr>
      </w:pPr>
    </w:p>
    <w:p>
      <w:pPr>
        <w:ind w:left="54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-6035040</wp:posOffset>
            </wp:positionH>
            <wp:positionV relativeFrom="paragraph">
              <wp:posOffset>-1905</wp:posOffset>
            </wp:positionV>
            <wp:extent cx="657796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9320" w:space="720"/>
            <w:col w:w="1180"/>
          </w:cols>
          <w:pgMar w:left="240" w:top="459" w:right="43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120015</wp:posOffset>
            </wp:positionV>
            <wp:extent cx="5657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77965" cy="154305"/>
                    </a:xfrm>
                    <a:prstGeom prst="rect">
                      <a:avLst/>
                    </a:prstGeom>
                    <a:noFill/>
                  </pic:spPr>
                </pic:pic>
              </a:graphicData>
            </a:graphic>
          </wp:anchor>
        </w:drawing>
      </w:r>
    </w:p>
    <w:p>
      <w:pPr>
        <w:spacing w:after="0" w:line="246"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shares of our Class 2 common stock sold under the underwriting agreement if any of these shares are purchased, other than those shares covered by the over-allotment option described below. If an underwriter defaults, the underwriting agreement provides that the purchase commitments of the non-defaulting underwriters may be increased or the underwriting agreement may be terminated.</w:t>
      </w:r>
    </w:p>
    <w:p>
      <w:pPr>
        <w:spacing w:after="0" w:line="203" w:lineRule="exact"/>
        <w:rPr>
          <w:sz w:val="20"/>
          <w:szCs w:val="20"/>
          <w:color w:val="auto"/>
        </w:rPr>
      </w:pPr>
    </w:p>
    <w:p>
      <w:pPr>
        <w:ind w:left="200" w:right="800" w:firstLine="331"/>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The underwriters are offering the shares of our Class 2 common stock,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Over-allotment Option to Purchase Additional Shares</w:t>
      </w:r>
    </w:p>
    <w:p>
      <w:pPr>
        <w:spacing w:after="0" w:line="94" w:lineRule="exact"/>
        <w:rPr>
          <w:sz w:val="20"/>
          <w:szCs w:val="20"/>
          <w:color w:val="auto"/>
        </w:rPr>
      </w:pPr>
    </w:p>
    <w:p>
      <w:pPr>
        <w:ind w:left="540"/>
        <w:spacing w:after="0"/>
        <w:tabs>
          <w:tab w:leader="none" w:pos="6460" w:val="left"/>
        </w:tabs>
        <w:rPr>
          <w:sz w:val="20"/>
          <w:szCs w:val="20"/>
          <w:color w:val="auto"/>
        </w:rPr>
      </w:pPr>
      <w:r>
        <w:rPr>
          <w:rFonts w:ascii="Arial" w:cs="Arial" w:eastAsia="Arial" w:hAnsi="Arial"/>
          <w:sz w:val="18"/>
          <w:szCs w:val="18"/>
          <w:color w:val="auto"/>
        </w:rPr>
        <w:t>We have granted to the underwriters an option to purchase up to</w:t>
      </w:r>
      <w:r>
        <w:rPr>
          <w:sz w:val="20"/>
          <w:szCs w:val="20"/>
          <w:color w:val="auto"/>
        </w:rPr>
        <w:tab/>
      </w:r>
      <w:r>
        <w:rPr>
          <w:rFonts w:ascii="Arial" w:cs="Arial" w:eastAsia="Arial" w:hAnsi="Arial"/>
          <w:sz w:val="17"/>
          <w:szCs w:val="17"/>
          <w:color w:val="auto"/>
        </w:rPr>
        <w:t>additional shares of our Class 2 common stock at the</w:t>
      </w:r>
    </w:p>
    <w:p>
      <w:pPr>
        <w:ind w:left="200" w:right="140"/>
        <w:spacing w:after="0" w:line="239" w:lineRule="auto"/>
        <w:rPr>
          <w:sz w:val="20"/>
          <w:szCs w:val="20"/>
          <w:color w:val="auto"/>
        </w:rPr>
      </w:pPr>
      <w:r>
        <w:rPr>
          <w:rFonts w:ascii="Arial" w:cs="Arial" w:eastAsia="Arial" w:hAnsi="Arial"/>
          <w:sz w:val="18"/>
          <w:szCs w:val="18"/>
          <w:color w:val="auto"/>
        </w:rPr>
        <w:t>public offering price, less the underwriting discount. This option is exercisable for a period of 30 days. The underwriters may exercise this option solely for the purpose of covering over-allotments, if any, made in connection with the sale of our Class 2 common stock offered hereby. To the extent that the underwriters exercise this option, the underwriters will purchase additional shares from us in approximately the same proportion as shown in the table above.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Discount</w:t>
      </w:r>
    </w:p>
    <w:p>
      <w:pPr>
        <w:spacing w:after="0" w:line="85" w:lineRule="exact"/>
        <w:rPr>
          <w:sz w:val="20"/>
          <w:szCs w:val="20"/>
          <w:color w:val="auto"/>
        </w:rPr>
      </w:pPr>
    </w:p>
    <w:p>
      <w:pPr>
        <w:ind w:left="200" w:right="20" w:firstLine="331"/>
        <w:spacing w:after="0" w:line="275" w:lineRule="auto"/>
        <w:rPr>
          <w:sz w:val="20"/>
          <w:szCs w:val="20"/>
          <w:color w:val="auto"/>
        </w:rPr>
      </w:pPr>
      <w:r>
        <w:rPr>
          <w:rFonts w:ascii="Arial" w:cs="Arial" w:eastAsia="Arial" w:hAnsi="Arial"/>
          <w:sz w:val="17"/>
          <w:szCs w:val="17"/>
          <w:color w:val="auto"/>
        </w:rPr>
        <w:t>The following table shows the public offering price, underwriting discount and proceeds, before expenses, to us. These amounts are shown assuming both no exercise and full exercise of the underwriters’ option to purchase additional shares of our Class 2 common stock.</w:t>
      </w:r>
    </w:p>
    <w:p>
      <w:pPr>
        <w:spacing w:after="0" w:line="173" w:lineRule="exact"/>
        <w:rPr>
          <w:sz w:val="20"/>
          <w:szCs w:val="20"/>
          <w:color w:val="auto"/>
        </w:rPr>
      </w:pPr>
    </w:p>
    <w:p>
      <w:pPr>
        <w:ind w:left="200" w:right="440" w:firstLine="331"/>
        <w:spacing w:after="0" w:line="234" w:lineRule="auto"/>
        <w:rPr>
          <w:sz w:val="20"/>
          <w:szCs w:val="20"/>
          <w:color w:val="auto"/>
        </w:rPr>
      </w:pPr>
      <w:r>
        <w:rPr>
          <w:rFonts w:ascii="Arial" w:cs="Arial" w:eastAsia="Arial" w:hAnsi="Arial"/>
          <w:sz w:val="18"/>
          <w:szCs w:val="18"/>
          <w:color w:val="auto"/>
        </w:rPr>
        <w:t>We estimate that the total expenses of the offering, excluding the underwriting discount, will be approximately $ and are payable by us. We also have agreed to reimburse the underwriters for expense relating to clearance of this offering with the Financial</w:t>
      </w:r>
    </w:p>
    <w:p>
      <w:pPr>
        <w:spacing w:after="0" w:line="2" w:lineRule="exact"/>
        <w:rPr>
          <w:sz w:val="20"/>
          <w:szCs w:val="20"/>
          <w:color w:val="auto"/>
        </w:rPr>
      </w:pPr>
    </w:p>
    <w:p>
      <w:pPr>
        <w:ind w:left="200"/>
        <w:spacing w:after="0"/>
        <w:tabs>
          <w:tab w:leader="none" w:pos="4280" w:val="left"/>
        </w:tabs>
        <w:rPr>
          <w:sz w:val="20"/>
          <w:szCs w:val="20"/>
          <w:color w:val="auto"/>
        </w:rPr>
      </w:pPr>
      <w:r>
        <w:rPr>
          <w:rFonts w:ascii="Arial" w:cs="Arial" w:eastAsia="Arial" w:hAnsi="Arial"/>
          <w:sz w:val="18"/>
          <w:szCs w:val="18"/>
          <w:color w:val="auto"/>
        </w:rPr>
        <w:t>Industry Regulatory Authority, Inc. up to $</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Total</w:t>
      </w:r>
    </w:p>
    <w:p>
      <w:pPr>
        <w:spacing w:after="0" w:line="14" w:lineRule="exact"/>
        <w:rPr>
          <w:sz w:val="20"/>
          <w:szCs w:val="20"/>
          <w:color w:val="auto"/>
        </w:rPr>
      </w:pPr>
    </w:p>
    <w:tbl>
      <w:tblPr>
        <w:tblLayout w:type="fixed"/>
        <w:tblInd w:w="6600" w:type="dxa"/>
        <w:tblCellMar>
          <w:top w:w="0" w:type="dxa"/>
          <w:left w:w="0" w:type="dxa"/>
          <w:bottom w:w="0" w:type="dxa"/>
          <w:right w:w="0" w:type="dxa"/>
        </w:tblCellMar>
      </w:tblPr>
      <w:tr>
        <w:trPr>
          <w:trHeight w:val="142"/>
        </w:trPr>
        <w:tc>
          <w:tcPr>
            <w:tcW w:w="1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Without Over-</w:t>
            </w:r>
          </w:p>
        </w:tc>
        <w:tc>
          <w:tcPr>
            <w:tcW w:w="1220" w:type="dxa"/>
            <w:vAlign w:val="bottom"/>
            <w:tcBorders>
              <w:top w:val="single" w:sz="8" w:color="auto"/>
            </w:tcBorders>
          </w:tcPr>
          <w:p>
            <w:pPr>
              <w:jc w:val="center"/>
              <w:ind w:left="408"/>
              <w:spacing w:after="0" w:line="143" w:lineRule="exact"/>
              <w:rPr>
                <w:sz w:val="20"/>
                <w:szCs w:val="20"/>
                <w:color w:val="auto"/>
              </w:rPr>
            </w:pPr>
            <w:r>
              <w:rPr>
                <w:rFonts w:ascii="Arial" w:cs="Arial" w:eastAsia="Arial" w:hAnsi="Arial"/>
                <w:sz w:val="14"/>
                <w:szCs w:val="14"/>
                <w:b w:val="1"/>
                <w:bCs w:val="1"/>
                <w:color w:val="auto"/>
              </w:rPr>
              <w:t>With Over-</w:t>
            </w:r>
          </w:p>
        </w:tc>
      </w:tr>
      <w:tr>
        <w:trPr>
          <w:trHeight w:val="174"/>
        </w:trPr>
        <w:tc>
          <w:tcPr>
            <w:tcW w:w="1140" w:type="dxa"/>
            <w:vAlign w:val="bottom"/>
          </w:tcPr>
          <w:p>
            <w:pPr>
              <w:spacing w:after="0"/>
              <w:rPr>
                <w:sz w:val="20"/>
                <w:szCs w:val="20"/>
                <w:color w:val="auto"/>
              </w:rPr>
            </w:pPr>
            <w:r>
              <w:rPr>
                <w:rFonts w:ascii="Arial" w:cs="Arial" w:eastAsia="Arial" w:hAnsi="Arial"/>
                <w:sz w:val="14"/>
                <w:szCs w:val="14"/>
                <w:b w:val="1"/>
                <w:bCs w:val="1"/>
                <w:u w:val="single" w:color="auto"/>
                <w:color w:val="auto"/>
              </w:rPr>
              <w:t>Per Share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Allotment</w:t>
            </w:r>
          </w:p>
        </w:tc>
        <w:tc>
          <w:tcPr>
            <w:tcW w:w="1220" w:type="dxa"/>
            <w:vAlign w:val="bottom"/>
          </w:tcPr>
          <w:p>
            <w:pPr>
              <w:jc w:val="center"/>
              <w:ind w:left="408"/>
              <w:spacing w:after="0"/>
              <w:rPr>
                <w:sz w:val="20"/>
                <w:szCs w:val="20"/>
                <w:color w:val="auto"/>
              </w:rPr>
            </w:pPr>
            <w:r>
              <w:rPr>
                <w:rFonts w:ascii="Arial" w:cs="Arial" w:eastAsia="Arial" w:hAnsi="Arial"/>
                <w:sz w:val="14"/>
                <w:szCs w:val="14"/>
                <w:b w:val="1"/>
                <w:bCs w:val="1"/>
                <w:u w:val="single" w:color="auto"/>
                <w:color w:val="auto"/>
              </w:rPr>
              <w:t>Allotment</w:t>
            </w:r>
          </w:p>
        </w:tc>
      </w:tr>
    </w:tbl>
    <w:p>
      <w:pPr>
        <w:ind w:left="540"/>
        <w:spacing w:after="0" w:line="234" w:lineRule="auto"/>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Underwriting discount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192" w:lineRule="exact"/>
        <w:rPr>
          <w:sz w:val="20"/>
          <w:szCs w:val="20"/>
          <w:color w:val="auto"/>
        </w:rPr>
      </w:pPr>
    </w:p>
    <w:p>
      <w:pPr>
        <w:ind w:left="200" w:right="260" w:firstLine="331"/>
        <w:spacing w:after="0" w:line="234" w:lineRule="auto"/>
        <w:rPr>
          <w:sz w:val="20"/>
          <w:szCs w:val="20"/>
          <w:color w:val="auto"/>
        </w:rPr>
      </w:pPr>
      <w:r>
        <w:rPr>
          <w:rFonts w:ascii="Arial" w:cs="Arial" w:eastAsia="Arial" w:hAnsi="Arial"/>
          <w:sz w:val="18"/>
          <w:szCs w:val="18"/>
          <w:color w:val="auto"/>
        </w:rPr>
        <w:t>The underwriters propose to offer the shares of our Class 2 common stock to the public at the public offering price set forth on the cover of this prospectus. The underwriters may offer the shares of our Class 2 common stock to securities dealers at the public offering</w:t>
      </w:r>
    </w:p>
    <w:p>
      <w:pPr>
        <w:spacing w:after="0" w:line="2" w:lineRule="exact"/>
        <w:rPr>
          <w:sz w:val="20"/>
          <w:szCs w:val="20"/>
          <w:color w:val="auto"/>
        </w:rPr>
      </w:pPr>
    </w:p>
    <w:p>
      <w:pPr>
        <w:jc w:val="both"/>
        <w:ind w:left="200" w:right="120"/>
        <w:spacing w:after="0" w:line="246" w:lineRule="auto"/>
        <w:rPr>
          <w:sz w:val="20"/>
          <w:szCs w:val="20"/>
          <w:color w:val="auto"/>
        </w:rPr>
      </w:pPr>
      <w:r>
        <w:rPr>
          <w:rFonts w:ascii="Arial" w:cs="Arial" w:eastAsia="Arial" w:hAnsi="Arial"/>
          <w:sz w:val="18"/>
          <w:szCs w:val="18"/>
          <w:color w:val="auto"/>
        </w:rPr>
        <w:t>price less a concession not in excess of $ per share. If all of the shares are not sold at the public offering price, the underwriters may change the offering price and other selling terms.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Discretionary Accounts</w:t>
      </w:r>
    </w:p>
    <w:p>
      <w:pPr>
        <w:spacing w:after="0" w:line="99"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The underwriters do not intend to confirm sales of the shares of our Class 2 common stock to any accounts over which they have discretionary authority.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Information</w:t>
      </w:r>
    </w:p>
    <w:p>
      <w:pPr>
        <w:spacing w:after="0" w:line="85"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Prior to this offering, there has been no public market for shares of our Class 2 common stock. The initial public offering price will be determined by negotiations between us and the representative of the underwriters. In addition to prevailing market conditions, the factors to be considered in these negotiations will include:</w:t>
      </w:r>
    </w:p>
    <w:p>
      <w:pPr>
        <w:spacing w:after="0" w:line="230" w:lineRule="exact"/>
        <w:rPr>
          <w:sz w:val="20"/>
          <w:szCs w:val="20"/>
          <w:color w:val="auto"/>
        </w:rPr>
      </w:pPr>
    </w:p>
    <w:p>
      <w:pPr>
        <w:ind w:left="520" w:hanging="316"/>
        <w:spacing w:after="0"/>
        <w:tabs>
          <w:tab w:leader="none" w:pos="520" w:val="left"/>
        </w:tabs>
        <w:numPr>
          <w:ilvl w:val="0"/>
          <w:numId w:val="77"/>
        </w:numPr>
        <w:rPr>
          <w:rFonts w:ascii="Arial" w:cs="Arial" w:eastAsia="Arial" w:hAnsi="Arial"/>
          <w:sz w:val="15"/>
          <w:szCs w:val="15"/>
          <w:color w:val="auto"/>
        </w:rPr>
      </w:pPr>
      <w:r>
        <w:rPr>
          <w:rFonts w:ascii="Arial" w:cs="Arial" w:eastAsia="Arial" w:hAnsi="Arial"/>
          <w:sz w:val="18"/>
          <w:szCs w:val="18"/>
          <w:color w:val="auto"/>
        </w:rPr>
        <w:t>the history of, and prospects for, our company and the industry in which we compete;</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7"/>
        </w:numPr>
        <w:rPr>
          <w:rFonts w:ascii="Arial" w:cs="Arial" w:eastAsia="Arial" w:hAnsi="Arial"/>
          <w:sz w:val="15"/>
          <w:szCs w:val="15"/>
          <w:color w:val="auto"/>
        </w:rPr>
      </w:pPr>
      <w:r>
        <w:rPr>
          <w:rFonts w:ascii="Arial" w:cs="Arial" w:eastAsia="Arial" w:hAnsi="Arial"/>
          <w:sz w:val="18"/>
          <w:szCs w:val="18"/>
          <w:color w:val="auto"/>
        </w:rPr>
        <w:t>our past and present financial information;</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7"/>
        </w:numPr>
        <w:rPr>
          <w:rFonts w:ascii="Arial" w:cs="Arial" w:eastAsia="Arial" w:hAnsi="Arial"/>
          <w:sz w:val="15"/>
          <w:szCs w:val="15"/>
          <w:color w:val="auto"/>
        </w:rPr>
      </w:pPr>
      <w:r>
        <w:rPr>
          <w:rFonts w:ascii="Arial" w:cs="Arial" w:eastAsia="Arial" w:hAnsi="Arial"/>
          <w:sz w:val="18"/>
          <w:szCs w:val="18"/>
          <w:color w:val="auto"/>
        </w:rPr>
        <w:t>an assessment of our management;</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7"/>
        </w:numPr>
        <w:rPr>
          <w:rFonts w:ascii="Arial" w:cs="Arial" w:eastAsia="Arial" w:hAnsi="Arial"/>
          <w:sz w:val="15"/>
          <w:szCs w:val="15"/>
          <w:color w:val="auto"/>
        </w:rPr>
      </w:pPr>
      <w:r>
        <w:rPr>
          <w:rFonts w:ascii="Arial" w:cs="Arial" w:eastAsia="Arial" w:hAnsi="Arial"/>
          <w:sz w:val="18"/>
          <w:szCs w:val="18"/>
          <w:color w:val="auto"/>
        </w:rPr>
        <w:t>our past and present operations, and the prospects for, and timing of, our future revenue;</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7"/>
        </w:numPr>
        <w:rPr>
          <w:rFonts w:ascii="Arial" w:cs="Arial" w:eastAsia="Arial" w:hAnsi="Arial"/>
          <w:sz w:val="15"/>
          <w:szCs w:val="15"/>
          <w:color w:val="auto"/>
        </w:rPr>
      </w:pPr>
      <w:r>
        <w:rPr>
          <w:rFonts w:ascii="Arial" w:cs="Arial" w:eastAsia="Arial" w:hAnsi="Arial"/>
          <w:sz w:val="18"/>
          <w:szCs w:val="18"/>
          <w:color w:val="auto"/>
        </w:rPr>
        <w:t>the present state of our development; and</w:t>
      </w:r>
    </w:p>
    <w:p>
      <w:pPr>
        <w:spacing w:after="0" w:line="36" w:lineRule="exact"/>
        <w:rPr>
          <w:rFonts w:ascii="Arial" w:cs="Arial" w:eastAsia="Arial" w:hAnsi="Arial"/>
          <w:sz w:val="15"/>
          <w:szCs w:val="15"/>
          <w:color w:val="auto"/>
        </w:rPr>
      </w:pPr>
    </w:p>
    <w:p>
      <w:pPr>
        <w:ind w:left="520" w:hanging="316"/>
        <w:spacing w:after="0"/>
        <w:tabs>
          <w:tab w:leader="none" w:pos="520" w:val="left"/>
        </w:tabs>
        <w:numPr>
          <w:ilvl w:val="0"/>
          <w:numId w:val="77"/>
        </w:numPr>
        <w:rPr>
          <w:rFonts w:ascii="Arial" w:cs="Arial" w:eastAsia="Arial" w:hAnsi="Arial"/>
          <w:sz w:val="15"/>
          <w:szCs w:val="15"/>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21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An active trading market for our Class 2 common stock may not develop, or if such a market develops, may not be sustained. It is also possible that after the offering the shares will not trade in the public market at or above the initial public offering price.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intend to apply to list our Class 2 common stock on the Nasdaq Global Select Market under the symbol “TLRY.”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Stabilization</w:t>
      </w:r>
    </w:p>
    <w:p>
      <w:pPr>
        <w:spacing w:after="0" w:line="85"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purchases to cover positions created by short sales.</w:t>
      </w:r>
    </w:p>
    <w:p>
      <w:pPr>
        <w:spacing w:after="0" w:line="224" w:lineRule="exact"/>
        <w:rPr>
          <w:sz w:val="20"/>
          <w:szCs w:val="20"/>
          <w:color w:val="auto"/>
        </w:rPr>
      </w:pPr>
    </w:p>
    <w:p>
      <w:pPr>
        <w:ind w:left="520" w:right="220" w:hanging="316"/>
        <w:spacing w:after="0"/>
        <w:tabs>
          <w:tab w:leader="none" w:pos="520" w:val="left"/>
        </w:tabs>
        <w:numPr>
          <w:ilvl w:val="0"/>
          <w:numId w:val="78"/>
        </w:numPr>
        <w:rPr>
          <w:rFonts w:ascii="Arial" w:cs="Arial" w:eastAsia="Arial" w:hAnsi="Arial"/>
          <w:sz w:val="15"/>
          <w:szCs w:val="15"/>
          <w:color w:val="auto"/>
        </w:rPr>
      </w:pPr>
      <w:r>
        <w:rPr>
          <w:rFonts w:ascii="Arial" w:cs="Arial" w:eastAsia="Arial" w:hAnsi="Arial"/>
          <w:sz w:val="18"/>
          <w:szCs w:val="18"/>
          <w:color w:val="auto"/>
        </w:rPr>
        <w:t>Stabilizing transactions permit bids to purchase shares of our Class 2 common stock so long as the stabilizing bids do not exceed a specified maximum, and are engaged in for the purpose of preventing or retarding a decline in the market price of our Class 2 common stock while the offering is in progress.</w:t>
      </w:r>
    </w:p>
    <w:p>
      <w:pPr>
        <w:spacing w:after="0" w:line="27" w:lineRule="exact"/>
        <w:rPr>
          <w:rFonts w:ascii="Arial" w:cs="Arial" w:eastAsia="Arial" w:hAnsi="Arial"/>
          <w:sz w:val="15"/>
          <w:szCs w:val="15"/>
          <w:color w:val="auto"/>
        </w:rPr>
      </w:pPr>
    </w:p>
    <w:p>
      <w:pPr>
        <w:ind w:left="520" w:right="480" w:hanging="316"/>
        <w:spacing w:after="0" w:line="246" w:lineRule="auto"/>
        <w:tabs>
          <w:tab w:leader="none" w:pos="520" w:val="left"/>
        </w:tabs>
        <w:numPr>
          <w:ilvl w:val="0"/>
          <w:numId w:val="78"/>
        </w:numPr>
        <w:rPr>
          <w:rFonts w:ascii="Arial" w:cs="Arial" w:eastAsia="Arial" w:hAnsi="Arial"/>
          <w:sz w:val="15"/>
          <w:szCs w:val="15"/>
          <w:color w:val="auto"/>
        </w:rPr>
      </w:pPr>
      <w:r>
        <w:rPr>
          <w:rFonts w:ascii="Arial" w:cs="Arial" w:eastAsia="Arial" w:hAnsi="Arial"/>
          <w:sz w:val="18"/>
          <w:szCs w:val="18"/>
          <w:color w:val="auto"/>
        </w:rPr>
        <w:t>Over-allotment transactions involve sales by the underwriters of shares of our Class 2 common stock in excess of the number of shares the underwriters are obligated to purchase. This creates a</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200"/>
        <w:spacing w:after="0" w:line="238" w:lineRule="auto"/>
        <w:rPr>
          <w:sz w:val="20"/>
          <w:szCs w:val="20"/>
          <w:color w:val="auto"/>
        </w:rPr>
      </w:pPr>
      <w:r>
        <w:rPr>
          <w:rFonts w:ascii="Arial" w:cs="Arial" w:eastAsia="Arial" w:hAnsi="Arial"/>
          <w:sz w:val="18"/>
          <w:szCs w:val="18"/>
          <w:color w:val="auto"/>
        </w:rPr>
        <w:t>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of our Class 2 common stock in the open market.</w:t>
      </w:r>
    </w:p>
    <w:p>
      <w:pPr>
        <w:spacing w:after="0" w:line="27" w:lineRule="exact"/>
        <w:rPr>
          <w:sz w:val="20"/>
          <w:szCs w:val="20"/>
          <w:color w:val="auto"/>
        </w:rPr>
      </w:pPr>
    </w:p>
    <w:p>
      <w:pPr>
        <w:ind w:left="520" w:hanging="316"/>
        <w:spacing w:after="0" w:line="236" w:lineRule="auto"/>
        <w:tabs>
          <w:tab w:leader="none" w:pos="520" w:val="left"/>
        </w:tabs>
        <w:numPr>
          <w:ilvl w:val="0"/>
          <w:numId w:val="79"/>
        </w:numPr>
        <w:rPr>
          <w:rFonts w:ascii="Arial" w:cs="Arial" w:eastAsia="Arial" w:hAnsi="Arial"/>
          <w:sz w:val="15"/>
          <w:szCs w:val="15"/>
          <w:color w:val="auto"/>
        </w:rPr>
      </w:pPr>
      <w:r>
        <w:rPr>
          <w:rFonts w:ascii="Arial" w:cs="Arial" w:eastAsia="Arial" w:hAnsi="Arial"/>
          <w:sz w:val="18"/>
          <w:szCs w:val="18"/>
          <w:color w:val="auto"/>
        </w:rPr>
        <w:t>Syndicate covering transactions involve purchases of our Class 2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of our Class 2 common stock in the open market that could adversely affect investors who purchase in the offering.</w:t>
      </w:r>
    </w:p>
    <w:p>
      <w:pPr>
        <w:spacing w:after="0" w:line="32" w:lineRule="exact"/>
        <w:rPr>
          <w:rFonts w:ascii="Arial" w:cs="Arial" w:eastAsia="Arial" w:hAnsi="Arial"/>
          <w:sz w:val="15"/>
          <w:szCs w:val="15"/>
          <w:color w:val="auto"/>
        </w:rPr>
      </w:pPr>
    </w:p>
    <w:p>
      <w:pPr>
        <w:jc w:val="both"/>
        <w:ind w:left="520" w:right="540" w:hanging="316"/>
        <w:spacing w:after="0"/>
        <w:tabs>
          <w:tab w:leader="none" w:pos="520" w:val="left"/>
        </w:tabs>
        <w:numPr>
          <w:ilvl w:val="0"/>
          <w:numId w:val="79"/>
        </w:numPr>
        <w:rPr>
          <w:rFonts w:ascii="Arial" w:cs="Arial" w:eastAsia="Arial" w:hAnsi="Arial"/>
          <w:sz w:val="15"/>
          <w:szCs w:val="15"/>
          <w:color w:val="auto"/>
        </w:rPr>
      </w:pPr>
      <w:r>
        <w:rPr>
          <w:rFonts w:ascii="Arial" w:cs="Arial" w:eastAsia="Arial" w:hAnsi="Arial"/>
          <w:sz w:val="18"/>
          <w:szCs w:val="18"/>
          <w:color w:val="auto"/>
        </w:rPr>
        <w:t>Penalty bids permit the representative to reclaim a selling concession from a syndicate member when the shares of our Class 2 common stock originally sold by that syndicate member are purchased in stabilizing or syndicate covering transactions to cover syndicate short positions.</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Class 2 common stock or preventing or retarding a decline in the market price of our Class 2 common stock. As a result, the price of our Class 2 common stock in the open market may be higher than it would otherwise be in the absence of these transactions. Neither we nor the underwriters make any representation or prediction as to the effect that the transactions described above may have on the price of our Class 2 common stock. These transactions may be effected on the Nasdaq Global Select Market, in the over-the-counter market or otherwise and, if commenced, may be discontinued at any time.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Passive Market Making</w:t>
      </w:r>
    </w:p>
    <w:p>
      <w:pPr>
        <w:spacing w:after="0" w:line="99"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connection with this offering, underwriters and selling group members may engage in passive market making transactions in our Class 2 common stock on the Nasdaq Global Select Market in accordance with Rule 103 of Regulation M under the Exchange Act during a period before the commencement of offers or sales of our Class 2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Pursuant to certain “lock-up” agreements, we and our executive officers, directors and our other stockholders, have agreed, subject to certain exceptions, not to (a) offer, sell, assign, transfer, pledge, contract to sell, or otherwise dispose of, or announce the intention to otherwise dispose of, or enter into any swap, hedge or similar agreement or arrangement that transfers, in whole or in part, the economic consequence of ownership of, directly or indirectly, (b) make any demand or request or exercise any right with respect to the registration of, or file with the SEC a registration statement under the Securities Act relating to or (c) engage in any short selling of, any of our Class 2 common stock or securities convertible into or exchangeable or exercisable for any of our Class 2 common stock without the prior written consent of Cowen and Company, LLC, for a period of 180 days after the date of the pricing of the offering.</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This lock-up provision applies to our Class 2 common stock and to securities convertible into or exchangeable or exercisable for our Class 2 common stock. It also applies to our Class 2 common stock owned now or acquired later by the person executing the agreement or for which the person executing the agreement later acquires the power of disposition. The exceptions permit us, among other things and subject to restrictions, to: (i) issue our Class 2 common stock as contemplated in the underwriting agreement, (ii) issue our Class 2 common stock or options pursuant to employee benefit plans, (iii) issue our Class 2 common stock upon exercise of outstanding options or warrants, (iv) make withholdings with respect to shares of our class 2 common stock to satisfy tax withholding obligations pursuant to our equity incentive plans or arrangements disclosed in this prospectus or (v) file registration statements on Form S-8. The exceptions permit parties to the “lock-up” agreements, among other things and subject to restrictions, to: (1) make certain gifts, charitable contributions or transfers pursuant to a domestic relations order, (2) if the party is a corporation, partnership, limited liability company or other business entity, make transfers to any stockholders, partners, members of, or owners of similar equity interests in, the party, if such transfer is not for value, (3) if the party is a corporation, partnership, limited liability company or other business entity, make transfers in connection with the sale or bona fide transfer of all or substantially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or to another corporation, partnership, limited liability company or other business entity so long as the transferee is an affiliate and such transfer is not for value, (4) engage in transactions relating to our Class 2 common stock or other securities convertible into or exercisable or exchangeable for our Class 2 common stock acquired in this offering or in open market transactions after completion of this offering, provided that no such transaction is required to be, or is, publicly announced during the lock-up period; (5) enter, at any time on or after the date of the underwriting agreement, into any trading plan providing for the sale of our Class 2 common stock by the party, which trading plan meets the requirements of Rule 10b5-1(c) under the Exchange Act, provided, however, that such plan does not provide for, or permit, the sale of any of our Class 2 common stock during the lock-up period and no public announcement or filing is voluntarily made or required regarding such plan during the lock-up period; (6) transfer to us shares of our Class 2 common stock to satisfy tax withholding obligations pursuant to our equity incentive plans or arrangements disclosed in this prospectus; (7) if the party is a trust, transfer or distribute shares of our Class 2 common stock or any securities convertible into or exercisable or exchangeable for our Class 2 common stock to a trustor or beneficiary of the trust or to the estate of a beneficiary of such trust; (8) transfer shares of our Class 2 common stock to us in connection with the repurchase of such Class 2 common stock in connection with the termination of the party’s employment with us pursuant to contractual agreements with us; (9) exercise a stock option, or any other equity-based award, granted under a stock incentive plan or stock purchase plan described in this prospectus, and receive from us of shares of our Class 2 common stock upon such exercise; (10) transfer shares of our Class 2 common stock in connection with a merger, consolidation or other similar transactions involving a change of control of us and approved by our board of directors; (11) transfer shares of our Class 2 common stock pursuant to the underwriting agreement for this offering; and (12) convert outstanding shares of our Series A Preferred Stock into our Class 2 common stock. In addition, the lock-up provision will not restrict broker-dealers from engaging in market making and similar activities conducted in the ordinary course of their business.</w:t>
      </w:r>
    </w:p>
    <w:p>
      <w:pPr>
        <w:spacing w:after="0" w:line="21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Cowen and Company, LLC, in its sole discretion, may release our Class 2 common stock and other securities subject to the lock-up agreements described above in whole or in part at any time. When determining whether to release our Class 2 common stock and other securities from lock-up agreements, Cowen and Company, LLC will consider, among other factors, the holder’s reasons for requesting the release, the number of shares for which the release is being requested and market conditions at the time of the request. In the event of such a release or waiver for one of our directors or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24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officers, Cowen and Company, LLC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239" w:lineRule="exact"/>
        <w:rPr>
          <w:sz w:val="20"/>
          <w:szCs w:val="20"/>
          <w:color w:val="auto"/>
        </w:rPr>
      </w:pPr>
    </w:p>
    <w:p>
      <w:pPr>
        <w:ind w:left="520" w:hanging="316"/>
        <w:spacing w:after="0" w:line="238" w:lineRule="auto"/>
        <w:tabs>
          <w:tab w:leader="none" w:pos="520" w:val="left"/>
        </w:tabs>
        <w:numPr>
          <w:ilvl w:val="0"/>
          <w:numId w:val="80"/>
        </w:numPr>
        <w:rPr>
          <w:rFonts w:ascii="Arial" w:cs="Arial" w:eastAsia="Arial" w:hAnsi="Arial"/>
          <w:sz w:val="15"/>
          <w:szCs w:val="15"/>
          <w:color w:val="auto"/>
        </w:rPr>
      </w:pPr>
      <w:r>
        <w:rPr>
          <w:rFonts w:ascii="Arial" w:cs="Arial" w:eastAsia="Arial" w:hAnsi="Arial"/>
          <w:sz w:val="18"/>
          <w:szCs w:val="18"/>
          <w:color w:val="auto"/>
        </w:rPr>
        <w:t>it has not made or will not make an offer of the securities to the public in the United Kingdom within the meaning of section 102B of the Financial Services and Markets Act 2000 (as amended), or the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Financial Services Authority;</w:t>
      </w:r>
    </w:p>
    <w:p>
      <w:pPr>
        <w:spacing w:after="0" w:line="27" w:lineRule="exact"/>
        <w:rPr>
          <w:rFonts w:ascii="Arial" w:cs="Arial" w:eastAsia="Arial" w:hAnsi="Arial"/>
          <w:sz w:val="15"/>
          <w:szCs w:val="15"/>
          <w:color w:val="auto"/>
        </w:rPr>
      </w:pPr>
    </w:p>
    <w:p>
      <w:pPr>
        <w:ind w:left="520" w:right="40" w:hanging="316"/>
        <w:spacing w:after="0" w:line="239" w:lineRule="auto"/>
        <w:tabs>
          <w:tab w:leader="none" w:pos="520" w:val="left"/>
        </w:tabs>
        <w:numPr>
          <w:ilvl w:val="0"/>
          <w:numId w:val="80"/>
        </w:numPr>
        <w:rPr>
          <w:rFonts w:ascii="Arial" w:cs="Arial" w:eastAsia="Arial" w:hAnsi="Arial"/>
          <w:sz w:val="15"/>
          <w:szCs w:val="15"/>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who have professional experience in matters relating to investments falling within Article 19(5) of the Financial Services and Markets Act 2000 (Financial Promotion) Order 2005 or in circumstances in which section 21 of FSMA does not apply to us; and</w:t>
      </w:r>
    </w:p>
    <w:p>
      <w:pPr>
        <w:spacing w:after="0" w:line="26" w:lineRule="exact"/>
        <w:rPr>
          <w:rFonts w:ascii="Arial" w:cs="Arial" w:eastAsia="Arial" w:hAnsi="Arial"/>
          <w:sz w:val="15"/>
          <w:szCs w:val="15"/>
          <w:color w:val="auto"/>
        </w:rPr>
      </w:pPr>
    </w:p>
    <w:p>
      <w:pPr>
        <w:ind w:left="520" w:right="680" w:hanging="316"/>
        <w:spacing w:after="0" w:line="246" w:lineRule="auto"/>
        <w:tabs>
          <w:tab w:leader="none" w:pos="520" w:val="left"/>
        </w:tabs>
        <w:numPr>
          <w:ilvl w:val="0"/>
          <w:numId w:val="80"/>
        </w:numPr>
        <w:rPr>
          <w:rFonts w:ascii="Arial" w:cs="Arial" w:eastAsia="Arial" w:hAnsi="Arial"/>
          <w:sz w:val="15"/>
          <w:szCs w:val="15"/>
          <w:color w:val="auto"/>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174"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European Economic Area</w:t>
      </w:r>
    </w:p>
    <w:p>
      <w:pPr>
        <w:spacing w:after="0" w:line="85"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In relation to each Member State of the European Economic Area, or the EEA, which has implemented the European Prospectus Directive, each, a Relevant Member State, an offer of shares of our Class 2 common stock may not be made to the public in a Relevant Member State other than:</w:t>
      </w:r>
    </w:p>
    <w:p>
      <w:pPr>
        <w:spacing w:after="0" w:line="230" w:lineRule="exact"/>
        <w:rPr>
          <w:sz w:val="20"/>
          <w:szCs w:val="20"/>
          <w:color w:val="auto"/>
        </w:rPr>
      </w:pPr>
    </w:p>
    <w:p>
      <w:pPr>
        <w:ind w:left="520" w:hanging="316"/>
        <w:spacing w:after="0"/>
        <w:tabs>
          <w:tab w:leader="none" w:pos="520" w:val="left"/>
        </w:tabs>
        <w:numPr>
          <w:ilvl w:val="0"/>
          <w:numId w:val="81"/>
        </w:numPr>
        <w:rPr>
          <w:rFonts w:ascii="Arial" w:cs="Arial" w:eastAsia="Arial" w:hAnsi="Arial"/>
          <w:sz w:val="15"/>
          <w:szCs w:val="15"/>
          <w:color w:val="auto"/>
        </w:rPr>
      </w:pPr>
      <w:r>
        <w:rPr>
          <w:rFonts w:ascii="Arial" w:cs="Arial" w:eastAsia="Arial" w:hAnsi="Arial"/>
          <w:sz w:val="18"/>
          <w:szCs w:val="18"/>
          <w:color w:val="auto"/>
        </w:rPr>
        <w:t>to any legal entity which is a qualified investor, as defined in the European Prospectus Directive;</w:t>
      </w:r>
    </w:p>
    <w:p>
      <w:pPr>
        <w:spacing w:after="0" w:line="36" w:lineRule="exact"/>
        <w:rPr>
          <w:rFonts w:ascii="Arial" w:cs="Arial" w:eastAsia="Arial" w:hAnsi="Arial"/>
          <w:sz w:val="15"/>
          <w:szCs w:val="15"/>
          <w:color w:val="auto"/>
        </w:rPr>
      </w:pPr>
    </w:p>
    <w:p>
      <w:pPr>
        <w:ind w:left="520" w:right="120" w:hanging="316"/>
        <w:spacing w:after="0" w:line="246" w:lineRule="auto"/>
        <w:tabs>
          <w:tab w:leader="none" w:pos="520" w:val="left"/>
        </w:tabs>
        <w:numPr>
          <w:ilvl w:val="0"/>
          <w:numId w:val="81"/>
        </w:numPr>
        <w:rPr>
          <w:rFonts w:ascii="Arial" w:cs="Arial" w:eastAsia="Arial" w:hAnsi="Arial"/>
          <w:sz w:val="15"/>
          <w:szCs w:val="15"/>
          <w:color w:val="auto"/>
        </w:rPr>
      </w:pPr>
      <w:r>
        <w:rPr>
          <w:rFonts w:ascii="Arial" w:cs="Arial" w:eastAsia="Arial" w:hAnsi="Arial"/>
          <w:sz w:val="18"/>
          <w:szCs w:val="18"/>
          <w:color w:val="auto"/>
        </w:rPr>
        <w:t>to fewer than 150 natural or legal persons (other than qualified investors as defined in the European Prospectus Directive), subject to obtaining the prior consent of the relevant dealer or dealers nominated by us for any such offer, or;</w:t>
      </w:r>
    </w:p>
    <w:p>
      <w:pPr>
        <w:spacing w:after="0" w:line="21" w:lineRule="exact"/>
        <w:rPr>
          <w:rFonts w:ascii="Arial" w:cs="Arial" w:eastAsia="Arial" w:hAnsi="Arial"/>
          <w:sz w:val="15"/>
          <w:szCs w:val="15"/>
          <w:color w:val="auto"/>
        </w:rPr>
      </w:pPr>
    </w:p>
    <w:p>
      <w:pPr>
        <w:ind w:left="520" w:hanging="316"/>
        <w:spacing w:after="0"/>
        <w:tabs>
          <w:tab w:leader="none" w:pos="520" w:val="left"/>
        </w:tabs>
        <w:numPr>
          <w:ilvl w:val="0"/>
          <w:numId w:val="81"/>
        </w:numPr>
        <w:rPr>
          <w:rFonts w:ascii="Arial" w:cs="Arial" w:eastAsia="Arial" w:hAnsi="Arial"/>
          <w:sz w:val="15"/>
          <w:szCs w:val="15"/>
          <w:color w:val="auto"/>
        </w:rPr>
      </w:pPr>
      <w:r>
        <w:rPr>
          <w:rFonts w:ascii="Arial" w:cs="Arial" w:eastAsia="Arial" w:hAnsi="Arial"/>
          <w:sz w:val="18"/>
          <w:szCs w:val="18"/>
          <w:color w:val="auto"/>
        </w:rPr>
        <w:t>in any other circumstances falling within Article 3(2) of the European Prospectus Directive,</w:t>
      </w:r>
    </w:p>
    <w:p>
      <w:pPr>
        <w:spacing w:after="0" w:line="212"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provided that no such offer of shares of our Class 2 common stock shall require us or any underwriter to publish a prospectus pursuant to Article 3 of the European Prospectus Directive or supplement prospectus pursuant to Article 16 of the European Prospectus Directive and each person who initially acquires any shares or to whom any offer is made will be deemed to have represented, acknowledged and agreed to and with each of the underwriters and with us that it is a “qualified investor” within the meaning of the law in that Relevant Member State implementing Article 2(1)(e) of the European Prospectus Directive.</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European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or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 the purposes of this description, the expression an “offer to the public” in relation to the securities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Relevant Member State by any measure implementing the European Prospectus Directive in that member state, and the expression “European Prospectus Directive’’ means Directive 2003/71/EC (and amendments 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Germany</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This prospectus has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Finanzdienstleistungsaufsicht—BaFin) nor any other German authority has been notified of the intention to distribute the shares of our Class 2 common stock in Germany. Consequently, the shares of our Class 2 common stock may not be distributed in Germany by way of public offering, public advertisement or in any similar manner and this prospectus and any other document relating to this offering, as well as information or statements contained therein, may not be supplied to the public in Germany or used in connection with any offer for subscription of the shares of our Class 2 common stock to the public in Germany or any other means of public marketing. The shares of our Class 2 common stock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is strictly for use of the person who has received it. It may not be forwarded to other persons or published in Germany.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 may agree to allocate a number of shares of our Class 2 common stock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85"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Certain of the underwriters and their affiliates have provided, and may in the future provide, various investment banking, commercial banking and other financial services for us and our affiliates for which they have received, and may in the future receive, customary fees. Cowen and Company, LLC served as the placement agent in connection with our Series A preferred stock financing in February and March 2018. Cowen TR LLC purchased 169,055 shares of our Series A preferred stock during our Series A preferred stock financing. Cowen TR LLC is an affiliate of Cowen and Company, LLC.</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24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The validity of the shares of Class 2 common stock being offered by this prospectus will be passed upon for us by Cooley LLP, Seattle, Washington. Certain legal matters in connection with this offering will be passed upon for the underwriters by Osler, Hoskin &amp; Harcourt LLP, New York, New York.</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financial statements as of December 31, 2017 and 2016, and for each of the two years in the period ended December 31, 2017, included in this Prospectus, have been audited by Deloitte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have submitted with the SEC a registration statement on Form S-1, including exhibits and schedules, under the Securities Act, with respect to the shares of Class 2 common stock being offered by this prospectus. This prospectus, which constitutes part of the registration statement, does not contain all of the information in the registration statement and its exhibits. For further information with respect to us and the shares of Class 2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 You may also request a copy of these filings, at no cost, by writing us at 1100 Maughan Road, Nanaimo, BC, Canada, V9X IJ2.</w:t>
      </w:r>
    </w:p>
    <w:p>
      <w:pPr>
        <w:spacing w:after="0" w:line="203"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Upon the closing of this offering, we will be subject to the information reporting requirements of the Securities Exchange Act of 1934 and we will file reports, proxy statements and other information with the SEC. These reports, proxy statements and other information will be available for inspection and copying at the public reference room and web site of the SEC referred to above. We also maintain a website at www.tilray.com,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9380" w:type="dxa"/>
            <w:vAlign w:val="bottom"/>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tcPr>
          <w:p>
            <w:pPr>
              <w:jc w:val="center"/>
              <w:ind w:right="2890"/>
              <w:spacing w:after="0"/>
              <w:rPr>
                <w:sz w:val="20"/>
                <w:szCs w:val="20"/>
                <w:color w:val="auto"/>
              </w:rPr>
            </w:pPr>
            <w:r>
              <w:rPr>
                <w:rFonts w:ascii="Arial" w:cs="Arial" w:eastAsia="Arial" w:hAnsi="Arial"/>
                <w:sz w:val="18"/>
                <w:szCs w:val="18"/>
                <w:b w:val="1"/>
                <w:bCs w:val="1"/>
                <w:color w:val="auto"/>
                <w:w w:val="97"/>
              </w:rPr>
              <w:t>TILRAY, INC.</w:t>
            </w:r>
          </w:p>
        </w:tc>
        <w:tc>
          <w:tcPr>
            <w:tcW w:w="18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00" w:type="dxa"/>
            <w:vAlign w:val="bottom"/>
            <w:gridSpan w:val="5"/>
          </w:tcPr>
          <w:p>
            <w:pPr>
              <w:jc w:val="center"/>
              <w:ind w:right="115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24"/>
                <w:szCs w:val="24"/>
                <w:color w:val="auto"/>
              </w:rPr>
            </w:pPr>
          </w:p>
        </w:tc>
      </w:tr>
      <w:tr>
        <w:trPr>
          <w:trHeight w:val="431"/>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200" w:type="dxa"/>
            <w:vAlign w:val="bottom"/>
          </w:tcPr>
          <w:p>
            <w:pPr>
              <w:spacing w:after="0"/>
              <w:rPr>
                <w:sz w:val="15"/>
                <w:szCs w:val="15"/>
                <w:color w:val="auto"/>
              </w:rPr>
            </w:pPr>
          </w:p>
        </w:tc>
        <w:tc>
          <w:tcPr>
            <w:tcW w:w="9180" w:type="dxa"/>
            <w:vAlign w:val="bottom"/>
            <w:gridSpan w:val="8"/>
          </w:tcPr>
          <w:p>
            <w:pPr>
              <w:spacing w:after="0" w:line="176" w:lineRule="exact"/>
              <w:rPr>
                <w:rFonts w:ascii="Arial" w:cs="Arial" w:eastAsia="Arial" w:hAnsi="Arial"/>
                <w:sz w:val="18"/>
                <w:szCs w:val="18"/>
                <w:color w:val="0000EE"/>
              </w:rPr>
            </w:pPr>
            <w:hyperlink w:anchor="page148">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76" w:lineRule="exact"/>
              <w:rPr>
                <w:sz w:val="20"/>
                <w:szCs w:val="20"/>
                <w:color w:val="auto"/>
              </w:rPr>
            </w:pPr>
            <w:r>
              <w:rPr>
                <w:rFonts w:ascii="Arial" w:cs="Arial" w:eastAsia="Arial" w:hAnsi="Arial"/>
                <w:sz w:val="18"/>
                <w:szCs w:val="18"/>
                <w:color w:val="auto"/>
              </w:rPr>
              <w:t>F-2</w:t>
            </w:r>
          </w:p>
        </w:tc>
      </w:tr>
      <w:tr>
        <w:trPr>
          <w:trHeight w:val="183"/>
        </w:trPr>
        <w:tc>
          <w:tcPr>
            <w:tcW w:w="2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149">
              <w:r>
                <w:rPr>
                  <w:rFonts w:ascii="Arial" w:cs="Arial" w:eastAsia="Arial" w:hAnsi="Arial"/>
                  <w:sz w:val="18"/>
                  <w:szCs w:val="18"/>
                  <w:color w:val="0000EE"/>
                  <w:w w:val="99"/>
                </w:rPr>
                <w:t>Consolidated balance sheets</w:t>
              </w:r>
            </w:hyperlink>
          </w:p>
        </w:tc>
        <w:tc>
          <w:tcPr>
            <w:tcW w:w="2280" w:type="dxa"/>
            <w:vAlign w:val="bottom"/>
            <w:tcBorders>
              <w:top w:val="single" w:sz="8" w:color="0000EE"/>
            </w:tcBorders>
            <w:gridSpan w:val="4"/>
          </w:tcPr>
          <w:p>
            <w:pPr>
              <w:spacing w:after="0"/>
              <w:rPr>
                <w:sz w:val="15"/>
                <w:szCs w:val="15"/>
                <w:color w:val="auto"/>
              </w:rPr>
            </w:pPr>
          </w:p>
        </w:tc>
        <w:tc>
          <w:tcPr>
            <w:tcW w:w="4580" w:type="dxa"/>
            <w:vAlign w:val="bottom"/>
            <w:gridSpan w:val="2"/>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r>
      <w:tr>
        <w:trPr>
          <w:trHeight w:val="183"/>
        </w:trPr>
        <w:tc>
          <w:tcPr>
            <w:tcW w:w="200" w:type="dxa"/>
            <w:vAlign w:val="bottom"/>
          </w:tcPr>
          <w:p>
            <w:pPr>
              <w:spacing w:after="0"/>
              <w:rPr>
                <w:sz w:val="15"/>
                <w:szCs w:val="15"/>
                <w:color w:val="auto"/>
              </w:rPr>
            </w:pPr>
          </w:p>
        </w:tc>
        <w:tc>
          <w:tcPr>
            <w:tcW w:w="9180" w:type="dxa"/>
            <w:vAlign w:val="bottom"/>
            <w:gridSpan w:val="8"/>
          </w:tcPr>
          <w:p>
            <w:pPr>
              <w:spacing w:after="0" w:line="182" w:lineRule="exact"/>
              <w:rPr>
                <w:rFonts w:ascii="Arial" w:cs="Arial" w:eastAsia="Arial" w:hAnsi="Arial"/>
                <w:sz w:val="18"/>
                <w:szCs w:val="18"/>
                <w:color w:val="0000EE"/>
              </w:rPr>
            </w:pPr>
            <w:hyperlink w:anchor="page150">
              <w:r>
                <w:rPr>
                  <w:rFonts w:ascii="Arial" w:cs="Arial" w:eastAsia="Arial" w:hAnsi="Arial"/>
                  <w:sz w:val="18"/>
                  <w:szCs w:val="18"/>
                  <w:color w:val="0000EE"/>
                </w:rPr>
                <w:t>Consolidated statements of net loss and comprehensive loss</w:t>
              </w:r>
            </w:hyperlink>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r>
      <w:tr>
        <w:trPr>
          <w:trHeight w:val="183"/>
        </w:trPr>
        <w:tc>
          <w:tcPr>
            <w:tcW w:w="20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151">
              <w:r>
                <w:rPr>
                  <w:rFonts w:ascii="Arial" w:cs="Arial" w:eastAsia="Arial" w:hAnsi="Arial"/>
                  <w:sz w:val="18"/>
                  <w:szCs w:val="18"/>
                  <w:color w:val="0000EE"/>
                  <w:w w:val="99"/>
                </w:rPr>
                <w:t>Consolidated statements of stockholders’ equity (deficit)</w:t>
              </w:r>
            </w:hyperlink>
          </w:p>
        </w:tc>
        <w:tc>
          <w:tcPr>
            <w:tcW w:w="380" w:type="dxa"/>
            <w:vAlign w:val="bottom"/>
            <w:tcBorders>
              <w:top w:val="single" w:sz="8" w:color="0000EE"/>
            </w:tcBorders>
            <w:gridSpan w:val="2"/>
          </w:tcPr>
          <w:p>
            <w:pPr>
              <w:spacing w:after="0"/>
              <w:rPr>
                <w:sz w:val="15"/>
                <w:szCs w:val="15"/>
                <w:color w:val="auto"/>
              </w:rPr>
            </w:pPr>
          </w:p>
        </w:tc>
        <w:tc>
          <w:tcPr>
            <w:tcW w:w="434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183"/>
        </w:trPr>
        <w:tc>
          <w:tcPr>
            <w:tcW w:w="200" w:type="dxa"/>
            <w:vAlign w:val="bottom"/>
          </w:tcPr>
          <w:p>
            <w:pPr>
              <w:spacing w:after="0"/>
              <w:rPr>
                <w:sz w:val="15"/>
                <w:szCs w:val="15"/>
                <w:color w:val="auto"/>
              </w:rPr>
            </w:pPr>
          </w:p>
        </w:tc>
        <w:tc>
          <w:tcPr>
            <w:tcW w:w="308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152">
              <w:r>
                <w:rPr>
                  <w:rFonts w:ascii="Arial" w:cs="Arial" w:eastAsia="Arial" w:hAnsi="Arial"/>
                  <w:sz w:val="18"/>
                  <w:szCs w:val="18"/>
                  <w:color w:val="0000EE"/>
                  <w:w w:val="99"/>
                </w:rPr>
                <w:t>Consolidated statements of cash flows</w:t>
              </w:r>
            </w:hyperlink>
          </w:p>
        </w:tc>
        <w:tc>
          <w:tcPr>
            <w:tcW w:w="6100" w:type="dxa"/>
            <w:vAlign w:val="bottom"/>
            <w:gridSpan w:val="5"/>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r>
      <w:tr>
        <w:trPr>
          <w:trHeight w:val="183"/>
        </w:trPr>
        <w:tc>
          <w:tcPr>
            <w:tcW w:w="200" w:type="dxa"/>
            <w:vAlign w:val="bottom"/>
          </w:tcPr>
          <w:p>
            <w:pPr>
              <w:spacing w:after="0"/>
              <w:rPr>
                <w:sz w:val="15"/>
                <w:szCs w:val="15"/>
                <w:color w:val="auto"/>
              </w:rPr>
            </w:pPr>
          </w:p>
        </w:tc>
        <w:tc>
          <w:tcPr>
            <w:tcW w:w="9180" w:type="dxa"/>
            <w:vAlign w:val="bottom"/>
            <w:gridSpan w:val="8"/>
          </w:tcPr>
          <w:p>
            <w:pPr>
              <w:spacing w:after="0" w:line="182" w:lineRule="exact"/>
              <w:rPr>
                <w:rFonts w:ascii="Arial" w:cs="Arial" w:eastAsia="Arial" w:hAnsi="Arial"/>
                <w:sz w:val="18"/>
                <w:szCs w:val="18"/>
                <w:color w:val="0000EE"/>
              </w:rPr>
            </w:pPr>
            <w:hyperlink w:anchor="page153">
              <w:r>
                <w:rPr>
                  <w:rFonts w:ascii="Arial" w:cs="Arial" w:eastAsia="Arial" w:hAnsi="Arial"/>
                  <w:sz w:val="18"/>
                  <w:szCs w:val="18"/>
                  <w:color w:val="0000EE"/>
                </w:rPr>
                <w:t>Notes to the consolidated financial statements</w:t>
              </w:r>
            </w:hyperlink>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r>
      <w:tr>
        <w:trPr>
          <w:trHeight w:val="372"/>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tcPr>
          <w:p>
            <w:pPr>
              <w:jc w:val="center"/>
              <w:ind w:right="291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the Board of Directors of Tilray, Inc.</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99"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We have audited the accompanying consolidated balance sheets of Tilray, Inc. (the “Company”) as of December 31, 2017 and 2016, the related consolidated statements of net loss and comprehensive loss, stockholder’s equity (deficit),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85"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318135</wp:posOffset>
            </wp:positionV>
            <wp:extent cx="27959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Deloitte LLP</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Chartered Professional Accountants</w:t>
      </w:r>
    </w:p>
    <w:p>
      <w:pPr>
        <w:ind w:left="200"/>
        <w:spacing w:after="0" w:line="234" w:lineRule="auto"/>
        <w:rPr>
          <w:sz w:val="20"/>
          <w:szCs w:val="20"/>
          <w:color w:val="auto"/>
        </w:rPr>
      </w:pPr>
      <w:r>
        <w:rPr>
          <w:rFonts w:ascii="Arial" w:cs="Arial" w:eastAsia="Arial" w:hAnsi="Arial"/>
          <w:sz w:val="18"/>
          <w:szCs w:val="18"/>
          <w:color w:val="auto"/>
        </w:rPr>
        <w:t>Licensed Public Accountants</w:t>
      </w:r>
    </w:p>
    <w:p>
      <w:pPr>
        <w:ind w:left="200"/>
        <w:spacing w:after="0" w:line="235" w:lineRule="auto"/>
        <w:rPr>
          <w:sz w:val="20"/>
          <w:szCs w:val="20"/>
          <w:color w:val="auto"/>
        </w:rPr>
      </w:pPr>
      <w:r>
        <w:rPr>
          <w:rFonts w:ascii="Arial" w:cs="Arial" w:eastAsia="Arial" w:hAnsi="Arial"/>
          <w:sz w:val="18"/>
          <w:szCs w:val="18"/>
          <w:color w:val="auto"/>
        </w:rPr>
        <w:t>Toronto, Canada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16, 2018</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2017.</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per share data)</w:t>
      </w: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99"/>
              </w:rPr>
              <w:t>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29,506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Other receivables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7,421</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12,128</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12,403</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53,808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19,945</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39,985</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50,984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Deposits and other assets</w:t>
            </w:r>
          </w:p>
        </w:tc>
        <w:tc>
          <w:tcPr>
            <w:tcW w:w="3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5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33,093</w:t>
            </w:r>
          </w:p>
        </w:tc>
        <w:tc>
          <w:tcPr>
            <w:tcW w:w="30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53,948</w:t>
            </w:r>
          </w:p>
        </w:tc>
        <w:tc>
          <w:tcPr>
            <w:tcW w:w="30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106,646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4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obligations under capital lease</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9,432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9,259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Privateer Holdings debt facilities</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32,826</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50,221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Accrued obligations under capital lease</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30,565</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58,800</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64,001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6"/>
                <w:szCs w:val="16"/>
                <w:color w:val="auto"/>
              </w:rPr>
              <w:t>Commitments and contingencies</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7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Stockholders’ equity (deficit)</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Preferred stock ($0.0001 par value, 8,000,000 shares authorized; 7,794,042 shares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tcPr>
          <w:p>
            <w:pPr>
              <w:ind w:left="480"/>
              <w:spacing w:after="0"/>
              <w:rPr>
                <w:sz w:val="20"/>
                <w:szCs w:val="20"/>
                <w:color w:val="auto"/>
              </w:rPr>
            </w:pPr>
            <w:r>
              <w:rPr>
                <w:rFonts w:ascii="Arial" w:cs="Arial" w:eastAsia="Arial" w:hAnsi="Arial"/>
                <w:sz w:val="16"/>
                <w:szCs w:val="16"/>
                <w:color w:val="auto"/>
              </w:rPr>
              <w:t>issued and outstanding at March 31, 2018; none issued at December 31, 2016 and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40" w:type="dxa"/>
            <w:vAlign w:val="bottom"/>
            <w:gridSpan w:val="2"/>
          </w:tcPr>
          <w:p>
            <w:pPr>
              <w:ind w:left="500"/>
              <w:spacing w:after="0"/>
              <w:rPr>
                <w:sz w:val="20"/>
                <w:szCs w:val="20"/>
                <w:color w:val="auto"/>
              </w:rPr>
            </w:pPr>
            <w:r>
              <w:rPr>
                <w:rFonts w:ascii="Arial" w:cs="Arial" w:eastAsia="Arial" w:hAnsi="Arial"/>
                <w:sz w:val="16"/>
                <w:szCs w:val="16"/>
                <w:color w:val="auto"/>
              </w:rPr>
              <w:t>2017)</w:t>
            </w:r>
          </w:p>
        </w:tc>
        <w:tc>
          <w:tcPr>
            <w:tcW w:w="5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Common stock ($0.0001 par value, 215,000,000 shares authorized; 75,000,000</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 issued and outstanding at March 31, 2018; none issued at December 31,</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2016 and 2017)</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Capital stock (1 share authorized, issued and outstanding)</w:t>
            </w:r>
          </w:p>
        </w:tc>
        <w:tc>
          <w:tcPr>
            <w:tcW w:w="5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31,589</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31,736</w:t>
            </w: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84,406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30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3,584</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3,866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deficit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(32,645)</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(40,454)</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640"/>
              <w:spacing w:after="0"/>
              <w:rPr>
                <w:sz w:val="20"/>
                <w:szCs w:val="20"/>
                <w:color w:val="auto"/>
              </w:rPr>
            </w:pPr>
            <w:r>
              <w:rPr>
                <w:rFonts w:ascii="Arial" w:cs="Arial" w:eastAsia="Arial" w:hAnsi="Arial"/>
                <w:sz w:val="16"/>
                <w:szCs w:val="16"/>
                <w:color w:val="auto"/>
              </w:rPr>
              <w:t>Total stockholders’ equity (deficit)</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(4,852)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42,645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33,093</w:t>
            </w:r>
          </w:p>
        </w:tc>
        <w:tc>
          <w:tcPr>
            <w:tcW w:w="3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53,948</w:t>
            </w:r>
          </w:p>
        </w:tc>
        <w:tc>
          <w:tcPr>
            <w:tcW w:w="3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106,646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NET LOSS</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COMPREHENSIVE LOSS</w:t>
      </w: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per share data)</w:t>
      </w: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left="833"/>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4"/>
          </w:tcPr>
          <w:p>
            <w:pPr>
              <w:jc w:val="center"/>
              <w:ind w:left="713"/>
              <w:spacing w:after="0" w:line="155"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12,644</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20,538</w:t>
            </w: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5,027</w:t>
            </w:r>
          </w:p>
        </w:tc>
        <w:tc>
          <w:tcPr>
            <w:tcW w:w="6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9,974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9,161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2,259</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11,377</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2,768</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3,599</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7,164</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8,540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1,565</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Operating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(7,049)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(7,498)</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Foreign exchange loss (gain),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(1,363)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1,019</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1,686</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Loss before income taxes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(7,883)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(7,809)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(679)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Income tax expense (recovery)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(7,883)</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(7,809)</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(679)</w:t>
            </w:r>
          </w:p>
        </w:tc>
        <w:tc>
          <w:tcPr>
            <w:tcW w:w="1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(0.11)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(0.01)</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used in compilation of net loss per share,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Basic and diluted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75,000,000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75,000,000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75,000,000</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75,000,000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Pro forma net loss per share, basic and diluted</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(0.10)</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(0.09)</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(0.01)</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used in completion of pro forma net loss per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share, basic and diluted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82,794,042</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82,794,042</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82,794,042</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82,794,042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(7,883)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(7,809)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(679)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gain (loss)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Comprehensive loss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(7,465)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(7,527)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(711)</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per share data)</w:t>
      </w:r>
    </w:p>
    <w:p>
      <w:pPr>
        <w:spacing w:after="0" w:line="3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3"/>
            <w:vMerge w:val="restart"/>
          </w:tcPr>
          <w:p>
            <w:pPr>
              <w:ind w:left="2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5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44"/>
              <w:spacing w:after="0" w:line="149" w:lineRule="exact"/>
              <w:rPr>
                <w:sz w:val="20"/>
                <w:szCs w:val="20"/>
                <w:color w:val="auto"/>
              </w:rPr>
            </w:pPr>
            <w:r>
              <w:rPr>
                <w:rFonts w:ascii="Arial" w:cs="Arial" w:eastAsia="Arial" w:hAnsi="Arial"/>
                <w:sz w:val="14"/>
                <w:szCs w:val="14"/>
                <w:b w:val="1"/>
                <w:bCs w:val="1"/>
                <w:color w:val="auto"/>
                <w:w w:val="95"/>
              </w:rPr>
              <w:t>paid-in</w:t>
            </w:r>
          </w:p>
        </w:tc>
        <w:tc>
          <w:tcPr>
            <w:tcW w:w="134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1080" w:type="dxa"/>
            <w:vAlign w:val="bottom"/>
            <w:gridSpan w:val="4"/>
            <w:vMerge w:val="restart"/>
          </w:tcPr>
          <w:p>
            <w:pPr>
              <w:ind w:left="10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1340" w:type="dxa"/>
            <w:vAlign w:val="bottom"/>
            <w:gridSpan w:val="4"/>
            <w:vMerge w:val="continue"/>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740" w:type="dxa"/>
            <w:vAlign w:val="bottom"/>
          </w:tcPr>
          <w:p>
            <w:pPr>
              <w:jc w:val="right"/>
              <w:ind w:right="65"/>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40" w:type="dxa"/>
            <w:vAlign w:val="bottom"/>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4"/>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income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Balance at January 1, 2016</w:t>
            </w:r>
            <w:r>
              <w:rPr>
                <w:rFonts w:ascii="Arial" w:cs="Arial" w:eastAsia="Arial" w:hAnsi="Arial"/>
                <w:sz w:val="13"/>
                <w:szCs w:val="13"/>
                <w:color w:val="auto"/>
              </w:rPr>
              <w:t>(1)</w:t>
            </w: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31,495</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3,166</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(24,762)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ind w:left="300"/>
              <w:spacing w:after="0" w:line="162" w:lineRule="exact"/>
              <w:rPr>
                <w:sz w:val="20"/>
                <w:szCs w:val="20"/>
                <w:color w:val="auto"/>
              </w:rPr>
            </w:pPr>
            <w:r>
              <w:rPr>
                <w:rFonts w:ascii="Arial" w:cs="Arial" w:eastAsia="Arial" w:hAnsi="Arial"/>
                <w:sz w:val="15"/>
                <w:szCs w:val="15"/>
                <w:color w:val="auto"/>
              </w:rPr>
              <w:t>Contributions</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Stock-based compensation</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ind w:left="300"/>
              <w:spacing w:after="0" w:line="162" w:lineRule="exact"/>
              <w:rPr>
                <w:sz w:val="20"/>
                <w:szCs w:val="20"/>
                <w:color w:val="auto"/>
              </w:rPr>
            </w:pPr>
            <w:r>
              <w:rPr>
                <w:rFonts w:ascii="Arial" w:cs="Arial" w:eastAsia="Arial" w:hAnsi="Arial"/>
                <w:sz w:val="15"/>
                <w:szCs w:val="15"/>
                <w:color w:val="auto"/>
              </w:rPr>
              <w:t>Foreign currency translation gain</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418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418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(7,883)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(7,883)</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5"/>
                <w:szCs w:val="15"/>
                <w:color w:val="auto"/>
              </w:rPr>
              <w:t>Balance at December 31, 2016</w:t>
            </w: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31,589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3,584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(32,645)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Contributions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ind w:left="300"/>
              <w:spacing w:after="0" w:line="162" w:lineRule="exact"/>
              <w:rPr>
                <w:sz w:val="20"/>
                <w:szCs w:val="20"/>
                <w:color w:val="auto"/>
              </w:rPr>
            </w:pPr>
            <w:r>
              <w:rPr>
                <w:rFonts w:ascii="Arial" w:cs="Arial" w:eastAsia="Arial" w:hAnsi="Arial"/>
                <w:sz w:val="15"/>
                <w:szCs w:val="15"/>
                <w:color w:val="auto"/>
              </w:rPr>
              <w:t>Stock-based compensation</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139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Foreign currency translation gain</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ind w:left="300"/>
              <w:spacing w:after="0" w:line="162" w:lineRule="exact"/>
              <w:rPr>
                <w:sz w:val="20"/>
                <w:szCs w:val="20"/>
                <w:color w:val="auto"/>
              </w:rPr>
            </w:pPr>
            <w:r>
              <w:rPr>
                <w:rFonts w:ascii="Arial" w:cs="Arial" w:eastAsia="Arial" w:hAnsi="Arial"/>
                <w:sz w:val="15"/>
                <w:szCs w:val="15"/>
                <w:color w:val="auto"/>
              </w:rPr>
              <w:t>Net loss</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(7,809)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(7,809)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2017</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31,736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(40,454)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ind w:left="300"/>
              <w:spacing w:after="0" w:line="162" w:lineRule="exact"/>
              <w:rPr>
                <w:sz w:val="20"/>
                <w:szCs w:val="20"/>
                <w:color w:val="auto"/>
              </w:rPr>
            </w:pPr>
            <w:r>
              <w:rPr>
                <w:rFonts w:ascii="Arial" w:cs="Arial" w:eastAsia="Arial" w:hAnsi="Arial"/>
                <w:sz w:val="15"/>
                <w:szCs w:val="15"/>
                <w:color w:val="auto"/>
              </w:rPr>
              <w:t>Contributions (unaudited)</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Issuance of convertible preferred stock</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shd w:val="clear" w:color="auto" w:fill="CCEEFF"/>
          </w:tcPr>
          <w:p>
            <w:pPr>
              <w:ind w:left="440"/>
              <w:spacing w:after="0" w:line="166" w:lineRule="exact"/>
              <w:rPr>
                <w:sz w:val="20"/>
                <w:szCs w:val="20"/>
                <w:color w:val="auto"/>
              </w:rPr>
            </w:pPr>
            <w:r>
              <w:rPr>
                <w:rFonts w:ascii="Arial" w:cs="Arial" w:eastAsia="Arial" w:hAnsi="Arial"/>
                <w:sz w:val="15"/>
                <w:szCs w:val="15"/>
                <w:color w:val="auto"/>
              </w:rPr>
              <w:t>net of issuance costs (unaudited)</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5"/>
                <w:szCs w:val="15"/>
                <w:color w:val="auto"/>
              </w:rPr>
              <w:t>7,794,042</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52,639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52,640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ind w:left="300"/>
              <w:spacing w:after="0" w:line="162" w:lineRule="exact"/>
              <w:rPr>
                <w:sz w:val="20"/>
                <w:szCs w:val="20"/>
                <w:color w:val="auto"/>
              </w:rPr>
            </w:pPr>
            <w:r>
              <w:rPr>
                <w:rFonts w:ascii="Arial" w:cs="Arial" w:eastAsia="Arial" w:hAnsi="Arial"/>
                <w:sz w:val="15"/>
                <w:szCs w:val="15"/>
                <w:color w:val="auto"/>
              </w:rPr>
              <w:t>Issuance of common stock (unaudited)</w:t>
            </w:r>
          </w:p>
        </w:tc>
        <w:tc>
          <w:tcPr>
            <w:tcW w:w="8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75,000,000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line="162" w:lineRule="exact"/>
              <w:rPr>
                <w:sz w:val="20"/>
                <w:szCs w:val="20"/>
                <w:color w:val="auto"/>
              </w:rPr>
            </w:pPr>
            <w:r>
              <w:rPr>
                <w:rFonts w:ascii="Arial" w:cs="Arial" w:eastAsia="Arial" w:hAnsi="Arial"/>
                <w:sz w:val="15"/>
                <w:szCs w:val="15"/>
                <w:color w:val="auto"/>
              </w:rPr>
              <w:t>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shd w:val="clear" w:color="auto" w:fill="CCEEFF"/>
          </w:tcPr>
          <w:p>
            <w:pPr>
              <w:ind w:left="300"/>
              <w:spacing w:after="0" w:line="159" w:lineRule="exact"/>
              <w:rPr>
                <w:sz w:val="20"/>
                <w:szCs w:val="20"/>
                <w:color w:val="auto"/>
              </w:rPr>
            </w:pPr>
            <w:r>
              <w:rPr>
                <w:rFonts w:ascii="Arial" w:cs="Arial" w:eastAsia="Arial" w:hAnsi="Arial"/>
                <w:sz w:val="15"/>
                <w:szCs w:val="15"/>
                <w:color w:val="auto"/>
              </w:rPr>
              <w:t>Stock-based compensation</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shd w:val="clear" w:color="auto" w:fill="CCEEFF"/>
          </w:tcPr>
          <w:p>
            <w:pPr>
              <w:ind w:left="440"/>
              <w:spacing w:after="0" w:line="166" w:lineRule="exact"/>
              <w:rPr>
                <w:sz w:val="20"/>
                <w:szCs w:val="20"/>
                <w:color w:val="auto"/>
              </w:rPr>
            </w:pPr>
            <w:r>
              <w:rPr>
                <w:rFonts w:ascii="Arial" w:cs="Arial" w:eastAsia="Arial" w:hAnsi="Arial"/>
                <w:sz w:val="15"/>
                <w:szCs w:val="15"/>
                <w:color w:val="auto"/>
              </w:rPr>
              <w:t>(unaudited)</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00" w:type="dxa"/>
            <w:vAlign w:val="bottom"/>
          </w:tcPr>
          <w:p>
            <w:pPr>
              <w:ind w:left="300"/>
              <w:spacing w:after="0" w:line="159" w:lineRule="exact"/>
              <w:rPr>
                <w:sz w:val="20"/>
                <w:szCs w:val="20"/>
                <w:color w:val="auto"/>
              </w:rPr>
            </w:pPr>
            <w:r>
              <w:rPr>
                <w:rFonts w:ascii="Arial" w:cs="Arial" w:eastAsia="Arial" w:hAnsi="Arial"/>
                <w:sz w:val="15"/>
                <w:szCs w:val="15"/>
                <w:color w:val="auto"/>
              </w:rPr>
              <w:t>Foreign currency translation loss</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00" w:type="dxa"/>
            <w:vAlign w:val="bottom"/>
          </w:tcPr>
          <w:p>
            <w:pPr>
              <w:ind w:left="440"/>
              <w:spacing w:after="0" w:line="166" w:lineRule="exact"/>
              <w:rPr>
                <w:sz w:val="20"/>
                <w:szCs w:val="20"/>
                <w:color w:val="auto"/>
              </w:rPr>
            </w:pPr>
            <w:r>
              <w:rPr>
                <w:rFonts w:ascii="Arial" w:cs="Arial" w:eastAsia="Arial" w:hAnsi="Arial"/>
                <w:sz w:val="15"/>
                <w:szCs w:val="15"/>
                <w:color w:val="auto"/>
              </w:rPr>
              <w:t>(unaudited)</w:t>
            </w:r>
          </w:p>
        </w:tc>
        <w:tc>
          <w:tcPr>
            <w:tcW w:w="80" w:type="dxa"/>
            <w:vAlign w:val="bottom"/>
          </w:tcPr>
          <w:p>
            <w:pPr>
              <w:spacing w:after="0"/>
              <w:rPr>
                <w:sz w:val="14"/>
                <w:szCs w:val="14"/>
                <w:color w:val="auto"/>
              </w:rPr>
            </w:pPr>
          </w:p>
        </w:tc>
        <w:tc>
          <w:tcPr>
            <w:tcW w:w="46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00"/>
              <w:spacing w:after="0" w:line="166"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line="166"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Net loss (unaudited)</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(5,181)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(5,181)</w:t>
            </w:r>
          </w:p>
        </w:tc>
        <w:tc>
          <w:tcPr>
            <w:tcW w:w="0" w:type="dxa"/>
            <w:vAlign w:val="bottom"/>
          </w:tcPr>
          <w:p>
            <w:pPr>
              <w:spacing w:after="0"/>
              <w:rPr>
                <w:sz w:val="1"/>
                <w:szCs w:val="1"/>
                <w:color w:val="auto"/>
              </w:rPr>
            </w:pPr>
          </w:p>
        </w:tc>
      </w:tr>
      <w:tr>
        <w:trPr>
          <w:trHeight w:val="20"/>
        </w:trPr>
        <w:tc>
          <w:tcPr>
            <w:tcW w:w="3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20" w:type="dxa"/>
            <w:vAlign w:val="bottom"/>
            <w:gridSpan w:val="2"/>
          </w:tcPr>
          <w:p>
            <w:pPr>
              <w:spacing w:after="0" w:line="169" w:lineRule="exact"/>
              <w:rPr>
                <w:sz w:val="20"/>
                <w:szCs w:val="20"/>
                <w:color w:val="auto"/>
              </w:rPr>
            </w:pPr>
            <w:r>
              <w:rPr>
                <w:rFonts w:ascii="Arial" w:cs="Arial" w:eastAsia="Arial" w:hAnsi="Arial"/>
                <w:sz w:val="15"/>
                <w:szCs w:val="15"/>
                <w:color w:val="auto"/>
              </w:rPr>
              <w:t>Balance at March 31, 2018 (unaudited)</w:t>
            </w:r>
          </w:p>
        </w:tc>
        <w:tc>
          <w:tcPr>
            <w:tcW w:w="8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7,794,042</w:t>
            </w:r>
          </w:p>
        </w:tc>
        <w:tc>
          <w:tcPr>
            <w:tcW w:w="5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6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c>
          <w:tcPr>
            <w:tcW w:w="10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75,000,000</w:t>
            </w:r>
          </w:p>
        </w:tc>
        <w:tc>
          <w:tcPr>
            <w:tcW w:w="52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69" w:lineRule="exact"/>
              <w:rPr>
                <w:sz w:val="20"/>
                <w:szCs w:val="20"/>
                <w:color w:val="auto"/>
              </w:rPr>
            </w:pPr>
            <w:r>
              <w:rPr>
                <w:rFonts w:ascii="Arial" w:cs="Arial" w:eastAsia="Arial" w:hAnsi="Arial"/>
                <w:sz w:val="15"/>
                <w:szCs w:val="15"/>
                <w:color w:val="auto"/>
              </w:rPr>
              <w:t>8</w:t>
            </w:r>
          </w:p>
        </w:tc>
        <w:tc>
          <w:tcPr>
            <w:tcW w:w="300" w:type="dxa"/>
            <w:vAlign w:val="bottom"/>
            <w:gridSpan w:val="2"/>
          </w:tcPr>
          <w:p>
            <w:pPr>
              <w:ind w:left="200"/>
              <w:spacing w:after="0" w:line="169" w:lineRule="exact"/>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84,406</w:t>
            </w:r>
          </w:p>
        </w:tc>
        <w:tc>
          <w:tcPr>
            <w:tcW w:w="360" w:type="dxa"/>
            <w:vAlign w:val="bottom"/>
            <w:gridSpan w:val="2"/>
          </w:tcPr>
          <w:p>
            <w:pPr>
              <w:jc w:val="right"/>
              <w:ind w:right="12"/>
              <w:spacing w:after="0" w:line="169"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3,865</w:t>
            </w:r>
          </w:p>
        </w:tc>
        <w:tc>
          <w:tcPr>
            <w:tcW w:w="140" w:type="dxa"/>
            <w:vAlign w:val="bottom"/>
          </w:tcPr>
          <w:p>
            <w:pPr>
              <w:spacing w:after="0"/>
              <w:rPr>
                <w:sz w:val="14"/>
                <w:szCs w:val="14"/>
                <w:color w:val="auto"/>
              </w:rPr>
            </w:pPr>
          </w:p>
        </w:tc>
        <w:tc>
          <w:tcPr>
            <w:tcW w:w="2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(46,635)</w:t>
            </w: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u w:val="single" w:color="auto"/>
                <w:color w:val="auto"/>
              </w:rPr>
              <w:t>$</w:t>
            </w: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42,645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Refer to Note 1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except for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5"/>
          </w:tcPr>
          <w:p>
            <w:pPr>
              <w:jc w:val="center"/>
              <w:ind w:right="19"/>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(7,883)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(7,809)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(679)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(5,181)</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Adjusted for the following items: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Foreign currency loss (gain)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(1,363)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Provision for doubtful accounts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Inventory write-downs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Stock-based compensation expense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Non-cash interest expense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Loss on disposal of property, plant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Changes in non-cash working capital:</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Accounts receivable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(118)</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receivable</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(360)</w:t>
            </w:r>
          </w:p>
        </w:tc>
      </w:tr>
      <w:tr>
        <w:trPr>
          <w:trHeight w:val="189"/>
        </w:trPr>
        <w:tc>
          <w:tcPr>
            <w:tcW w:w="20" w:type="dxa"/>
            <w:vAlign w:val="bottom"/>
          </w:tcPr>
          <w:p>
            <w:pPr>
              <w:spacing w:after="0"/>
              <w:rPr>
                <w:sz w:val="16"/>
                <w:szCs w:val="16"/>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(3,295)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(1,259)</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(387)</w:t>
            </w:r>
          </w:p>
        </w:tc>
      </w:tr>
      <w:tr>
        <w:trPr>
          <w:trHeight w:val="189"/>
        </w:trPr>
        <w:tc>
          <w:tcPr>
            <w:tcW w:w="20" w:type="dxa"/>
            <w:vAlign w:val="bottom"/>
          </w:tcPr>
          <w:p>
            <w:pPr>
              <w:spacing w:after="0"/>
              <w:rPr>
                <w:sz w:val="16"/>
                <w:szCs w:val="16"/>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Accounts payable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4,728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960"/>
              <w:spacing w:after="0"/>
              <w:rPr>
                <w:sz w:val="20"/>
                <w:szCs w:val="20"/>
                <w:color w:val="auto"/>
              </w:rPr>
            </w:pPr>
            <w:r>
              <w:rPr>
                <w:rFonts w:ascii="Arial" w:cs="Arial" w:eastAsia="Arial" w:hAnsi="Arial"/>
                <w:sz w:val="16"/>
                <w:szCs w:val="16"/>
                <w:color w:val="auto"/>
              </w:rPr>
              <w:t>Net cash used in operating activities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(3,318)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(6,003)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(1,725)</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Decrease (increase) in deposits and other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(397)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(195)</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 of short-term investments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(29,624)</w:t>
            </w:r>
          </w:p>
        </w:tc>
      </w:tr>
      <w:tr>
        <w:trPr>
          <w:trHeight w:val="189"/>
        </w:trPr>
        <w:tc>
          <w:tcPr>
            <w:tcW w:w="20" w:type="dxa"/>
            <w:vAlign w:val="bottom"/>
          </w:tcPr>
          <w:p>
            <w:pPr>
              <w:spacing w:after="0"/>
              <w:rPr>
                <w:sz w:val="16"/>
                <w:szCs w:val="16"/>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Proceeds from maturities of short-term investments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Purchases of property, plant and equipment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(12,856)</w:t>
            </w:r>
          </w:p>
        </w:tc>
      </w:tr>
      <w:tr>
        <w:trPr>
          <w:trHeight w:val="189"/>
        </w:trPr>
        <w:tc>
          <w:tcPr>
            <w:tcW w:w="20" w:type="dxa"/>
            <w:vAlign w:val="bottom"/>
          </w:tcPr>
          <w:p>
            <w:pPr>
              <w:spacing w:after="0"/>
              <w:rPr>
                <w:sz w:val="16"/>
                <w:szCs w:val="16"/>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Dispositions of property, plant and equipment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Purchases of intangible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(227)</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Net cash used in investing activities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(11,815)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(423)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(42,784)</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Advances (payments) under Privateer Holdings credit facility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4,406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6,039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1,076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Advances under Privateer Holdings construction facility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2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Minimum lease payments under capital lease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long-term debt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Payments on long-term debt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(2,190)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financing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Proceeds from issuance of convertible preferred stock, net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52,640</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10,919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53,910</w:t>
            </w:r>
          </w:p>
        </w:tc>
        <w:tc>
          <w:tcPr>
            <w:tcW w:w="12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Effect of foreign currency translation on cash</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Increase (decrease) in cash and cash equivalents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(5,208)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9,817</w:t>
            </w:r>
          </w:p>
        </w:tc>
        <w:tc>
          <w:tcPr>
            <w:tcW w:w="1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 beginning of year</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2,323</w:t>
            </w: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Cash and cash equivalents, end of year</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7,531</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2,323</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8,064</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12,140</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Supplemental disclosures of cash flow information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300"/>
              <w:spacing w:after="0"/>
              <w:rPr>
                <w:sz w:val="20"/>
                <w:szCs w:val="20"/>
                <w:color w:val="auto"/>
              </w:rPr>
            </w:pPr>
            <w:r>
              <w:rPr>
                <w:rFonts w:ascii="Arial" w:cs="Arial" w:eastAsia="Arial" w:hAnsi="Arial"/>
                <w:sz w:val="16"/>
                <w:szCs w:val="16"/>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295</w:t>
            </w:r>
          </w:p>
        </w:tc>
        <w:tc>
          <w:tcPr>
            <w:tcW w:w="1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1,157</w:t>
            </w:r>
          </w:p>
        </w:tc>
        <w:tc>
          <w:tcPr>
            <w:tcW w:w="1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Non-cash financing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Capital lease obligation</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8,958</w:t>
            </w:r>
          </w:p>
        </w:tc>
        <w:tc>
          <w:tcPr>
            <w:tcW w:w="1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Non-cash investing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420" w:type="dxa"/>
            <w:vAlign w:val="bottom"/>
          </w:tcPr>
          <w:p>
            <w:pPr>
              <w:ind w:left="640"/>
              <w:spacing w:after="0"/>
              <w:rPr>
                <w:sz w:val="20"/>
                <w:szCs w:val="20"/>
                <w:color w:val="auto"/>
              </w:rPr>
            </w:pPr>
            <w:r>
              <w:rPr>
                <w:rFonts w:ascii="Arial" w:cs="Arial" w:eastAsia="Arial" w:hAnsi="Arial"/>
                <w:sz w:val="16"/>
                <w:szCs w:val="16"/>
                <w:color w:val="auto"/>
              </w:rPr>
              <w:t>Addition to property, plant and equipment under capital lease</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8,958</w:t>
            </w:r>
          </w:p>
        </w:tc>
        <w:tc>
          <w:tcPr>
            <w:tcW w:w="1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Business</w:t>
      </w:r>
    </w:p>
    <w:p>
      <w:pPr>
        <w:spacing w:after="0" w:line="99"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Tilray, Inc. (the “Company”) was incorporated in Delaware on January 24, 2018 and is a wholly owned subsidiary of Privateer Holdings, Inc. (“Privateer Holdings”). On January 25, 2018, Privateer Holdings transferred the equity interest in Decatur Holdings, B.V. (“Decatur”) to Tilray, Inc.</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Prior to the incorporation of Decatur on March 8, 2016, the four wholly owned subsidiaries of Privateer Holdings consisted of Tilray Canada, Ltd., Dorada Ventures, Ltd., Gatenhielm Group, CV, and High Park Farms, Ltd. and were capitalized with a nominal amount for each capital stock. In 2016, Privateer Holdings made capital contributions to Tilray Canada, Ltd. in the aggregate amount of $31,495. The equity interests of the four wholly owned subsidiaries were transferred to Decatur upon incorporation in 2016.</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Subsequent to its formation, Decatur incorporated Tilray Deutschland GmbH, Tilray Portugal Unipessoal, Lda., Pardel Holdings, Lda.</w:t>
      </w:r>
    </w:p>
    <w:p>
      <w:pPr>
        <w:ind w:left="200"/>
        <w:spacing w:after="0"/>
        <w:rPr>
          <w:sz w:val="20"/>
          <w:szCs w:val="20"/>
          <w:color w:val="auto"/>
        </w:rPr>
      </w:pPr>
      <w:r>
        <w:rPr>
          <w:rFonts w:ascii="Arial" w:cs="Arial" w:eastAsia="Arial" w:hAnsi="Arial"/>
          <w:sz w:val="18"/>
          <w:szCs w:val="18"/>
          <w:color w:val="auto"/>
        </w:rPr>
        <w:t>and Tilray Australia New Zealand Pty. Ltd.</w:t>
      </w:r>
    </w:p>
    <w:p>
      <w:pPr>
        <w:spacing w:after="0" w:line="21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transfers of the equity interests described above were between entities under common control and were recorded at their carrying amounts. The consolidated financial statements of the Company (the “financial statements”) reflect the historical operations of Tilray, Inc.</w:t>
      </w:r>
    </w:p>
    <w:p>
      <w:pPr>
        <w:spacing w:after="0" w:line="19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principal activities of the Company are the production and sale of medical cannabis as regulated by the Access to Cannabis for Medical Purposes Regulations (“ACMPR”) in Canada. On March 24, 2014, the Company received its license from Health Canada to operate as a licensed producer of medical cannabis pursuant to the provisions of the ACMPR and the Controlled Drugs and Substances Act (Canada). Subsequently, the Company received a Licensed Dealer designation under Canada’s Narcotic Control Regulations (“NCR”) from Health Canada, allowing the Company to sell medical cannabis in Canada and export medical cannabis products to other countries in accordance with applicable laws.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financial statements have been prepared in accordance with U.S. generally accepted accounting principles (“U.S. GAAP”). To the extent relevant, the financial statements include expense allocations for certain corporate functions historically provided by Privateer Holdings. The assumptions underlying the financial statements, including the assumptions regarding allocated expenses, reasonably reflect the utilization of services provided to or the benefit received by the Company during the periods presented. The allocations may not however reflect the expenses the Company has incurred or will incur as a stand-alone company for the periods presented. Actual costs that may have been incurred if the Company had been a stand-alone company would depend on a number of factors, including the chosen organizational structure, which functions were outsourced or performed by employees and strategic decisions made in areas such as treasury, information technology, financial reporting and oversight.</w:t>
      </w:r>
    </w:p>
    <w:p>
      <w:pPr>
        <w:spacing w:after="0" w:line="208"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Company is an “emerging growth company,” as defined in Section 2(a) of the Securities Act of 1933, as amended, as modified by the Jumpstart Our Business Start-ups Act of 2012, (the “JOBS Act”). Section 107 of the JOBS Act provides that an emerging growth company can take advantage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extended transition period provided in Section 13(a) of the Securities Exchange Act of 1934, as amended, for complying with new or revised accounting standards applicable to public companies. In other words, an emerging growth company can delay the adoption of certain accounting standards until those standards would otherwise apply to private companies. The Company has elected to take advantage of this extended transition period. As a result of this election, the Company’s financial statements may not be comparable to companies that comply with public company effective dates for such new or revised standards.</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Interim financial statements reflect all adjustments, consisting solely of normal recurring adjustments, which, in the opinion of management, are necessary for a fair statement of results for the interim periods presented. The results of operations for the three months ended March 31, 2018 and 2017 are not necessarily indicative of results that can be expected for a full year. Amounts and data for the periods ending March 31, 2017 and March 31, 2018 are unaudited.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financial statements include the accounts of the following entities wholly owned by the Company:</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Name of entity</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Date of formation</w:t>
            </w:r>
          </w:p>
        </w:tc>
        <w:tc>
          <w:tcPr>
            <w:tcW w:w="220" w:type="dxa"/>
            <w:vAlign w:val="bottom"/>
          </w:tcPr>
          <w:p>
            <w:pPr>
              <w:spacing w:after="0"/>
              <w:rPr>
                <w:sz w:val="16"/>
                <w:szCs w:val="16"/>
                <w:color w:val="auto"/>
              </w:rPr>
            </w:pPr>
          </w:p>
        </w:tc>
        <w:tc>
          <w:tcPr>
            <w:tcW w:w="2640" w:type="dxa"/>
            <w:vAlign w:val="bottom"/>
          </w:tcPr>
          <w:p>
            <w:pPr>
              <w:ind w:left="540"/>
              <w:spacing w:after="0"/>
              <w:rPr>
                <w:sz w:val="20"/>
                <w:szCs w:val="20"/>
                <w:color w:val="auto"/>
              </w:rPr>
            </w:pPr>
            <w:r>
              <w:rPr>
                <w:rFonts w:ascii="Arial" w:cs="Arial" w:eastAsia="Arial" w:hAnsi="Arial"/>
                <w:sz w:val="14"/>
                <w:szCs w:val="14"/>
                <w:b w:val="1"/>
                <w:bCs w:val="1"/>
                <w:color w:val="auto"/>
              </w:rPr>
              <w:t>Place of incorporation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40" w:type="dxa"/>
            <w:vAlign w:val="bottom"/>
            <w:gridSpan w:val="2"/>
          </w:tcPr>
          <w:p>
            <w:pPr>
              <w:spacing w:after="0" w:line="195" w:lineRule="exact"/>
              <w:rPr>
                <w:sz w:val="20"/>
                <w:szCs w:val="20"/>
                <w:color w:val="auto"/>
              </w:rPr>
            </w:pPr>
            <w:r>
              <w:rPr>
                <w:rFonts w:ascii="Arial" w:cs="Arial" w:eastAsia="Arial" w:hAnsi="Arial"/>
                <w:sz w:val="18"/>
                <w:szCs w:val="18"/>
                <w:color w:val="auto"/>
              </w:rPr>
              <w:t>Tilray Canada, Ltd.</w:t>
            </w:r>
          </w:p>
        </w:tc>
        <w:tc>
          <w:tcPr>
            <w:tcW w:w="2020" w:type="dxa"/>
            <w:vAlign w:val="bottom"/>
          </w:tcPr>
          <w:p>
            <w:pPr>
              <w:jc w:val="center"/>
              <w:spacing w:after="0" w:line="195" w:lineRule="exact"/>
              <w:rPr>
                <w:sz w:val="20"/>
                <w:szCs w:val="20"/>
                <w:color w:val="auto"/>
              </w:rPr>
            </w:pPr>
            <w:r>
              <w:rPr>
                <w:rFonts w:ascii="Arial" w:cs="Arial" w:eastAsia="Arial" w:hAnsi="Arial"/>
                <w:sz w:val="18"/>
                <w:szCs w:val="18"/>
                <w:color w:val="auto"/>
              </w:rPr>
              <w:t>September 6, 2013</w:t>
            </w:r>
          </w:p>
        </w:tc>
        <w:tc>
          <w:tcPr>
            <w:tcW w:w="220" w:type="dxa"/>
            <w:vAlign w:val="bottom"/>
            <w:vMerge w:val="continue"/>
          </w:tcPr>
          <w:p>
            <w:pPr>
              <w:spacing w:after="0"/>
              <w:rPr>
                <w:sz w:val="16"/>
                <w:szCs w:val="16"/>
                <w:color w:val="auto"/>
              </w:rPr>
            </w:pPr>
          </w:p>
        </w:tc>
        <w:tc>
          <w:tcPr>
            <w:tcW w:w="2640" w:type="dxa"/>
            <w:vAlign w:val="bottom"/>
          </w:tcPr>
          <w:p>
            <w:pPr>
              <w:spacing w:after="0" w:line="195" w:lineRule="exact"/>
              <w:rPr>
                <w:sz w:val="20"/>
                <w:szCs w:val="20"/>
                <w:color w:val="auto"/>
              </w:rPr>
            </w:pPr>
            <w:r>
              <w:rPr>
                <w:rFonts w:ascii="Arial" w:cs="Arial" w:eastAsia="Arial" w:hAnsi="Arial"/>
                <w:sz w:val="18"/>
                <w:szCs w:val="18"/>
                <w:color w:val="auto"/>
              </w:rPr>
              <w:t>British Columbia, Canada</w:t>
            </w:r>
          </w:p>
        </w:tc>
        <w:tc>
          <w:tcPr>
            <w:tcW w:w="0" w:type="dxa"/>
            <w:vAlign w:val="bottom"/>
          </w:tcPr>
          <w:p>
            <w:pPr>
              <w:spacing w:after="0"/>
              <w:rPr>
                <w:sz w:val="1"/>
                <w:szCs w:val="1"/>
                <w:color w:val="auto"/>
              </w:rPr>
            </w:pPr>
          </w:p>
        </w:tc>
      </w:tr>
      <w:tr>
        <w:trPr>
          <w:trHeight w:val="203"/>
        </w:trPr>
        <w:tc>
          <w:tcPr>
            <w:tcW w:w="6160" w:type="dxa"/>
            <w:vAlign w:val="bottom"/>
            <w:gridSpan w:val="3"/>
          </w:tcPr>
          <w:p>
            <w:pPr>
              <w:spacing w:after="0" w:line="202" w:lineRule="exact"/>
              <w:rPr>
                <w:sz w:val="20"/>
                <w:szCs w:val="20"/>
                <w:color w:val="auto"/>
              </w:rPr>
            </w:pPr>
            <w:r>
              <w:rPr>
                <w:rFonts w:ascii="Arial" w:cs="Arial" w:eastAsia="Arial" w:hAnsi="Arial"/>
                <w:sz w:val="18"/>
                <w:szCs w:val="18"/>
                <w:color w:val="auto"/>
              </w:rPr>
              <w:t>Dorada Ventures, Ltd.</w:t>
            </w: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October 18, 2013</w:t>
            </w:r>
          </w:p>
        </w:tc>
        <w:tc>
          <w:tcPr>
            <w:tcW w:w="2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British Columbia, Canada</w:t>
            </w: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Gatenhielm Group, CV (dissolved January 25, 2018)</w:t>
            </w:r>
          </w:p>
        </w:tc>
        <w:tc>
          <w:tcPr>
            <w:tcW w:w="2020" w:type="dxa"/>
            <w:vAlign w:val="bottom"/>
          </w:tcPr>
          <w:p>
            <w:pPr>
              <w:jc w:val="center"/>
              <w:spacing w:after="0"/>
              <w:rPr>
                <w:sz w:val="20"/>
                <w:szCs w:val="20"/>
                <w:color w:val="auto"/>
              </w:rPr>
            </w:pPr>
            <w:r>
              <w:rPr>
                <w:rFonts w:ascii="Arial" w:cs="Arial" w:eastAsia="Arial" w:hAnsi="Arial"/>
                <w:sz w:val="18"/>
                <w:szCs w:val="18"/>
                <w:color w:val="auto"/>
              </w:rPr>
              <w:t>January 2, 2016</w:t>
            </w: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03"/>
        </w:trPr>
        <w:tc>
          <w:tcPr>
            <w:tcW w:w="6160" w:type="dxa"/>
            <w:vAlign w:val="bottom"/>
            <w:gridSpan w:val="3"/>
          </w:tcPr>
          <w:p>
            <w:pPr>
              <w:spacing w:after="0" w:line="202" w:lineRule="exact"/>
              <w:rPr>
                <w:sz w:val="20"/>
                <w:szCs w:val="20"/>
                <w:color w:val="auto"/>
              </w:rPr>
            </w:pPr>
            <w:r>
              <w:rPr>
                <w:rFonts w:ascii="Arial" w:cs="Arial" w:eastAsia="Arial" w:hAnsi="Arial"/>
                <w:sz w:val="18"/>
                <w:szCs w:val="18"/>
                <w:color w:val="auto"/>
              </w:rPr>
              <w:t>High Park Farms, Ltd.</w:t>
            </w: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February 19, 2016</w:t>
            </w:r>
          </w:p>
        </w:tc>
        <w:tc>
          <w:tcPr>
            <w:tcW w:w="2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British Columbia, Canada</w:t>
            </w:r>
          </w:p>
        </w:tc>
        <w:tc>
          <w:tcPr>
            <w:tcW w:w="0" w:type="dxa"/>
            <w:vAlign w:val="bottom"/>
          </w:tcPr>
          <w:p>
            <w:pPr>
              <w:spacing w:after="0"/>
              <w:rPr>
                <w:sz w:val="1"/>
                <w:szCs w:val="1"/>
                <w:color w:val="auto"/>
              </w:rPr>
            </w:pPr>
          </w:p>
        </w:tc>
      </w:tr>
      <w:tr>
        <w:trPr>
          <w:trHeight w:val="203"/>
        </w:trPr>
        <w:tc>
          <w:tcPr>
            <w:tcW w:w="6160" w:type="dxa"/>
            <w:vAlign w:val="bottom"/>
            <w:gridSpan w:val="3"/>
          </w:tcPr>
          <w:p>
            <w:pPr>
              <w:spacing w:after="0" w:line="202" w:lineRule="exact"/>
              <w:rPr>
                <w:sz w:val="20"/>
                <w:szCs w:val="20"/>
                <w:color w:val="auto"/>
              </w:rPr>
            </w:pPr>
            <w:r>
              <w:rPr>
                <w:rFonts w:ascii="Arial" w:cs="Arial" w:eastAsia="Arial" w:hAnsi="Arial"/>
                <w:sz w:val="18"/>
                <w:szCs w:val="18"/>
                <w:color w:val="auto"/>
              </w:rPr>
              <w:t>Tilray Deutschland GmbH</w:t>
            </w: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November 3, 2016</w:t>
            </w:r>
          </w:p>
        </w:tc>
        <w:tc>
          <w:tcPr>
            <w:tcW w:w="2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03"/>
        </w:trPr>
        <w:tc>
          <w:tcPr>
            <w:tcW w:w="6160" w:type="dxa"/>
            <w:vAlign w:val="bottom"/>
            <w:gridSpan w:val="3"/>
          </w:tcPr>
          <w:p>
            <w:pPr>
              <w:spacing w:after="0" w:line="202" w:lineRule="exact"/>
              <w:rPr>
                <w:sz w:val="20"/>
                <w:szCs w:val="20"/>
                <w:color w:val="auto"/>
              </w:rPr>
            </w:pPr>
            <w:r>
              <w:rPr>
                <w:rFonts w:ascii="Arial" w:cs="Arial" w:eastAsia="Arial" w:hAnsi="Arial"/>
                <w:sz w:val="18"/>
                <w:szCs w:val="18"/>
                <w:color w:val="auto"/>
              </w:rPr>
              <w:t>Tilray Portugal Unipessoal, Lda.</w:t>
            </w: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rPr>
              <w:t>April 5, 2017</w:t>
            </w:r>
          </w:p>
        </w:tc>
        <w:tc>
          <w:tcPr>
            <w:tcW w:w="2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03"/>
        </w:trPr>
        <w:tc>
          <w:tcPr>
            <w:tcW w:w="6160" w:type="dxa"/>
            <w:vAlign w:val="bottom"/>
            <w:gridSpan w:val="3"/>
          </w:tcPr>
          <w:p>
            <w:pPr>
              <w:spacing w:after="0" w:line="202" w:lineRule="exact"/>
              <w:rPr>
                <w:sz w:val="20"/>
                <w:szCs w:val="20"/>
                <w:color w:val="auto"/>
              </w:rPr>
            </w:pPr>
            <w:r>
              <w:rPr>
                <w:rFonts w:ascii="Arial" w:cs="Arial" w:eastAsia="Arial" w:hAnsi="Arial"/>
                <w:sz w:val="18"/>
                <w:szCs w:val="18"/>
                <w:color w:val="auto"/>
              </w:rPr>
              <w:t>Pardal Holdings, Lda.</w:t>
            </w: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April 24, 2017</w:t>
            </w:r>
          </w:p>
        </w:tc>
        <w:tc>
          <w:tcPr>
            <w:tcW w:w="28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Tilray Australia New Zealand Pty. Ltd.</w:t>
            </w: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May 9, 2017</w:t>
            </w: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7"/>
        </w:trPr>
        <w:tc>
          <w:tcPr>
            <w:tcW w:w="6160" w:type="dxa"/>
            <w:vAlign w:val="bottom"/>
            <w:gridSpan w:val="3"/>
          </w:tcPr>
          <w:p>
            <w:pPr>
              <w:spacing w:after="0"/>
              <w:rPr>
                <w:sz w:val="20"/>
                <w:szCs w:val="20"/>
                <w:color w:val="auto"/>
              </w:rPr>
            </w:pPr>
            <w:r>
              <w:rPr>
                <w:rFonts w:ascii="Arial" w:cs="Arial" w:eastAsia="Arial" w:hAnsi="Arial"/>
                <w:sz w:val="18"/>
                <w:szCs w:val="18"/>
                <w:color w:val="auto"/>
              </w:rPr>
              <w:t>High Park Holdings, Ltd.</w:t>
            </w:r>
          </w:p>
        </w:tc>
        <w:tc>
          <w:tcPr>
            <w:tcW w:w="2020" w:type="dxa"/>
            <w:vAlign w:val="bottom"/>
          </w:tcPr>
          <w:p>
            <w:pPr>
              <w:jc w:val="center"/>
              <w:spacing w:after="0"/>
              <w:rPr>
                <w:sz w:val="20"/>
                <w:szCs w:val="20"/>
                <w:color w:val="auto"/>
              </w:rPr>
            </w:pPr>
            <w:r>
              <w:rPr>
                <w:rFonts w:ascii="Arial" w:cs="Arial" w:eastAsia="Arial" w:hAnsi="Arial"/>
                <w:sz w:val="18"/>
                <w:szCs w:val="18"/>
                <w:color w:val="auto"/>
              </w:rPr>
              <w:t>February 8, 2018</w:t>
            </w:r>
          </w:p>
        </w:tc>
        <w:tc>
          <w:tcPr>
            <w:tcW w:w="2860" w:type="dxa"/>
            <w:vAlign w:val="bottom"/>
            <w:gridSpan w:val="2"/>
          </w:tcPr>
          <w:p>
            <w:pPr>
              <w:ind w:left="220"/>
              <w:spacing w:after="0"/>
              <w:rPr>
                <w:sz w:val="20"/>
                <w:szCs w:val="20"/>
                <w:color w:val="auto"/>
              </w:rPr>
            </w:pPr>
            <w:r>
              <w:rPr>
                <w:rFonts w:ascii="Arial" w:cs="Arial" w:eastAsia="Arial" w:hAnsi="Arial"/>
                <w:sz w:val="18"/>
                <w:szCs w:val="18"/>
                <w:color w:val="auto"/>
              </w:rPr>
              <w:t>British Columbia, Canada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Decatur was incorporated under the laws of the Netherlands on March 8, 2016 as a wholly owned subsidiary of Privateer Holdings to hold a 100% ownership interest in the underlying entities included above. These entities are wholly owned by the Company and have been formed to support the intended operations of the Company and all intercompany transactions and balances have been eliminated in the financial statements of the Company.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judgments, estimates and assumptions that affect the reported amounts in the financial statements and accompanying notes. Actual results may differ from these estimates. Key estimates in these financial statements include the allowance for doubtful accounts, inventory write-downs, capitalization of internally developed software costs, estimated useful lives of property, plant and equipment and intangible assets, valuation allowance on deferred income tax assets, expected usage rate on customer loyalty awards and fair value of stock options granted under Privateer Holdings’ stock-based compensation plan.</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9"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These financial statements are presented in the United States dollar (“USD”), which is the Company’s reporting currency. Functional currencies for the entities in these financial statements are their respective local currencies, including the Canadian dollar (“CAD”), Australian dollar, and the Euro.</w:t>
      </w:r>
    </w:p>
    <w:p>
      <w:pPr>
        <w:spacing w:after="0" w:line="203" w:lineRule="exact"/>
        <w:rPr>
          <w:sz w:val="20"/>
          <w:szCs w:val="20"/>
          <w:color w:val="auto"/>
        </w:rPr>
      </w:pPr>
    </w:p>
    <w:p>
      <w:pPr>
        <w:ind w:left="200" w:right="340" w:firstLine="331"/>
        <w:spacing w:after="0" w:line="238" w:lineRule="auto"/>
        <w:rPr>
          <w:sz w:val="20"/>
          <w:szCs w:val="20"/>
          <w:color w:val="auto"/>
        </w:rPr>
      </w:pPr>
      <w:r>
        <w:rPr>
          <w:rFonts w:ascii="Arial" w:cs="Arial" w:eastAsia="Arial" w:hAnsi="Arial"/>
          <w:sz w:val="18"/>
          <w:szCs w:val="18"/>
          <w:color w:val="auto"/>
        </w:rPr>
        <w:t>The assets and liabilities of each entity are translated to USD at the exchange rate in effect at December 31, 2017 and 2016 and March 31, 2018. Certain transactions affecting the stockholders’ equity (deficit) are translated at historical foreign exchange rates. The consolidated statements of net loss and comprehensive loss and statements of cash flows are translated to USD applying the average foreign exchange rate in effect during the reporting period. The resulting translation adjustments are included in other comprehensive income.</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Monetary assets and liabilities denominated in foreign currencies are translated to the functional currency applying the foreign exchange rate in effect at the balance sheet date. Revenues and expenses are translated using the average foreign exchange rate for the reporting period. Realized and unrealized foreign currency differences are recognized in the consolidated statement of net loss and comprehensive loss.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loss per share (unaudited)</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Basic net loss per share is computed by dividing reported net loss by the weighted average number of common shares outstanding for the reported period. Diluted net loss per share reflects the potential dilution that could occur if securities or other contracts to issue common stock were exercised or converted into common stock of the Company during reported periods. Diluted net loss per share is computed by dividing net loss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Potential dilutive common share equivalents consist of stock options, restricted stock units and restricted stock awards, of which the Company has authorized but not issued as of March 31, 2018.</w:t>
      </w:r>
    </w:p>
    <w:p>
      <w:pPr>
        <w:spacing w:after="0" w:line="20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In computing diluted earnings per share, common share equivalents are not considered in periods in which a net loss is reported, as the inclusion of the common share equivalents would be anti-dilutive. As of March 31, 2018, there were 8,156,159 common share equivalents with potential dilutive impact. As a result, there is no difference between the Company’s basic and diluted loss per share for the periods presented. There were no common share equivalents that would have a dilutive impact in 2016 and 2017.</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85"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Cash and cash equivalents are comprised of cash and highly liquid investments that are readily convertible into known amounts of cash with original maturities of three months or less.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Cash and cash equivalents include amounts held primarily in US dollar, Canadian dollar, Euro, and money market funds.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Investments (unaudited)</w:t>
      </w:r>
    </w:p>
    <w:p>
      <w:pPr>
        <w:spacing w:after="0" w:line="99" w:lineRule="exact"/>
        <w:rPr>
          <w:sz w:val="20"/>
          <w:szCs w:val="20"/>
          <w:color w:val="auto"/>
        </w:rPr>
      </w:pPr>
    </w:p>
    <w:p>
      <w:pPr>
        <w:ind w:left="200" w:right="620" w:firstLine="331"/>
        <w:spacing w:after="0" w:line="246" w:lineRule="auto"/>
        <w:rPr>
          <w:sz w:val="20"/>
          <w:szCs w:val="20"/>
          <w:color w:val="auto"/>
        </w:rPr>
      </w:pPr>
      <w:r>
        <w:rPr>
          <w:rFonts w:ascii="Arial" w:cs="Arial" w:eastAsia="Arial" w:hAnsi="Arial"/>
          <w:sz w:val="18"/>
          <w:szCs w:val="18"/>
          <w:color w:val="auto"/>
        </w:rPr>
        <w:t>The Company invests cash resources primarily in corporate bonds, certificate of deposits, asset-backed commercial paper and commercial paper. The Company’s intent is to convert all investments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into cash to be used for operations and has classified them as available-for-sale, which are reported at estimated fair value with unrealized gains and losses included in accumulated other comprehensive income in stockholders’ equity (deficit). Realized gains, realized losses and declines in the value of securities judged to be other-than-temporary, are included in investment and other income, net. The cost of investments for purposes of computing realized and unrealized gains and losses is based on the specific identification method. The Company classifies investments maturing within one year of the reporting date, or where management’s intent is to use the investments to fund current operations or to make them available for current operations, as short-term investments.</w:t>
      </w:r>
    </w:p>
    <w:p>
      <w:pPr>
        <w:spacing w:after="0" w:line="20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recovery in market value and whether evidence indicating that the cost of the investment is recoverable within a reasonable period of time outweighs evidence to the contrary. The Company also evaluates whether or not it intends to sell the investment. If the impairment is considered to be other-than-temporary, the security is written down to its estimated fair value. In addition, the Company considers whether credit losses exist for any securities. A credit loss exists if the present value of cash flows expected to be collected is less than the amortized cost basis of the security. Other-than-temporary declines in estimated fair value and credit losses are charged against investment and other income (expense), net.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carrying value of the Company’s accounts receivable, other receivables, accounts payable, accrued expenses and other current liabilities and Privateer Holdings company debt facilities approximate their fair value due to their short-term nature. Investments that are classified as available for-sale are recorded at estimated fair value. The estimated fair value for securities held is determined using quoted market prices or broker or dealer quotations.</w:t>
      </w:r>
    </w:p>
    <w:p>
      <w:pPr>
        <w:spacing w:after="0" w:line="202"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estimating the fair value of an asset or a liability, the Company takes into account the characteristics of the asset or liability if market participants would take those characteristics into account when pricing the asset or liability at the measurement date.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receivables</w:t>
      </w:r>
    </w:p>
    <w:p>
      <w:pPr>
        <w:spacing w:after="0" w:line="8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The Company is subject to Canadian harmonized sales tax (“HST”). The amount of HST asset is determined by applying the applicable tax rate to HST accrued on purchases of materials and services less the amount of goods sold. The net amount of HST recoverable from or payable to the taxation authority is included within other receivables or accrued expenses and other current liabilities depending on the net position.</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Inventory</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Inventory is comprised of raw materials, finished goods and work-in-progress such as pre-harvested cannabis plants and by-products to be extracted. The costs of growing cannabis including but not limited to labor, utilities, nutrition and irrigation, are capitalized into inventory until the time of harvest.</w:t>
      </w:r>
    </w:p>
    <w:p>
      <w:pPr>
        <w:spacing w:after="0" w:line="203"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Inventory is stated at the lower of cost or net realizable value, determined using weighted average cost. Cost includes costs directly related to manufacturing and distribution of the products. Primary costs include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right="500"/>
        <w:spacing w:after="0"/>
        <w:rPr>
          <w:sz w:val="20"/>
          <w:szCs w:val="20"/>
          <w:color w:val="auto"/>
        </w:rPr>
      </w:pPr>
      <w:r>
        <w:rPr>
          <w:rFonts w:ascii="Arial" w:cs="Arial" w:eastAsia="Arial" w:hAnsi="Arial"/>
          <w:sz w:val="18"/>
          <w:szCs w:val="18"/>
          <w:color w:val="auto"/>
        </w:rPr>
        <w:t>raw materials, packaging, direct labor, overhead, shipping and the depreciation of manufacturing equipment and production facilities determined at normal capacity. Manufacturing overhead and related expenses include salaries, wages, employee benefits, utilities, maintenance and property taxes.</w:t>
      </w:r>
    </w:p>
    <w:p>
      <w:pPr>
        <w:spacing w:after="0" w:line="20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Net realizable value is defined as the estimated selling price in the ordinary course of business, less reasonably predictable costs of completion, disposal and transportation. At the end of each reporting period, the Company performs an assessment of inventory obsolescence to measure inventory at the lower of cost or net realizable value. Factors considered in the determination of obsolescence include slow-moving or non-marketable items.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Property, plant and equipment are recorded at cost net of accumulated depreciation. Assets held under capital leases are capitalized at the commencement of the lease at the lower of the present value of minimum lease payments at the inception of the lease or fair value. Depreciation is computed using the straight-line method over the estimated useful lives of the assets. The estimated useful life of buildings is 20 years and the estimated useful life of property, plant and equipment, other than buildings, ranges from three to seven years. Land is not depreciated. Leasehold improvements are amortized over the lesser of the asset’s estimated useful life or the remaining lease term. Assets under capital lease are currently under construction are available for commercial use.</w:t>
      </w:r>
    </w:p>
    <w:p>
      <w:pPr>
        <w:spacing w:after="0" w:line="20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When assets are retired or disposed of, the cost and accumulated depreciation are removed from the respective accounts and any related gain or loss is recognized. Maintenance and repairs are charged to expense as incurred. Significant expenditures, which extend the useful lives of assets or increase productivity, are capitalized. When significant parts of an item of property, plant and equipment have different useful lives, they are accounted for as separate items or components of property, plant and equipment.</w:t>
      </w:r>
    </w:p>
    <w:p>
      <w:pPr>
        <w:spacing w:after="0" w:line="202"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Construction in progress includes construction progress payments, deposits, engineering costs, borrowing costs for long-term construction projects and other costs directly related to the construction of the facilities. Expenditures are capitalized during the construction period and construction in progress is transferred to the relevant class of property, plant and equipment when the assets are available for use, at which point the depreciation of the asset commences.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8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Intangible assets are comprised of internally developed software which is recorded at cost less accumulated amortization. Capitalization of costs incurred in connection with internally developed software commences when both the preliminary project stage is completed and management has authorized further funding for the project, based on a determination that it is probable the project will be completed and used to perform the function intended. Capitalization of costs ceases no later than the point at which the project is substantially complete and ready for its intended use. All other costs are expensed as incurred. Amortization is calculated on a straight-line basis over three years. Costs incurred for enhancements that are expected to result in additional functionalities are capitalized.</w:t>
      </w:r>
    </w:p>
    <w:p>
      <w:pPr>
        <w:spacing w:after="0" w:line="205"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The estimated useful lives are reviewed at the end of each reporting period, with the effect of any changes in estimate being accounted for on a prospective basis.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are less than the carrying value of the asset group. The measurement of the impairment loss to be recognized is based on the difference between the fair value and the carrying value of the asset group. Fair value can be determined using a market approach, income approach or cost approach. The reversal of impairment losses is prohibited.</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Capitalization of interest</w:t>
      </w:r>
    </w:p>
    <w:p>
      <w:pPr>
        <w:spacing w:after="0" w:line="85"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Interest incurred relating to the construction or expansion of facilities is capitalized to the construction in progress. The Company ceases the capitalization of interest when construction activities are substantially completed and the facility is available for commercial use.</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jc w:val="both"/>
        <w:ind w:left="200" w:firstLine="331"/>
        <w:spacing w:after="0" w:line="238" w:lineRule="auto"/>
        <w:rPr>
          <w:sz w:val="20"/>
          <w:szCs w:val="20"/>
          <w:color w:val="auto"/>
        </w:rPr>
      </w:pPr>
      <w:r>
        <w:rPr>
          <w:rFonts w:ascii="Arial" w:cs="Arial" w:eastAsia="Arial" w:hAnsi="Arial"/>
          <w:sz w:val="18"/>
          <w:szCs w:val="18"/>
          <w:color w:val="auto"/>
        </w:rPr>
        <w:t>The Company enters into various leases in conducting its business. At the inception of each lease, the Company evaluates the lease agreement to determine whether the lease is an operating or capital lease. A capital lease is a lease in which 1) ownership of the property transfers to the lessee by the end of the lease term; 2) the lease contains a bargain purchase option; 3) the lease term is equal to 75% or more of the economic life of the leased property; or 4) the present value of the minimum lease payment at the inception of the lease term equals or exceeds 90% of the fair value of the leased property.</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An asset and a corresponding liability are established at inception for capital leases. The capital lease assets are included in property, plant and equipment and the capital lease obligations are included in accrued obligations under capital lease. Operating lease payments are recognized as an expense on a straight-line basis over the lease term.</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jc w:val="both"/>
        <w:ind w:left="200" w:right="320" w:firstLine="331"/>
        <w:spacing w:after="0" w:line="239" w:lineRule="auto"/>
        <w:rPr>
          <w:sz w:val="20"/>
          <w:szCs w:val="20"/>
          <w:color w:val="auto"/>
        </w:rPr>
      </w:pPr>
      <w:r>
        <w:rPr>
          <w:rFonts w:ascii="Arial" w:cs="Arial" w:eastAsia="Arial" w:hAnsi="Arial"/>
          <w:sz w:val="18"/>
          <w:szCs w:val="18"/>
          <w:color w:val="auto"/>
        </w:rPr>
        <w:t>The Company recognizes revenue as earned when the following four criteria have been met: (i) when persuasive evidence of an arrangement exists, (ii) the product has been delivered to a customer, (iii) the sales price is fixed or determinable, and (iv) collection is reasonably assured. Revenue is recognized net of sales incentives, after discounts for the assurance program and veterans coverage program.</w:t>
      </w:r>
    </w:p>
    <w:p>
      <w:pPr>
        <w:spacing w:after="0" w:line="202"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Direct-to-patient sales are recognized when the products are shipped to the customers. Bulk sales under wholesale agreements are recognized based on the shipping terms of the agreements. Export sales under pharmaceutical distribution and pharmacy supply agreements are recognized when products are delivered to the end customers or patients.</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Customer loyalty awards are accounted for as a separate component of the sales transaction in which they are granted. A portion of the consideration received in a transaction that includes the issuance of an award is deferred until the awards are ultimately redeemed. The allocation of the consideration to the award is based on an evaluation of the award’s estimated fair value at the date of the transaction. The customer loyalty program was discontinued in September 2017 and all customer loyalty awards expired as at December 31, 2017.</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60"/>
          </w:cols>
          <w:pgMar w:left="24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sales</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Cost of sales represents costs directly related to manufacturing and distribution of the Company’s products. Primary costs include raw materials, packaging, direct labor, overhead, shipping and handling and the depreciation of manufacturing equipment and production facilities. Manufacturing overhead and related expenses include salaries, wages, employee benefits, utilities, maintenance and property taxes. The Company recognizes the cost of sales as the associated revenues are recognized.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Company’s employees have historically participated in Privateer Holdings’ equity-based compensation plan. Equity-based compensation expense has been allocated to these financial statements based on the awards and terms previously granted to Privateer Holdings’ employees. The Company adopted a new 2018 Equity Incentive Plan and has reserved 6,711,621 shares of common stock for issuance under the Plan.</w:t>
      </w:r>
    </w:p>
    <w:p>
      <w:pPr>
        <w:spacing w:after="0" w:line="202"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The Company measures and recognizes compensation expense for stock options on a straight-line basis over the vesting period based on their grant date fair values. The Company estimates the fair value of stock options on the date of grant using the Black-Scholes option pricing model. The fair value of Privateer Holdings’ common stock at the date of grant was determined by the Board of Directors of Privateer Holdings with assistance from third-party valuation specialists. The Company estimates forfeitures at the time of grant and revises these estimates in subsequent periods if actual forfeitures differ from those estimates.</w:t>
      </w:r>
    </w:p>
    <w:p>
      <w:pPr>
        <w:spacing w:after="0" w:line="20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critical assumptions and estimates used in determining the fair value of stock-based compensation on the grant date are: fair value of Privateer Holdings’ common shares on the grant date, fair value of the Company’s common shares on the grant date, risk-free interest rate, volatility of comparable company share price, and the expected term.</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makes an assessment of the likelihood that the resulting deferred tax assets will be realized. A valuation allowance is provided when it is more likely than not that some portion or all of a deferred tax asset will not be realized.</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99"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In the normal course of business, the Company enters into related party transactions with Privateer Holdings, including certain debt facilities and charge for services provided by executives and employees of Privateer Holdings. The related party transactions are measured at the exchange amounts.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80"/>
          </w:cols>
          <w:pgMar w:left="240" w:top="460"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May 2014, the Financial Accounting Standards Board (“FASB”) issued Accounting Standard Update (“ASU”) 2014-09, Revenue from Contracts with Customers (Topic 606), a new standard on revenue recognition. Further, the FASB has issued a number of additional ASUs regarding the new revenue recognition standard. The new standard, as amended, will supersede existing revenue recognition guidance and apply to all entities that enter into contracts to provide goods or services to customers. In August 2015, the FASB issued ASU 2015-14, Revenue from Contracts with Customers – Deferral of the Effective Date, which amends ASU 2014-09 to defer the effective date by one year. The new standard is effective for annual and interim periods in fiscal years beginning after December 15, 2018. Entities are allowed to use either the full or modified retrospective approach when transitioning to the ASU. The Company expects to implement the provisions of ASU 2014-09 as of January 1, 2019 and has not yet selected a transition method. The adoption of this ASU is not expected to have a material effect on the consolidated financial statements.</w:t>
      </w:r>
    </w:p>
    <w:p>
      <w:pPr>
        <w:spacing w:after="0" w:line="207"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In January 2016, the FASB issued ASU 2016-01, Financial Instruments – Overall (Subtopic 825-10) – Recognition and Measurement of Financial Assets and Financial Liabilities. ASU 2016-01 is intended to enhance the reporting model for financial instruments to provide users of financial statements with more decision-useful information. ASU 2016-01 is effective for annual periods beginning after December 15, 2018, and interim periods within those annual periods beginning after December 15, 2019. The adoption of this ASU is not expected to have a material effect on the consolidated financial statements.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February 2016, the FASB issued ASU 2016-02, Leases, which supersedes the current accounting for leases and while retaining two distinct types of leases, finance and operating, (1) requires lessees to record a right of use asset and a related liability for the rights and obligations associated with a lease, regardless of lease classification, and recognize lease expense in a manner similar to current accounting, (2) eliminates most real estate specific lease provisions, and, (3) aligns many of the underlying lessor model principles with those in the new revenue standard. Leases with a term of 12 months or less will be accounted for similar to existing guidance for operating leases today. The ASU is effective for annual and interim periods in fiscal years beginning after December 15, 2019. Entities are required to use a modified retrospective approach when transitioning to the ASU for leases that exist as of or are entered into after the beginning of the earliest comparative period presented in the financial statements. The Company expects to implement the provisions of ASU 2016-02 as of January 1, 2020 The Company is currently evaluating the impact of the new standard on its financial statements.</w:t>
      </w:r>
    </w:p>
    <w:p>
      <w:pPr>
        <w:spacing w:after="0" w:line="20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March 2016, the FASB issued ASU 2016-09, Compensation – Stock Compensation (Topic 718). ASU 2016-09 is intended to simplify the accounting for share-based payment transactions, including income tax consequences, classification of awards as either assets or liabilities and classification on the statement of cash flows. ASU 2016-09 is effective for annual periods beginning after December 15, 2017 and interim periods within annual periods beginning after December 15, 2018. Early adoption is permitted. The Company expects to implement the provisions of ASU 2016-09 as of January 1, 2019. The adoption of this ASU is not expected to have a material effect on the Company’s financial statements.</w:t>
      </w:r>
    </w:p>
    <w:p>
      <w:pPr>
        <w:spacing w:after="0" w:line="205"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ASU 2016-13 requires the measurement of all expected credit losses for financial assets held at the reporting date based on historical experience,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current conditions and reasonable and supportable forecasts. Adoption of ASU 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2020 and interim periods within fiscal years beginning after December 15, 2021. The Company expects to implement the provisions of ASU 2016-13 as of January 1, 2022. The adoption of this ASU is not expected to have a material effect on the Company’s financial statements.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Investments (unaudited)</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at March 31, 2018, available-for-sale securities consist of:</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040" w:type="dxa"/>
            <w:vAlign w:val="bottom"/>
            <w:gridSpan w:val="3"/>
          </w:tcPr>
          <w:p>
            <w:pPr>
              <w:ind w:left="3320"/>
              <w:spacing w:after="0"/>
              <w:rPr>
                <w:sz w:val="20"/>
                <w:szCs w:val="20"/>
                <w:color w:val="auto"/>
              </w:rPr>
            </w:pPr>
            <w:r>
              <w:rPr>
                <w:rFonts w:ascii="Arial" w:cs="Arial" w:eastAsia="Arial" w:hAnsi="Arial"/>
                <w:sz w:val="14"/>
                <w:szCs w:val="14"/>
                <w:b w:val="1"/>
                <w:bCs w:val="1"/>
                <w:color w:val="auto"/>
              </w:rPr>
              <w:t>Amortized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Corporate bonds</w:t>
            </w:r>
          </w:p>
        </w:tc>
        <w:tc>
          <w:tcPr>
            <w:tcW w:w="3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1,044</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3,739</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3,739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Asset-backed commercial paper</w:t>
            </w:r>
          </w:p>
        </w:tc>
        <w:tc>
          <w:tcPr>
            <w:tcW w:w="3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16,567</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16,567</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line="202" w:lineRule="exact"/>
              <w:rPr>
                <w:sz w:val="20"/>
                <w:szCs w:val="20"/>
                <w:color w:val="auto"/>
              </w:rPr>
            </w:pPr>
            <w:r>
              <w:rPr>
                <w:rFonts w:ascii="Arial" w:cs="Arial" w:eastAsia="Arial" w:hAnsi="Arial"/>
                <w:sz w:val="18"/>
                <w:szCs w:val="18"/>
                <w:color w:val="auto"/>
              </w:rPr>
              <w:t>Commercial paper</w:t>
            </w:r>
          </w:p>
        </w:tc>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8,156</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8,156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3440" w:type="dxa"/>
            <w:vAlign w:val="bottom"/>
            <w:gridSpan w:val="2"/>
            <w:shd w:val="clear" w:color="auto" w:fill="CCEEFF"/>
          </w:tcPr>
          <w:p>
            <w:pPr>
              <w:ind w:left="332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29,506</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29,506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at December 31, 2016 and 2017, the Company did not hold any short-term investments.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Fair value Measurement (unaudited)</w:t>
      </w:r>
    </w:p>
    <w:p>
      <w:pPr>
        <w:spacing w:after="0" w:line="126"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Company complies with FASB ASC 820, Fair Value Measurements, for its financial assets and liabilities that are re-measured and reported at fair value at each reporting period, and non-financial assets and liabilities that are re-measured and reported at fair value at least annually.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as of December 31, 2016 and 2017 and March 31, 2018,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rPr>
              <w:t>Quoted prices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in active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markets for</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568"/>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84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identical</w:t>
            </w:r>
          </w:p>
        </w:tc>
        <w:tc>
          <w:tcPr>
            <w:tcW w:w="1940" w:type="dxa"/>
            <w:vAlign w:val="bottom"/>
            <w:gridSpan w:val="5"/>
          </w:tcPr>
          <w:p>
            <w:pPr>
              <w:jc w:val="center"/>
              <w:ind w:left="96"/>
              <w:spacing w:after="0"/>
              <w:rPr>
                <w:sz w:val="20"/>
                <w:szCs w:val="20"/>
                <w:color w:val="auto"/>
              </w:rPr>
            </w:pPr>
            <w:r>
              <w:rPr>
                <w:rFonts w:ascii="Arial" w:cs="Arial" w:eastAsia="Arial" w:hAnsi="Arial"/>
                <w:sz w:val="14"/>
                <w:szCs w:val="14"/>
                <w:b w:val="1"/>
                <w:bCs w:val="1"/>
                <w:color w:val="auto"/>
              </w:rPr>
              <w:t>observable</w:t>
            </w: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assets</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568"/>
              <w:spacing w:after="0"/>
              <w:rPr>
                <w:sz w:val="20"/>
                <w:szCs w:val="20"/>
                <w:color w:val="auto"/>
              </w:rPr>
            </w:pPr>
            <w:r>
              <w:rPr>
                <w:rFonts w:ascii="Arial" w:cs="Arial" w:eastAsia="Arial" w:hAnsi="Arial"/>
                <w:sz w:val="14"/>
                <w:szCs w:val="14"/>
                <w:b w:val="1"/>
                <w:bCs w:val="1"/>
                <w:color w:val="auto"/>
              </w:rPr>
              <w:t>inputs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(Level 1)</w:t>
            </w:r>
          </w:p>
        </w:tc>
        <w:tc>
          <w:tcPr>
            <w:tcW w:w="680" w:type="dxa"/>
            <w:vAlign w:val="bottom"/>
          </w:tcPr>
          <w:p>
            <w:pPr>
              <w:spacing w:after="0"/>
              <w:rPr>
                <w:sz w:val="15"/>
                <w:szCs w:val="15"/>
                <w:color w:val="auto"/>
              </w:rPr>
            </w:pPr>
          </w:p>
        </w:tc>
        <w:tc>
          <w:tcPr>
            <w:tcW w:w="1260" w:type="dxa"/>
            <w:vAlign w:val="bottom"/>
            <w:gridSpan w:val="4"/>
          </w:tcPr>
          <w:p>
            <w:pPr>
              <w:jc w:val="center"/>
              <w:ind w:right="42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84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5"/>
          </w:tcPr>
          <w:p>
            <w:pPr>
              <w:ind w:left="300"/>
              <w:spacing w:after="0" w:line="155" w:lineRule="exact"/>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31, 2018</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Money market fund</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2,988</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28"/>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2,988</w:t>
            </w: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160"/>
              <w:spacing w:after="0" w:line="202" w:lineRule="exact"/>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1,044</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428"/>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3,739</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160"/>
              <w:spacing w:after="0" w:line="202" w:lineRule="exact"/>
              <w:rPr>
                <w:sz w:val="20"/>
                <w:szCs w:val="20"/>
                <w:color w:val="auto"/>
              </w:rPr>
            </w:pPr>
            <w:r>
              <w:rPr>
                <w:rFonts w:ascii="Arial" w:cs="Arial" w:eastAsia="Arial" w:hAnsi="Arial"/>
                <w:sz w:val="18"/>
                <w:szCs w:val="18"/>
                <w:color w:val="auto"/>
              </w:rPr>
              <w:t>Asset-backed commercial paper</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16,567</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16,567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8,156</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Total investments</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1,044</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28,462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w:t>
            </w:r>
          </w:p>
        </w:tc>
        <w:tc>
          <w:tcPr>
            <w:tcW w:w="7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4,032</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28,462</w:t>
            </w:r>
          </w:p>
        </w:tc>
        <w:tc>
          <w:tcPr>
            <w:tcW w:w="4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Accounts Receivable</w:t>
            </w: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receivable is comprised of the following items: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As of</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58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2016</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6"/>
          </w:tcPr>
          <w:p>
            <w:pPr>
              <w:jc w:val="center"/>
              <w:ind w:right="388"/>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5"/>
                <w:szCs w:val="15"/>
                <w:color w:val="auto"/>
              </w:rPr>
            </w:pPr>
          </w:p>
        </w:tc>
        <w:tc>
          <w:tcPr>
            <w:tcW w:w="1420" w:type="dxa"/>
            <w:vAlign w:val="bottom"/>
            <w:gridSpan w:val="5"/>
          </w:tcPr>
          <w:p>
            <w:pPr>
              <w:ind w:left="320"/>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Borders>
              <w:top w:val="single" w:sz="8" w:color="auto"/>
            </w:tcBorders>
            <w:gridSpan w:val="3"/>
          </w:tcPr>
          <w:p>
            <w:pPr>
              <w:jc w:val="right"/>
              <w:ind w:right="52"/>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54"/>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54"/>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As at December 31, 2017 and March 31, 2018, no allowance for doubtful accounts has been recognized as collections are reasonably assured on all outstanding customer and patient accounts.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outlines the movement for the allowance for doubtful accounts: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rPr>
              <w:t>Change due to</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expense and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beginning of</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foreign</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rPr>
              <w:t>exchange</w:t>
            </w:r>
          </w:p>
        </w:tc>
        <w:tc>
          <w:tcPr>
            <w:tcW w:w="580" w:type="dxa"/>
            <w:vAlign w:val="bottom"/>
          </w:tcPr>
          <w:p>
            <w:pPr>
              <w:spacing w:after="0"/>
              <w:rPr>
                <w:sz w:val="15"/>
                <w:szCs w:val="15"/>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Write-off</w:t>
            </w:r>
          </w:p>
        </w:tc>
        <w:tc>
          <w:tcPr>
            <w:tcW w:w="720" w:type="dxa"/>
            <w:vAlign w:val="bottom"/>
          </w:tcPr>
          <w:p>
            <w:pPr>
              <w:spacing w:after="0"/>
              <w:rPr>
                <w:sz w:val="15"/>
                <w:szCs w:val="15"/>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end of year</w:t>
            </w: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2017</w:t>
            </w: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7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45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560" w:type="dxa"/>
            <w:vAlign w:val="bottom"/>
            <w:gridSpan w:val="2"/>
          </w:tcPr>
          <w:p>
            <w:pPr>
              <w:spacing w:after="0" w:line="196" w:lineRule="exact"/>
              <w:rPr>
                <w:sz w:val="20"/>
                <w:szCs w:val="20"/>
                <w:color w:val="auto"/>
              </w:rPr>
            </w:pPr>
            <w:r>
              <w:rPr>
                <w:rFonts w:ascii="Arial" w:cs="Arial" w:eastAsia="Arial" w:hAnsi="Arial"/>
                <w:sz w:val="18"/>
                <w:szCs w:val="18"/>
                <w:color w:val="auto"/>
              </w:rPr>
              <w:t>Year ended December 31, 2016</w:t>
            </w:r>
          </w:p>
        </w:tc>
        <w:tc>
          <w:tcPr>
            <w:tcW w:w="840" w:type="dxa"/>
            <w:vAlign w:val="bottom"/>
            <w:gridSpan w:val="2"/>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1000" w:type="dxa"/>
            <w:vAlign w:val="bottom"/>
            <w:gridSpan w:val="3"/>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r>
      <w:tr>
        <w:trPr>
          <w:trHeight w:val="439"/>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6. Inventory</w:t>
            </w: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Inventory is comprised of the following items: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w:t>
            </w:r>
          </w:p>
        </w:tc>
      </w:tr>
      <w:tr>
        <w:trPr>
          <w:trHeight w:val="162"/>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40" w:type="dxa"/>
            <w:vAlign w:val="bottom"/>
            <w:gridSpan w:val="5"/>
          </w:tcPr>
          <w:p>
            <w:pPr>
              <w:ind w:left="74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1400" w:type="dxa"/>
            <w:vAlign w:val="bottom"/>
            <w:gridSpan w:val="4"/>
          </w:tcPr>
          <w:p>
            <w:pPr>
              <w:ind w:left="90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center"/>
              <w:ind w:right="73"/>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Work-in-process – dry cannabis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774</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1,396</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2,292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Work-in-process – cannabis extracts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Finished goods – dry cannabis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2,249</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3,501</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2,681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 – cannabis extracts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2,158</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Finished goods – accessories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173</w:t>
            </w:r>
          </w:p>
        </w:tc>
        <w:tc>
          <w:tcPr>
            <w:tcW w:w="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4,103</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7,421</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160" w:firstLine="331"/>
        <w:spacing w:after="0"/>
        <w:rPr>
          <w:sz w:val="20"/>
          <w:szCs w:val="20"/>
          <w:color w:val="auto"/>
        </w:rPr>
      </w:pPr>
      <w:r>
        <w:rPr>
          <w:rFonts w:ascii="Arial" w:cs="Arial" w:eastAsia="Arial" w:hAnsi="Arial"/>
          <w:sz w:val="18"/>
          <w:szCs w:val="18"/>
          <w:color w:val="auto"/>
        </w:rPr>
        <w:t>Inventory is written down for any obsolescence or when the net realizable value of inventories is less than the carrying value. For the year ended December 31, 2017, the Company recorded write-downs of $204 (2016 – $234) in cost of sales. For the three months ended March 31, 2018, the Company recorded write-downs of $0 (March 31, 2017 – $19) in cost of sales.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Property, Plant and Equipment</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Property, plant and equipment is comprised of the following:</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Laboratory</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Buildings and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and</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Office and</w:t>
            </w: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under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leasehold</w:t>
            </w: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manufacturing</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computer</w:t>
            </w:r>
          </w:p>
        </w:tc>
        <w:tc>
          <w:tcPr>
            <w:tcW w:w="1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420" w:type="dxa"/>
            <w:vAlign w:val="bottom"/>
            <w:gridSpan w:val="4"/>
          </w:tcPr>
          <w:p>
            <w:pPr>
              <w:ind w:left="320"/>
              <w:spacing w:after="0"/>
              <w:rPr>
                <w:sz w:val="20"/>
                <w:szCs w:val="20"/>
                <w:color w:val="auto"/>
              </w:rPr>
            </w:pPr>
            <w:r>
              <w:rPr>
                <w:rFonts w:ascii="Arial" w:cs="Arial" w:eastAsia="Arial" w:hAnsi="Arial"/>
                <w:sz w:val="14"/>
                <w:szCs w:val="14"/>
                <w:b w:val="1"/>
                <w:bCs w:val="1"/>
                <w:color w:val="auto"/>
              </w:rPr>
              <w:t>Construction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right"/>
              <w:ind w:right="4"/>
              <w:spacing w:after="0"/>
              <w:rPr>
                <w:sz w:val="20"/>
                <w:szCs w:val="20"/>
                <w:color w:val="auto"/>
              </w:rPr>
            </w:pPr>
            <w:r>
              <w:rPr>
                <w:rFonts w:ascii="Arial" w:cs="Arial" w:eastAsia="Arial" w:hAnsi="Arial"/>
                <w:sz w:val="14"/>
                <w:szCs w:val="14"/>
                <w:b w:val="1"/>
                <w:bCs w:val="1"/>
                <w:color w:val="auto"/>
              </w:rPr>
              <w:t>Land</w:t>
            </w:r>
          </w:p>
        </w:tc>
        <w:tc>
          <w:tcPr>
            <w:tcW w:w="1500" w:type="dxa"/>
            <w:vAlign w:val="bottom"/>
            <w:gridSpan w:val="4"/>
          </w:tcPr>
          <w:p>
            <w:pPr>
              <w:ind w:left="300"/>
              <w:spacing w:after="0"/>
              <w:rPr>
                <w:sz w:val="20"/>
                <w:szCs w:val="20"/>
                <w:color w:val="auto"/>
              </w:rPr>
            </w:pPr>
            <w:r>
              <w:rPr>
                <w:rFonts w:ascii="Arial" w:cs="Arial" w:eastAsia="Arial" w:hAnsi="Arial"/>
                <w:sz w:val="14"/>
                <w:szCs w:val="14"/>
                <w:b w:val="1"/>
                <w:bCs w:val="1"/>
                <w:color w:val="auto"/>
              </w:rPr>
              <w:t>improvements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equipment</w:t>
            </w:r>
          </w:p>
        </w:tc>
        <w:tc>
          <w:tcPr>
            <w:tcW w:w="1080" w:type="dxa"/>
            <w:vAlign w:val="bottom"/>
            <w:gridSpan w:val="4"/>
          </w:tcPr>
          <w:p>
            <w:pPr>
              <w:ind w:left="160"/>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lease</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in process</w:t>
            </w:r>
          </w:p>
        </w:tc>
        <w:tc>
          <w:tcPr>
            <w:tcW w:w="14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shd w:val="clear" w:color="auto" w:fill="CCEEFF"/>
          </w:tcPr>
          <w:p>
            <w:pPr>
              <w:jc w:val="right"/>
              <w:ind w:right="1523"/>
              <w:spacing w:after="0" w:line="142" w:lineRule="exact"/>
              <w:rPr>
                <w:sz w:val="20"/>
                <w:szCs w:val="20"/>
                <w:color w:val="auto"/>
              </w:rPr>
            </w:pPr>
            <w:r>
              <w:rPr>
                <w:rFonts w:ascii="Arial" w:cs="Arial" w:eastAsia="Arial" w:hAnsi="Arial"/>
                <w:sz w:val="15"/>
                <w:szCs w:val="15"/>
                <w:color w:val="auto"/>
                <w:w w:val="99"/>
              </w:rPr>
              <w:t>As of December 31, 2017</w:t>
            </w:r>
          </w:p>
        </w:tc>
        <w:tc>
          <w:tcPr>
            <w:tcW w:w="4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140"/>
              <w:spacing w:after="0" w:line="162" w:lineRule="exact"/>
              <w:rPr>
                <w:sz w:val="20"/>
                <w:szCs w:val="20"/>
                <w:color w:val="auto"/>
              </w:rPr>
            </w:pPr>
            <w:r>
              <w:rPr>
                <w:rFonts w:ascii="Arial" w:cs="Arial" w:eastAsia="Arial" w:hAnsi="Arial"/>
                <w:sz w:val="15"/>
                <w:szCs w:val="15"/>
                <w:color w:val="auto"/>
              </w:rPr>
              <w:t>Cost</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Balance, beginning of year</w:t>
            </w:r>
          </w:p>
        </w:tc>
        <w:tc>
          <w:tcPr>
            <w:tcW w:w="8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$ 1,977</w:t>
            </w:r>
          </w:p>
        </w:tc>
        <w:tc>
          <w:tcPr>
            <w:tcW w:w="4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18,084</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2,224</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498</w:t>
            </w: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90</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$22,873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Additions</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8,971</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10,397</w:t>
            </w:r>
          </w:p>
        </w:tc>
        <w:tc>
          <w:tcPr>
            <w:tcW w:w="20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19,859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Additions, acquisitions</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Disposals</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Impairment</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Other movements and transfers</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409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(622)</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Foreign currency exchange adjustment</w:t>
            </w:r>
          </w:p>
        </w:tc>
        <w:tc>
          <w:tcPr>
            <w:tcW w:w="4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139</w:t>
            </w:r>
          </w:p>
        </w:tc>
        <w:tc>
          <w:tcPr>
            <w:tcW w:w="3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1,275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157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220</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1,877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600"/>
              <w:spacing w:after="0" w:line="169" w:lineRule="exact"/>
              <w:rPr>
                <w:sz w:val="20"/>
                <w:szCs w:val="20"/>
                <w:color w:val="auto"/>
              </w:rPr>
            </w:pPr>
            <w:r>
              <w:rPr>
                <w:rFonts w:ascii="Arial" w:cs="Arial" w:eastAsia="Arial" w:hAnsi="Arial"/>
                <w:sz w:val="15"/>
                <w:szCs w:val="15"/>
                <w:color w:val="auto"/>
              </w:rPr>
              <w:t>Balance, end of year</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2,547</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19,569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2,815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571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9,191</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9,872</w:t>
            </w:r>
          </w:p>
        </w:tc>
        <w:tc>
          <w:tcPr>
            <w:tcW w:w="200" w:type="dxa"/>
            <w:vAlign w:val="bottom"/>
          </w:tcPr>
          <w:p>
            <w:pPr>
              <w:spacing w:after="0"/>
              <w:rPr>
                <w:sz w:val="15"/>
                <w:szCs w:val="15"/>
                <w:color w:val="auto"/>
              </w:rPr>
            </w:pP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44,565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Accumulated depreciation</w:t>
            </w:r>
          </w:p>
        </w:tc>
        <w:tc>
          <w:tcPr>
            <w:tcW w:w="4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Balance, beginning of year</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2,229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562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135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Depreciation</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979</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1,457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Disposals</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(9)</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60"/>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Impairment</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Other movements and transfers</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Foreign currency exchange adjustment</w:t>
            </w:r>
          </w:p>
        </w:tc>
        <w:tc>
          <w:tcPr>
            <w:tcW w:w="4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156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600"/>
              <w:spacing w:after="0" w:line="169" w:lineRule="exact"/>
              <w:rPr>
                <w:sz w:val="20"/>
                <w:szCs w:val="20"/>
                <w:color w:val="auto"/>
              </w:rPr>
            </w:pPr>
            <w:r>
              <w:rPr>
                <w:rFonts w:ascii="Arial" w:cs="Arial" w:eastAsia="Arial" w:hAnsi="Arial"/>
                <w:sz w:val="15"/>
                <w:szCs w:val="15"/>
                <w:color w:val="auto"/>
              </w:rPr>
              <w:t>Balance, end of year</w:t>
            </w:r>
          </w:p>
        </w:tc>
        <w:tc>
          <w:tcPr>
            <w:tcW w:w="400" w:type="dxa"/>
            <w:vAlign w:val="bottom"/>
          </w:tcPr>
          <w:p>
            <w:pPr>
              <w:spacing w:after="0"/>
              <w:rPr>
                <w:sz w:val="15"/>
                <w:szCs w:val="15"/>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3,364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957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259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Net carrying value, end of year</w:t>
            </w:r>
          </w:p>
        </w:tc>
        <w:tc>
          <w:tcPr>
            <w:tcW w:w="8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2,547</w:t>
            </w:r>
          </w:p>
        </w:tc>
        <w:tc>
          <w:tcPr>
            <w:tcW w:w="4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16,205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1,858</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312</w:t>
            </w: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u w:val="single" w:color="auto"/>
                <w:color w:val="auto"/>
                <w:w w:val="95"/>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9,191</w:t>
            </w:r>
          </w:p>
        </w:tc>
        <w:tc>
          <w:tcPr>
            <w:tcW w:w="4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9,872</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39,985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jc w:val="right"/>
              <w:ind w:right="1523"/>
              <w:spacing w:after="0"/>
              <w:rPr>
                <w:sz w:val="20"/>
                <w:szCs w:val="20"/>
                <w:color w:val="auto"/>
              </w:rPr>
            </w:pPr>
            <w:r>
              <w:rPr>
                <w:rFonts w:ascii="Arial" w:cs="Arial" w:eastAsia="Arial" w:hAnsi="Arial"/>
                <w:sz w:val="15"/>
                <w:szCs w:val="15"/>
                <w:color w:val="auto"/>
              </w:rPr>
              <w:t>As of December 31, 2016</w:t>
            </w: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3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Cost</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Balance, beginning of year</w:t>
            </w:r>
          </w:p>
        </w:tc>
        <w:tc>
          <w:tcPr>
            <w:tcW w:w="8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$ 1,920</w:t>
            </w:r>
          </w:p>
        </w:tc>
        <w:tc>
          <w:tcPr>
            <w:tcW w:w="440" w:type="dxa"/>
            <w:vAlign w:val="bottom"/>
            <w:gridSpan w:val="2"/>
          </w:tcPr>
          <w:p>
            <w:pPr>
              <w:ind w:left="300"/>
              <w:spacing w:after="0" w:line="162"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17,512</w:t>
            </w:r>
          </w:p>
        </w:tc>
        <w:tc>
          <w:tcPr>
            <w:tcW w:w="200" w:type="dxa"/>
            <w:vAlign w:val="bottom"/>
          </w:tcPr>
          <w:p>
            <w:pPr>
              <w:spacing w:after="0"/>
              <w:rPr>
                <w:sz w:val="14"/>
                <w:szCs w:val="14"/>
                <w:color w:val="auto"/>
              </w:rPr>
            </w:pPr>
          </w:p>
        </w:tc>
        <w:tc>
          <w:tcPr>
            <w:tcW w:w="26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w:t>
            </w: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1,927</w:t>
            </w:r>
          </w:p>
        </w:tc>
        <w:tc>
          <w:tcPr>
            <w:tcW w:w="200" w:type="dxa"/>
            <w:vAlign w:val="bottom"/>
          </w:tcPr>
          <w:p>
            <w:pPr>
              <w:spacing w:after="0"/>
              <w:rPr>
                <w:sz w:val="14"/>
                <w:szCs w:val="14"/>
                <w:color w:val="auto"/>
              </w:rPr>
            </w:pPr>
          </w:p>
        </w:tc>
        <w:tc>
          <w:tcPr>
            <w:tcW w:w="4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w:t>
            </w: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395</w:t>
            </w:r>
          </w:p>
        </w:tc>
        <w:tc>
          <w:tcPr>
            <w:tcW w:w="200" w:type="dxa"/>
            <w:vAlign w:val="bottom"/>
          </w:tcPr>
          <w:p>
            <w:pPr>
              <w:spacing w:after="0"/>
              <w:rPr>
                <w:sz w:val="14"/>
                <w:szCs w:val="14"/>
                <w:color w:val="auto"/>
              </w:rPr>
            </w:pPr>
          </w:p>
        </w:tc>
        <w:tc>
          <w:tcPr>
            <w:tcW w:w="240" w:type="dxa"/>
            <w:vAlign w:val="bottom"/>
            <w:gridSpan w:val="2"/>
          </w:tcPr>
          <w:p>
            <w:pPr>
              <w:ind w:left="140"/>
              <w:spacing w:after="0" w:line="162" w:lineRule="exact"/>
              <w:rPr>
                <w:sz w:val="20"/>
                <w:szCs w:val="20"/>
                <w:color w:val="auto"/>
              </w:rPr>
            </w:pPr>
            <w:r>
              <w:rPr>
                <w:rFonts w:ascii="Arial" w:cs="Arial" w:eastAsia="Arial" w:hAnsi="Arial"/>
                <w:sz w:val="15"/>
                <w:szCs w:val="15"/>
                <w:color w:val="auto"/>
                <w:w w:val="95"/>
              </w:rPr>
              <w:t>$</w:t>
            </w: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gridSpan w:val="2"/>
          </w:tcPr>
          <w:p>
            <w:pPr>
              <w:ind w:left="300"/>
              <w:spacing w:after="0" w:line="162" w:lineRule="exact"/>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$21,754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Additions</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90</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Disposals</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Impairment</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Other movements and transfers</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Foreign currency exchange adjustment</w:t>
            </w:r>
          </w:p>
        </w:tc>
        <w:tc>
          <w:tcPr>
            <w:tcW w:w="4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55</w:t>
            </w:r>
          </w:p>
        </w:tc>
        <w:tc>
          <w:tcPr>
            <w:tcW w:w="3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515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600"/>
              <w:spacing w:after="0" w:line="169" w:lineRule="exact"/>
              <w:rPr>
                <w:sz w:val="20"/>
                <w:szCs w:val="20"/>
                <w:color w:val="auto"/>
              </w:rPr>
            </w:pPr>
            <w:r>
              <w:rPr>
                <w:rFonts w:ascii="Arial" w:cs="Arial" w:eastAsia="Arial" w:hAnsi="Arial"/>
                <w:sz w:val="15"/>
                <w:szCs w:val="15"/>
                <w:color w:val="auto"/>
              </w:rPr>
              <w:t>Balance, end of year</w:t>
            </w: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1,975</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5"/>
                <w:szCs w:val="15"/>
                <w:color w:val="auto"/>
              </w:rPr>
              <w:t>18,084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2,224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5"/>
                <w:szCs w:val="15"/>
                <w:color w:val="auto"/>
              </w:rPr>
              <w:t>498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69" w:lineRule="exact"/>
              <w:rPr>
                <w:sz w:val="20"/>
                <w:szCs w:val="20"/>
                <w:color w:val="auto"/>
              </w:rPr>
            </w:pPr>
            <w:r>
              <w:rPr>
                <w:rFonts w:ascii="Arial" w:cs="Arial" w:eastAsia="Arial" w:hAnsi="Arial"/>
                <w:sz w:val="15"/>
                <w:szCs w:val="15"/>
                <w:color w:val="auto"/>
              </w:rPr>
              <w:t>90</w:t>
            </w:r>
          </w:p>
        </w:tc>
        <w:tc>
          <w:tcPr>
            <w:tcW w:w="200" w:type="dxa"/>
            <w:vAlign w:val="bottom"/>
          </w:tcPr>
          <w:p>
            <w:pPr>
              <w:spacing w:after="0"/>
              <w:rPr>
                <w:sz w:val="15"/>
                <w:szCs w:val="15"/>
                <w:color w:val="auto"/>
              </w:rPr>
            </w:pP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22,871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Accumulated depreciation</w:t>
            </w:r>
          </w:p>
        </w:tc>
        <w:tc>
          <w:tcPr>
            <w:tcW w:w="4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Balance, beginning of year</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1,275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5"/>
                <w:szCs w:val="15"/>
                <w:color w:val="auto"/>
              </w:rPr>
              <w:t>254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Arial" w:cs="Arial" w:eastAsia="Arial" w:hAnsi="Arial"/>
                <w:sz w:val="15"/>
                <w:szCs w:val="15"/>
                <w:color w:val="auto"/>
              </w:rPr>
              <w:t>41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Depreciation</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920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1,333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Disposals</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Impairment</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ind w:left="300"/>
              <w:spacing w:after="0" w:line="162" w:lineRule="exact"/>
              <w:rPr>
                <w:sz w:val="20"/>
                <w:szCs w:val="20"/>
                <w:color w:val="auto"/>
              </w:rPr>
            </w:pPr>
            <w:r>
              <w:rPr>
                <w:rFonts w:ascii="Arial" w:cs="Arial" w:eastAsia="Arial" w:hAnsi="Arial"/>
                <w:sz w:val="15"/>
                <w:szCs w:val="15"/>
                <w:color w:val="auto"/>
              </w:rPr>
              <w:t>Other movements and transfers</w:t>
            </w:r>
          </w:p>
        </w:tc>
        <w:tc>
          <w:tcPr>
            <w:tcW w:w="4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Foreign currency exchange adjustment</w:t>
            </w: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(8)</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ind w:left="600"/>
              <w:spacing w:after="0" w:line="169" w:lineRule="exact"/>
              <w:rPr>
                <w:sz w:val="20"/>
                <w:szCs w:val="20"/>
                <w:color w:val="auto"/>
              </w:rPr>
            </w:pPr>
            <w:r>
              <w:rPr>
                <w:rFonts w:ascii="Arial" w:cs="Arial" w:eastAsia="Arial" w:hAnsi="Arial"/>
                <w:sz w:val="15"/>
                <w:szCs w:val="15"/>
                <w:color w:val="auto"/>
              </w:rPr>
              <w:t>Balance, end of year</w:t>
            </w:r>
          </w:p>
        </w:tc>
        <w:tc>
          <w:tcPr>
            <w:tcW w:w="40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2,229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Net carrying value, end of year</w:t>
            </w:r>
          </w:p>
        </w:tc>
        <w:tc>
          <w:tcPr>
            <w:tcW w:w="8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1,975</w:t>
            </w:r>
          </w:p>
        </w:tc>
        <w:tc>
          <w:tcPr>
            <w:tcW w:w="4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15,855</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1,662</w:t>
            </w:r>
          </w:p>
        </w:tc>
        <w:tc>
          <w:tcPr>
            <w:tcW w:w="2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363</w:t>
            </w: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w w:val="95"/>
              </w:rPr>
              <w:t>$</w:t>
            </w:r>
          </w:p>
        </w:tc>
        <w:tc>
          <w:tcPr>
            <w:tcW w:w="4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40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90</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19,945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jc w:val="both"/>
        <w:ind w:left="200" w:right="680" w:firstLine="331"/>
        <w:spacing w:after="0"/>
        <w:rPr>
          <w:sz w:val="20"/>
          <w:szCs w:val="20"/>
          <w:color w:val="auto"/>
        </w:rPr>
      </w:pPr>
      <w:r>
        <w:rPr>
          <w:rFonts w:ascii="Arial" w:cs="Arial" w:eastAsia="Arial" w:hAnsi="Arial"/>
          <w:sz w:val="18"/>
          <w:szCs w:val="18"/>
          <w:color w:val="auto"/>
        </w:rPr>
        <w:t>The Company had $11,248 in property, plant and equipment additions related to construction in process and foreign currency exchange adjustments during the three months ended March 31, 2018. Additions to construction in process primarily related to the construction of our Enniskillen and London facilities.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the year ended December 31, 2017, depreciation on property, plant and equipment was $1,457 (2016 – $1,333). For the three</w:t>
      </w:r>
    </w:p>
    <w:p>
      <w:pPr>
        <w:ind w:left="200"/>
        <w:spacing w:after="0" w:line="234" w:lineRule="auto"/>
        <w:rPr>
          <w:sz w:val="20"/>
          <w:szCs w:val="20"/>
          <w:color w:val="auto"/>
        </w:rPr>
      </w:pPr>
      <w:r>
        <w:rPr>
          <w:rFonts w:ascii="Arial" w:cs="Arial" w:eastAsia="Arial" w:hAnsi="Arial"/>
          <w:sz w:val="18"/>
          <w:szCs w:val="18"/>
          <w:color w:val="auto"/>
        </w:rPr>
        <w:t>months ended March 31, 2018, depreciation on property, plant and equipment was $401 (March 31, 2017 – $337). Depreciation expense</w:t>
      </w:r>
    </w:p>
    <w:p>
      <w:pPr>
        <w:ind w:left="200"/>
        <w:spacing w:after="0" w:line="235" w:lineRule="auto"/>
        <w:rPr>
          <w:sz w:val="20"/>
          <w:szCs w:val="20"/>
          <w:color w:val="auto"/>
        </w:rPr>
      </w:pPr>
      <w:r>
        <w:rPr>
          <w:rFonts w:ascii="Arial" w:cs="Arial" w:eastAsia="Arial" w:hAnsi="Arial"/>
          <w:sz w:val="18"/>
          <w:szCs w:val="18"/>
          <w:color w:val="auto"/>
        </w:rPr>
        <w:t>included in cost of sales relating to manufacturing equipment and production facilities for the year ended December 31, 2017 is $1,303</w:t>
      </w:r>
    </w:p>
    <w:p>
      <w:pPr>
        <w:ind w:left="200"/>
        <w:spacing w:after="0" w:line="235" w:lineRule="auto"/>
        <w:rPr>
          <w:sz w:val="20"/>
          <w:szCs w:val="20"/>
          <w:color w:val="auto"/>
        </w:rPr>
      </w:pPr>
      <w:r>
        <w:rPr>
          <w:rFonts w:ascii="Arial" w:cs="Arial" w:eastAsia="Arial" w:hAnsi="Arial"/>
          <w:sz w:val="18"/>
          <w:szCs w:val="18"/>
          <w:color w:val="auto"/>
        </w:rPr>
        <w:t>(2016 – $1,247) and for the three months ended March 31, 2018 is $372 (March 31, 2017 – $311). Depreciation expense included in</w:t>
      </w:r>
    </w:p>
    <w:p>
      <w:pPr>
        <w:ind w:left="200"/>
        <w:spacing w:after="0" w:line="235" w:lineRule="auto"/>
        <w:rPr>
          <w:sz w:val="20"/>
          <w:szCs w:val="20"/>
          <w:color w:val="auto"/>
        </w:rPr>
      </w:pPr>
      <w:r>
        <w:rPr>
          <w:rFonts w:ascii="Arial" w:cs="Arial" w:eastAsia="Arial" w:hAnsi="Arial"/>
          <w:sz w:val="18"/>
          <w:szCs w:val="18"/>
          <w:color w:val="auto"/>
        </w:rPr>
        <w:t>general administrative expenses related to general office space and equipment for the year ended December 31, 2017 is $95 (2016 –</w:t>
      </w:r>
    </w:p>
    <w:p>
      <w:pPr>
        <w:ind w:left="200"/>
        <w:spacing w:after="0"/>
        <w:rPr>
          <w:sz w:val="20"/>
          <w:szCs w:val="20"/>
          <w:color w:val="auto"/>
        </w:rPr>
      </w:pPr>
      <w:r>
        <w:rPr>
          <w:rFonts w:ascii="Arial" w:cs="Arial" w:eastAsia="Arial" w:hAnsi="Arial"/>
          <w:sz w:val="18"/>
          <w:szCs w:val="18"/>
          <w:color w:val="auto"/>
        </w:rPr>
        <w:t>$92) and for the three months ended March 31, 2018 is $29 (March 31, 2017 – $26). The remaining depreciation is included in inventory.</w:t>
      </w:r>
    </w:p>
    <w:p>
      <w:pPr>
        <w:spacing w:after="0" w:line="21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For the year ended December 31, 2017, there is $34 (2016 – $0) of capitalized interest included in construction-in-progress. For the three months ended March 31, 2018, there is $134 (March 31, 2017 – $0) of capitalized interest included in construction-in-progress.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Intangible Assets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Intangible assets are comprised of the following items: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280" w:type="dxa"/>
            <w:vAlign w:val="bottom"/>
            <w:gridSpan w:val="3"/>
          </w:tcPr>
          <w:p>
            <w:pPr>
              <w:ind w:left="2240"/>
              <w:spacing w:after="0"/>
              <w:rPr>
                <w:sz w:val="20"/>
                <w:szCs w:val="20"/>
                <w:color w:val="auto"/>
              </w:rPr>
            </w:pPr>
            <w:r>
              <w:rPr>
                <w:rFonts w:ascii="Arial" w:cs="Arial" w:eastAsia="Arial" w:hAnsi="Arial"/>
                <w:sz w:val="14"/>
                <w:szCs w:val="14"/>
                <w:b w:val="1"/>
                <w:bCs w:val="1"/>
                <w:color w:val="auto"/>
              </w:rPr>
              <w:t>For year ended</w:t>
            </w:r>
          </w:p>
        </w:tc>
        <w:tc>
          <w:tcPr>
            <w:tcW w:w="2040" w:type="dxa"/>
            <w:vAlign w:val="bottom"/>
            <w:gridSpan w:val="4"/>
          </w:tcPr>
          <w:p>
            <w:pPr>
              <w:ind w:left="940"/>
              <w:spacing w:after="0"/>
              <w:rPr>
                <w:sz w:val="20"/>
                <w:szCs w:val="20"/>
                <w:color w:val="auto"/>
              </w:rPr>
            </w:pPr>
            <w:r>
              <w:rPr>
                <w:rFonts w:ascii="Arial" w:cs="Arial" w:eastAsia="Arial" w:hAnsi="Arial"/>
                <w:sz w:val="14"/>
                <w:szCs w:val="14"/>
                <w:b w:val="1"/>
                <w:bCs w:val="1"/>
                <w:color w:val="auto"/>
              </w:rPr>
              <w:t>For year ended</w:t>
            </w: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Cost</w:t>
            </w: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Balance, beginning of year</w:t>
            </w:r>
          </w:p>
        </w:tc>
        <w:tc>
          <w:tcPr>
            <w:tcW w:w="2460" w:type="dxa"/>
            <w:vAlign w:val="bottom"/>
            <w:gridSpan w:val="2"/>
          </w:tcPr>
          <w:p>
            <w:pPr>
              <w:ind w:left="22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1,572</w:t>
            </w:r>
          </w:p>
        </w:tc>
        <w:tc>
          <w:tcPr>
            <w:tcW w:w="116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2,152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Additions</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534</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Disposals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Impairment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Other movements and transfers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Foreign currency exchange adjustment</w:t>
            </w:r>
          </w:p>
        </w:tc>
        <w:tc>
          <w:tcPr>
            <w:tcW w:w="2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9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700" w:type="dxa"/>
            <w:vAlign w:val="bottom"/>
          </w:tcPr>
          <w:p>
            <w:pPr>
              <w:ind w:left="700"/>
              <w:spacing w:after="0"/>
              <w:rPr>
                <w:sz w:val="20"/>
                <w:szCs w:val="20"/>
                <w:color w:val="auto"/>
              </w:rPr>
            </w:pPr>
            <w:r>
              <w:rPr>
                <w:rFonts w:ascii="Arial" w:cs="Arial" w:eastAsia="Arial" w:hAnsi="Arial"/>
                <w:sz w:val="18"/>
                <w:szCs w:val="18"/>
                <w:color w:val="auto"/>
              </w:rPr>
              <w:t>Balance, end of year</w:t>
            </w:r>
          </w:p>
        </w:tc>
        <w:tc>
          <w:tcPr>
            <w:tcW w:w="2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amortization</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Balance, beginning of year</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696</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1,330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Amortization</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Disposals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Impairment</w:t>
            </w:r>
          </w:p>
        </w:tc>
        <w:tc>
          <w:tcPr>
            <w:tcW w:w="2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Other movements and transfers</w:t>
            </w: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Foreign currency exchange adjustment</w:t>
            </w:r>
          </w:p>
        </w:tc>
        <w:tc>
          <w:tcPr>
            <w:tcW w:w="2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9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5700" w:type="dxa"/>
            <w:vAlign w:val="bottom"/>
          </w:tcPr>
          <w:p>
            <w:pPr>
              <w:ind w:left="700"/>
              <w:spacing w:after="0"/>
              <w:rPr>
                <w:sz w:val="20"/>
                <w:szCs w:val="20"/>
                <w:color w:val="auto"/>
              </w:rPr>
            </w:pPr>
            <w:r>
              <w:rPr>
                <w:rFonts w:ascii="Arial" w:cs="Arial" w:eastAsia="Arial" w:hAnsi="Arial"/>
                <w:sz w:val="18"/>
                <w:szCs w:val="18"/>
                <w:color w:val="auto"/>
              </w:rPr>
              <w:t>Balance, end of year</w:t>
            </w:r>
          </w:p>
        </w:tc>
        <w:tc>
          <w:tcPr>
            <w:tcW w:w="2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carrying value, end of year</w:t>
            </w:r>
          </w:p>
        </w:tc>
        <w:tc>
          <w:tcPr>
            <w:tcW w:w="2460" w:type="dxa"/>
            <w:vAlign w:val="bottom"/>
            <w:gridSpan w:val="2"/>
            <w:shd w:val="clear" w:color="auto" w:fill="CCEEFF"/>
          </w:tcPr>
          <w:p>
            <w:pPr>
              <w:ind w:left="22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116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660" w:firstLine="331"/>
        <w:spacing w:after="0" w:line="246" w:lineRule="auto"/>
        <w:rPr>
          <w:sz w:val="20"/>
          <w:szCs w:val="20"/>
          <w:color w:val="auto"/>
        </w:rPr>
      </w:pPr>
      <w:r>
        <w:rPr>
          <w:rFonts w:ascii="Arial" w:cs="Arial" w:eastAsia="Arial" w:hAnsi="Arial"/>
          <w:sz w:val="18"/>
          <w:szCs w:val="18"/>
          <w:color w:val="auto"/>
        </w:rPr>
        <w:t>Intangible assets include internally developed patient portal for online orders. For the three months ended March 31, 2018, the Company had $227 in intangible asset additions related to construction-in-progress and foreign currency exchange adjustments.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jc w:val="both"/>
        <w:ind w:left="200" w:firstLine="331"/>
        <w:spacing w:after="0" w:line="239" w:lineRule="auto"/>
        <w:rPr>
          <w:sz w:val="20"/>
          <w:szCs w:val="20"/>
          <w:color w:val="auto"/>
        </w:rPr>
      </w:pPr>
      <w:r>
        <w:rPr>
          <w:rFonts w:ascii="Arial" w:cs="Arial" w:eastAsia="Arial" w:hAnsi="Arial"/>
          <w:sz w:val="18"/>
          <w:szCs w:val="18"/>
          <w:color w:val="auto"/>
        </w:rPr>
        <w:t>For the year ended December 31, 2017, amortization expense on intangible assets was $455 (2016 – $614) and for the three months ended March 31, 2018 was $246 (March 31, 2017 – $208) and is included in general and administrative expenses. The net carrying value of intangible assets as of December 31, 2017 include $381 (2016 – $0) and as of March 31, 2018 include $427 of intangible assets under construction, relating to expenditures incurred to develop additional functionalities for the patient portal.</w:t>
      </w:r>
    </w:p>
    <w:p>
      <w:pPr>
        <w:spacing w:after="0" w:line="202"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amortization expense for the next five years as at March 31, 2018 on intangible assets in use is: 2018 – $200; 2019 – $246; thereafter – $0.</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Long-term Debt</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Long-term debt is as follows: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r>
      <w:tr>
        <w:trPr>
          <w:trHeight w:val="162"/>
        </w:trPr>
        <w:tc>
          <w:tcPr>
            <w:tcW w:w="596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5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156"/>
        </w:trPr>
        <w:tc>
          <w:tcPr>
            <w:tcW w:w="5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 payable, due June 2018, annual interest 11.5%</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8,909</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9,537</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9,300</w:t>
            </w: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Unamortized deferred financing costs</w:t>
            </w:r>
          </w:p>
        </w:tc>
        <w:tc>
          <w:tcPr>
            <w:tcW w:w="180" w:type="dxa"/>
            <w:vAlign w:val="bottom"/>
          </w:tcPr>
          <w:p>
            <w:pPr>
              <w:spacing w:after="0"/>
              <w:rPr>
                <w:sz w:val="17"/>
                <w:szCs w:val="17"/>
                <w:color w:val="auto"/>
              </w:rPr>
            </w:pPr>
          </w:p>
        </w:tc>
        <w:tc>
          <w:tcPr>
            <w:tcW w:w="156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(333)</w:t>
            </w:r>
          </w:p>
        </w:tc>
        <w:tc>
          <w:tcPr>
            <w:tcW w:w="18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(105)</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w:t>
            </w:r>
          </w:p>
        </w:tc>
      </w:tr>
      <w:tr>
        <w:trPr>
          <w:trHeight w:val="27"/>
        </w:trPr>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8,576</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9,432</w:t>
            </w: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9,259</w:t>
            </w:r>
          </w:p>
        </w:tc>
      </w:tr>
      <w:tr>
        <w:trPr>
          <w:trHeight w:val="20"/>
        </w:trPr>
        <w:tc>
          <w:tcPr>
            <w:tcW w:w="5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2014, Tilray Canada, Ltd. entered into two mortgages with a third party maturing in February 2017. In December 2016, Tilray Canada, Ltd. entered into a new mortgage for an amount of $8,909 ($12,000 CAD) with an annual interest rate of 11.5% maturing in June 2018. At that time, the outstanding principal and accrued interest on the previous two mortgages were fully repaid.</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current mortgage is secured by a deed of trust on all assets of Tilray Canada, Ltd. and is guaranteed by Privateer Holdings. Under the terms of the mortgage, Tilray Canada, Ltd. must satisfy certain financial and non-financial covenants. Financial covenants include requirements to maintain a current ratio of no less than 2 times at any time along with other quarterly revenue and operating expense measures. Tilray Canada, Ltd. was in compliance with these covenants as at December 31, 2017 and 2016 and as at March 31, 2018.</w:t>
      </w:r>
    </w:p>
    <w:p>
      <w:pPr>
        <w:spacing w:after="0" w:line="20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carrying value of the mortgage approximates its fair value because the interest rate on the mortgage is equivalent to current market rates.</w:t>
      </w:r>
    </w:p>
    <w:p>
      <w:pPr>
        <w:spacing w:after="0" w:line="19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The Company incurred deferred financing costs of $353 ($475 CAD), which were recorded as a reduction to the mortgage. Deferred financing costs are being amortized to interest expense over the repayment terms.</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60"/>
          </w:cols>
          <w:pgMar w:left="240" w:top="460"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Related Party Transactions</w:t>
      </w:r>
    </w:p>
    <w:p>
      <w:pPr>
        <w:spacing w:after="0" w:line="126"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The following table outlines the various components of the Privateer Holdings debt facilities which represents the related party balances outstanding:</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w:t>
            </w:r>
          </w:p>
        </w:tc>
      </w:tr>
      <w:tr>
        <w:trPr>
          <w:trHeight w:val="162"/>
        </w:trPr>
        <w:tc>
          <w:tcPr>
            <w:tcW w:w="604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6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56"/>
        </w:trPr>
        <w:tc>
          <w:tcPr>
            <w:tcW w:w="6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Privateer Holdings credit facility</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20,016</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24,700</w:t>
            </w: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24,334</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Privateer Holdings construction facility</w:t>
            </w:r>
          </w:p>
        </w:tc>
        <w:tc>
          <w:tcPr>
            <w:tcW w:w="200" w:type="dxa"/>
            <w:vAlign w:val="bottom"/>
          </w:tcPr>
          <w:p>
            <w:pPr>
              <w:spacing w:after="0"/>
              <w:rPr>
                <w:sz w:val="17"/>
                <w:szCs w:val="17"/>
                <w:color w:val="auto"/>
              </w:rPr>
            </w:pPr>
          </w:p>
        </w:tc>
        <w:tc>
          <w:tcPr>
            <w:tcW w:w="154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6,395</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8,062</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Privateer Holdings start-up loans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7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1,731</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2,177</w:t>
            </w:r>
          </w:p>
        </w:tc>
        <w:tc>
          <w:tcPr>
            <w:tcW w:w="60" w:type="dxa"/>
            <w:vAlign w:val="bottom"/>
            <w:shd w:val="clear" w:color="auto" w:fill="CCEEFF"/>
          </w:tcPr>
          <w:p>
            <w:pPr>
              <w:spacing w:after="0"/>
              <w:rPr>
                <w:sz w:val="17"/>
                <w:szCs w:val="17"/>
                <w:color w:val="auto"/>
              </w:rPr>
            </w:pPr>
          </w:p>
        </w:tc>
      </w:tr>
      <w:tr>
        <w:trPr>
          <w:trHeight w:val="210"/>
        </w:trPr>
        <w:tc>
          <w:tcPr>
            <w:tcW w:w="604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20,126</w:t>
            </w: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32,826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34,573</w:t>
            </w:r>
          </w:p>
        </w:tc>
      </w:tr>
      <w:tr>
        <w:trPr>
          <w:trHeight w:val="20"/>
        </w:trPr>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Privateer Holdings credit facility</w:t>
      </w:r>
    </w:p>
    <w:p>
      <w:pPr>
        <w:spacing w:after="0" w:line="126"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Effective January 1, 2016, Tilray Canada, Ltd. entered into an agreement with Privateer Holdings for a demand revolving credit facility in an aggregate principal amount not to exceed $25,000. As at December 31, 2017, the facility bears interest at a floating rate of 2.54%, reset annually based on the mid-term applicable federal U.S. rate. As at March 31, 2018, the floating rate was 2.62%.</w:t>
      </w:r>
    </w:p>
    <w:p>
      <w:pPr>
        <w:spacing w:after="0" w:line="203"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Accrued management fees charged by Privateer Holdings for services performed, including management services, support services, business development services and research and development services are included in the facility.</w:t>
      </w:r>
    </w:p>
    <w:p>
      <w:pPr>
        <w:spacing w:after="0" w:line="197" w:lineRule="exact"/>
        <w:rPr>
          <w:sz w:val="20"/>
          <w:szCs w:val="20"/>
          <w:color w:val="auto"/>
        </w:rPr>
      </w:pPr>
    </w:p>
    <w:p>
      <w:pPr>
        <w:ind w:left="200" w:right="200" w:firstLine="331"/>
        <w:spacing w:after="0" w:line="236" w:lineRule="auto"/>
        <w:rPr>
          <w:sz w:val="20"/>
          <w:szCs w:val="20"/>
          <w:color w:val="auto"/>
        </w:rPr>
      </w:pPr>
      <w:r>
        <w:rPr>
          <w:rFonts w:ascii="Arial" w:cs="Arial" w:eastAsia="Arial" w:hAnsi="Arial"/>
          <w:sz w:val="18"/>
          <w:szCs w:val="18"/>
          <w:color w:val="auto"/>
        </w:rPr>
        <w:t>Amounts for the provision of management and support services are charged at cost based on the compensation of the respective employees of Privateer Holdings, which is estimated from the time devoted to the Company. Business development and research and development services are charged at cost plus a 9% markup. In February 2018, the Company entered into an agreement with Privateer Holdings, pursuant to which Privateer Holdings provides the Company with certain general administrative and corporate services on an as-requested basis. Pursuant to this agreement, the Company pays Privateer Holdings a monthly services fee that is based on the proportional share of the actual costs incurred by Privateer Holdings in performing the requested services. Personnel compensation is charged at cost plus a 3.0% markup and other services provided are charged at cost. The interest on the management services fee accrues at a floating rate of 2.54%, reset annually based on the mid-term applicable federal U.S. rate. As at March 31, 2018, the floating rate was 2.62%.</w:t>
      </w:r>
    </w:p>
    <w:p>
      <w:pPr>
        <w:spacing w:after="0" w:line="20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Total management services charge for the year ended December 31, 2017 was $4,264 (2016 – $1,572) and for the three months ended March 31, 2018 was $1,318 (March 31, 2017 – $553) and was included in general and administrative expense. Depending on the nature of the services performed, these expenses are included within general and administrative expenses, sales and marketing expenses or research and development expenses.</w:t>
      </w:r>
    </w:p>
    <w:p>
      <w:pPr>
        <w:spacing w:after="0" w:line="202"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For the year ended December 31, 2017, the Company recognized $548 (2016 – $992) and for the three months ended March 31, 2018 recognized $168 (March 31, 2017 – $183) in interest expense related to the Privateer Holdings credit facility.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Privateer Holdings construction facility</w:t>
      </w:r>
    </w:p>
    <w:p>
      <w:pPr>
        <w:spacing w:after="0" w:line="126"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Effective November 1, 2017, High Park Farms, Ltd. entered into an agreement with Privateer Holdings for a demand revolving construction facility in an aggregate principal amount not to exceed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jc w:val="both"/>
        <w:ind w:left="200" w:right="80"/>
        <w:spacing w:after="0"/>
        <w:rPr>
          <w:sz w:val="20"/>
          <w:szCs w:val="20"/>
          <w:color w:val="auto"/>
        </w:rPr>
      </w:pPr>
      <w:r>
        <w:rPr>
          <w:rFonts w:ascii="Arial" w:cs="Arial" w:eastAsia="Arial" w:hAnsi="Arial"/>
          <w:sz w:val="18"/>
          <w:szCs w:val="18"/>
          <w:color w:val="auto"/>
        </w:rPr>
        <w:t>$10,000 to be used for the construction of its facility in Enniskillen, Ontario, Canada. Beginning January 1, 2018, the facility bears interest at a floating rate of 2.54%, reset annually based on the mid-term applicable federal U.S. rate. As at March 31, 2018, the floating rate was 2.62%.</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Effective December 1, 2017, Tilray Canada Ltd. entered into an agreement with Privateer Holdings for a demand construction facility of $1,000. The proceeds of the facility were to be used to fund capital expenditures for Tilray Canada, Ltd. and its affiliated company, High Park Farms, Ltd. Beginning January 1, 2018, the facility bears interest at a floating rate of 2.54%, reset annually based on the mid-term applicable federal U.S. rate.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Privateer Holdings start-up loans</w:t>
      </w:r>
    </w:p>
    <w:p>
      <w:pPr>
        <w:spacing w:after="0" w:line="12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As part of the Company’s strategic initiatives to expand into additional geographic locations, Privateer Holdings provided the Company with initial working capital funding in the form of non-interest-bearing loans. The advances are repayable upon demand. The outstanding balances under these loans are:</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At December 31,</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At December 31,</w:t>
            </w:r>
          </w:p>
        </w:tc>
        <w:tc>
          <w:tcPr>
            <w:tcW w:w="5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At March 31,</w:t>
            </w:r>
          </w:p>
        </w:tc>
      </w:tr>
      <w:tr>
        <w:trPr>
          <w:trHeight w:val="175"/>
        </w:trPr>
        <w:tc>
          <w:tcPr>
            <w:tcW w:w="5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56"/>
        </w:trPr>
        <w:tc>
          <w:tcPr>
            <w:tcW w:w="5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Tilray Deutschland GmbH</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1,340</w:t>
            </w:r>
          </w:p>
        </w:tc>
        <w:tc>
          <w:tcPr>
            <w:tcW w:w="700" w:type="dxa"/>
            <w:vAlign w:val="bottom"/>
            <w:gridSpan w:val="2"/>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1,623</w:t>
            </w: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Tilray Portugal Unipessoal, Lda.</w:t>
            </w:r>
          </w:p>
        </w:tc>
        <w:tc>
          <w:tcPr>
            <w:tcW w:w="260" w:type="dxa"/>
            <w:vAlign w:val="bottom"/>
          </w:tcPr>
          <w:p>
            <w:pPr>
              <w:spacing w:after="0"/>
              <w:rPr>
                <w:sz w:val="17"/>
                <w:szCs w:val="17"/>
                <w:color w:val="auto"/>
              </w:rPr>
            </w:pPr>
          </w:p>
        </w:tc>
        <w:tc>
          <w:tcPr>
            <w:tcW w:w="188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0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286</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7"/>
                <w:szCs w:val="17"/>
                <w:color w:val="auto"/>
              </w:rPr>
            </w:pPr>
          </w:p>
        </w:tc>
      </w:tr>
      <w:tr>
        <w:trPr>
          <w:trHeight w:val="210"/>
        </w:trPr>
        <w:tc>
          <w:tcPr>
            <w:tcW w:w="514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0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1,731</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2,177</w:t>
            </w:r>
          </w:p>
        </w:tc>
      </w:tr>
      <w:tr>
        <w:trPr>
          <w:trHeight w:val="20"/>
        </w:trPr>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Capital Stock (unaudited)</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Capital Stock</w:t>
      </w:r>
    </w:p>
    <w:p>
      <w:pPr>
        <w:spacing w:after="0" w:line="99"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As of December 31, 2017 and 2016, Decatur had authorized, issued and outstanding 1 capital stock with a one dollar par value. Each share of capital stock is entitled to one vote.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85"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The Company’s certificate of incorporation authorized the Company to issue the following classes of shares with the following par value and voting rights.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Authorized</w:t>
            </w:r>
          </w:p>
        </w:tc>
        <w:tc>
          <w:tcPr>
            <w:tcW w:w="180" w:type="dxa"/>
            <w:vAlign w:val="bottom"/>
          </w:tcPr>
          <w:p>
            <w:pPr>
              <w:spacing w:after="0"/>
              <w:rPr>
                <w:sz w:val="16"/>
                <w:szCs w:val="16"/>
                <w:color w:val="auto"/>
              </w:rPr>
            </w:pPr>
          </w:p>
        </w:tc>
        <w:tc>
          <w:tcPr>
            <w:tcW w:w="3520" w:type="dxa"/>
            <w:vAlign w:val="bottom"/>
          </w:tcPr>
          <w:p>
            <w:pPr>
              <w:ind w:left="1300"/>
              <w:spacing w:after="0"/>
              <w:rPr>
                <w:sz w:val="20"/>
                <w:szCs w:val="20"/>
                <w:color w:val="auto"/>
              </w:rPr>
            </w:pPr>
            <w:r>
              <w:rPr>
                <w:rFonts w:ascii="Arial" w:cs="Arial" w:eastAsia="Arial" w:hAnsi="Arial"/>
                <w:sz w:val="14"/>
                <w:szCs w:val="14"/>
                <w:b w:val="1"/>
                <w:bCs w:val="1"/>
                <w:color w:val="auto"/>
              </w:rPr>
              <w:t>Voting Rights</w:t>
            </w: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Class 1 common stock</w:t>
            </w:r>
          </w:p>
        </w:tc>
        <w:tc>
          <w:tcPr>
            <w:tcW w:w="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6"/>
              </w:rPr>
              <w:t>$ 0.0001</w:t>
            </w: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3 votes for each share</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Class 2 common stock</w:t>
            </w:r>
          </w:p>
        </w:tc>
        <w:tc>
          <w:tcPr>
            <w:tcW w:w="1060" w:type="dxa"/>
            <w:vAlign w:val="bottom"/>
            <w:gridSpan w:val="2"/>
          </w:tcPr>
          <w:p>
            <w:pPr>
              <w:spacing w:after="0" w:line="202" w:lineRule="exact"/>
              <w:rPr>
                <w:sz w:val="20"/>
                <w:szCs w:val="20"/>
                <w:color w:val="auto"/>
              </w:rPr>
            </w:pPr>
            <w:r>
              <w:rPr>
                <w:rFonts w:ascii="Arial" w:cs="Arial" w:eastAsia="Arial" w:hAnsi="Arial"/>
                <w:sz w:val="18"/>
                <w:szCs w:val="18"/>
                <w:color w:val="auto"/>
              </w:rPr>
              <w:t>$ 0.0001</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100,000,000</w:t>
            </w:r>
          </w:p>
        </w:tc>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 vote for each share</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3 common stock</w:t>
            </w:r>
          </w:p>
        </w:tc>
        <w:tc>
          <w:tcPr>
            <w:tcW w:w="1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$ 0.0001</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15,000,000</w:t>
            </w:r>
          </w:p>
        </w:tc>
        <w:tc>
          <w:tcPr>
            <w:tcW w:w="37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 voting rights</w:t>
            </w: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Convertible preferred stock</w:t>
            </w:r>
          </w:p>
        </w:tc>
        <w:tc>
          <w:tcPr>
            <w:tcW w:w="1060" w:type="dxa"/>
            <w:vAlign w:val="bottom"/>
            <w:gridSpan w:val="2"/>
          </w:tcPr>
          <w:p>
            <w:pPr>
              <w:spacing w:after="0" w:line="201" w:lineRule="exact"/>
              <w:rPr>
                <w:sz w:val="20"/>
                <w:szCs w:val="20"/>
                <w:color w:val="auto"/>
              </w:rPr>
            </w:pPr>
            <w:r>
              <w:rPr>
                <w:rFonts w:ascii="Arial" w:cs="Arial" w:eastAsia="Arial" w:hAnsi="Arial"/>
                <w:sz w:val="18"/>
                <w:szCs w:val="18"/>
                <w:color w:val="auto"/>
              </w:rPr>
              <w:t>$ 0.0001</w:t>
            </w:r>
          </w:p>
        </w:tc>
        <w:tc>
          <w:tcPr>
            <w:tcW w:w="13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8,000,000</w:t>
            </w:r>
          </w:p>
        </w:tc>
        <w:tc>
          <w:tcPr>
            <w:tcW w:w="37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Equal to the number of shares of common</w:t>
            </w:r>
          </w:p>
        </w:tc>
      </w:tr>
      <w:tr>
        <w:trPr>
          <w:trHeight w:val="203"/>
        </w:trPr>
        <w:tc>
          <w:tcPr>
            <w:tcW w:w="4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 into which each share of Preferred</w:t>
            </w:r>
          </w:p>
        </w:tc>
      </w:tr>
      <w:tr>
        <w:trPr>
          <w:trHeight w:val="217"/>
        </w:trPr>
        <w:tc>
          <w:tcPr>
            <w:tcW w:w="4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Stock could be converted</w:t>
            </w:r>
          </w:p>
        </w:tc>
      </w:tr>
    </w:tbl>
    <w:p>
      <w:pPr>
        <w:spacing w:after="0" w:line="202"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In February and March 2018, the Company issued an aggregate of 7,794,042 Series A convertible preferred stock for at an issue price of $7.10 ($8.8727 CAD) per share.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60"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In 2018, the Company completed a recapitalization in which the Company issued 75,000,000 Class 1 common stock to Privateer Holdings. The Company has not issued shares of Class 2 or Class 3 common stock. After full payment of liquidation preferences of the preferred stock, the remaining assets of the Company legally available for distribution is distributed ratably to the holders of common stock. The liquidation and dividend rights are identical among Class 1 common stock and Class 2 common stock, and all classes of common stock share equally in our earnings and losses.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rights, preferences, privileges and restrictions for the holders of Series A convertible preferred stock are as follows: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81"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holders of Preferred Stock are entitled to receive, in preference to the holders of Common Stock, non-cumulative cash dividends at an annual rate of ten percent of the Series A preferred stock issue price per share, as adjusted for any stock dividends, combinations, splits, recapitalizations or the like. Dividends are payable when and if declared by the Board of Directors. After payment of such dividends, any additional dividends or distributions will be distributed among holders of Common Stock and Preferred Stock on a pari passu basis. No dividends have been declared or paid through March 31, 2018.</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Liquidation:</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event of any liquidation, dissolution, or winding up if the Company, either voluntary or involuntary (a “Liquidation Event”) the holders of Preferred Stock are entitled to receive, prior to and in preference to holders of Common Stock, amounts per share equal to 1.5 times the Preferred Stock original issue price for each share held plus all declared and unpaid dividends on each share of Preferred Stock, as applicable. If, upon any such Liquidation Event, the assets of the Company shall be insufficient to make payment in full to all holders of Preferred Stock of the liquidation preference, then such assets or consideration shall be distributed among holders of Preferred Stock at the time outstanding, ratably in proportion to the full amounts to which they would otherwise be respectively entitled. Upon the completion of the distribution to the holders of Preferred Stock, all remaining proceeds, if any, will be distributed ratable among the holders of Common Stock.</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w:t>
      </w:r>
    </w:p>
    <w:p>
      <w:pPr>
        <w:spacing w:after="0" w:line="95" w:lineRule="exact"/>
        <w:rPr>
          <w:sz w:val="20"/>
          <w:szCs w:val="20"/>
          <w:color w:val="auto"/>
        </w:rPr>
      </w:pPr>
    </w:p>
    <w:p>
      <w:pPr>
        <w:ind w:left="200" w:right="40" w:firstLine="331"/>
        <w:spacing w:after="0" w:line="234" w:lineRule="auto"/>
        <w:rPr>
          <w:sz w:val="20"/>
          <w:szCs w:val="20"/>
          <w:color w:val="auto"/>
        </w:rPr>
      </w:pPr>
      <w:r>
        <w:rPr>
          <w:rFonts w:ascii="Arial" w:cs="Arial" w:eastAsia="Arial" w:hAnsi="Arial"/>
          <w:sz w:val="18"/>
          <w:szCs w:val="18"/>
          <w:color w:val="auto"/>
        </w:rPr>
        <w:t>Shares of Preferred Stock are convertible into shares of Class 2 common stock at any time at the option of the holder. The conversion ratio is subject to adjustment for any stock dividends, combinations, splits, recapitalizations or the like and for dilutive issuances of new securities. The number of shares of Class 2 common stock to which each share of Preferred Stock may be converted shall equal the Preferred Stock issue price divided by the conversion price in effect at the time of conversion. Each share of Preferred Stock automatically converts into that number of shares of common stock determined in accordance with the conversion rate upon the earlier of (i) upon the date specified by the vote or written request by the Company from the holders of a majority of Preferred Stock outstanding or</w:t>
      </w:r>
    </w:p>
    <w:p>
      <w:pPr>
        <w:spacing w:after="0" w:line="5" w:lineRule="exact"/>
        <w:rPr>
          <w:sz w:val="20"/>
          <w:szCs w:val="20"/>
          <w:color w:val="auto"/>
        </w:rPr>
      </w:pPr>
    </w:p>
    <w:p>
      <w:pPr>
        <w:ind w:left="200" w:right="280" w:firstLine="4"/>
        <w:spacing w:after="0"/>
        <w:tabs>
          <w:tab w:leader="none" w:pos="4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immediately upon the closing of an underwritten public offering of common stock under the Securities Act of 1933, as amended, covering the offer and sale of Common Stock for the account of the Company in which the gross proceeds are at least $125 million and the Company’s shares have been listed for trading on the New York Stock Exchange, NASDAQ Global Market or any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successor exchange of either the New York Stock Exchange or NSADAQ. The conversion price is initially set at the original issuance price $7.10 ($8.8727 CAD) per share. The conversion price is adjusted for stock splits and combinations, stock dividends and distributions and dilutive issuance below the original conversion price.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Redemption:</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 of Preferred Stock are not redeemable at the option of the holder.</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Protective Provisions:</w:t>
      </w:r>
    </w:p>
    <w:p>
      <w:pPr>
        <w:spacing w:after="0" w:line="8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holders of Preferred Stock have certain protective provisions. As long as 1,000,000 shares of Preferred Stock remain issued and outstanding, the Company cannot approve certain actions, without the approval of at least a majority of the voting power of Preferred Stock then outstanding, voting together as a single class. Such actions include: amending the Certificate of Incorporation or Bylaws of the Company that alters or changes the rights, preferences or privileges of Preferred Stock and increasing or decreasing in the authorized number of shares of Preferred Stock, as adjusted for stock splits, stock dividends, combinations, reclassifications or the like.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Stock-based Compensation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Original Stock Option Plan</w:t>
      </w:r>
    </w:p>
    <w:p>
      <w:pPr>
        <w:spacing w:after="0" w:line="85" w:lineRule="exact"/>
        <w:rPr>
          <w:sz w:val="20"/>
          <w:szCs w:val="20"/>
          <w:color w:val="auto"/>
        </w:rPr>
      </w:pPr>
    </w:p>
    <w:p>
      <w:pPr>
        <w:jc w:val="both"/>
        <w:ind w:left="200" w:right="420" w:firstLine="331"/>
        <w:spacing w:after="0"/>
        <w:rPr>
          <w:sz w:val="20"/>
          <w:szCs w:val="20"/>
          <w:color w:val="auto"/>
        </w:rPr>
      </w:pPr>
      <w:r>
        <w:rPr>
          <w:rFonts w:ascii="Arial" w:cs="Arial" w:eastAsia="Arial" w:hAnsi="Arial"/>
          <w:sz w:val="18"/>
          <w:szCs w:val="18"/>
          <w:color w:val="auto"/>
        </w:rPr>
        <w:t>The Company’s employees participate in the Equity Incentive Plan of Privateer Holdings (the “Original Plan”). For the year ended December 31, 2017, the total stock-based compensation expense associated with the Plan was $139 (2016 – $94) and for the three months ended March 31, 2018 was $31 (March 31, 2017 – $35).</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fair value of each award to employees is estimated on the date of grant using the Black-Scholes option pricing model with the following weighted average assumptions in 2017: expected life of 5.53 years (2016 – 6.05 years), risk-free interest rates of 2.01% (2016 – 1.46%); expected volatility of 56.32% (2016 – 63.32%) and no dividends during the expected life. Expected volatility is based on historical volatilities of public companies operating in a similar industry to Privateer Holdings. The expected life of the options represents the period of time options are expected to be outstanding and is estimated considering vesting terms and employees’ historical exercise and post-vesting employment termination behavior. 25% of the options cliff vest on the first anniversary of the grant date and the remainder vest ratably thereafter over a total of four years from the date of grant. The vested options expire, if not exercised, 10 years from the date of grant. The risk-free rate is based on the U.S. Treasury yield curve in effect at the time of grant.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New Stock Option Plan (unaudited):</w:t>
      </w:r>
    </w:p>
    <w:p>
      <w:pPr>
        <w:spacing w:after="0" w:line="99"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In 2018, the Company adopted a new 2018 Equity Incentive Plan (the “New Plan”). The Company has reserved 6,711,621 shares of common stock for issuance under the Plan. As at March 31, 2018, there were no stock options, restricted stock units or restricted stock awards granted under the New Plan. The New Plan provides for the granting of stock options, restricted stock units and restricted stock awards to employees, directors, and consultants of the Company. Options granted under the New Plan may be either incentive stock options (ISO) or nonqualified stock options (NSO). Incentive stock options may be granted only to Company employees. Nonqualified stock options and restricted stock awards may be granted to Company employees, directors and consultants.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Options under the New Plan may be outstanding for periods of up to 10 years following the grant date. Options and shares of common stock issued under the Plan are determined by the Board of Directors and may not be issued at less than 100% of the fair value of the shares on the date of the grant provided that the exercise price of any option granted to a stockholder who owns greater than 10% of the Company’s outstanding capital stock cannot be less than 110% of the fair value of the shares on the date of grant. Fair value is based on the quoted price of the common stock or is determined by the Board of Directors if a quoted price is not available. Stock options will generally vest over a period of four years and expire, if not exercised, 10 years from the date of grant. Stock options granted to a stockholder that owns greater than 10% of the Company’s capital stock expire, if not exercised, five years from the date of grant. Shares of common stock may be issued in exchange for services based on the fair value of the services or the fair value of the common stock at the time of grant, as determined by the Board of Directors.</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Stock option activity under the Original Plan that is relevant to the Company is as follows:</w:t>
      </w:r>
    </w:p>
    <w:p>
      <w:pPr>
        <w:spacing w:after="0" w:line="226" w:lineRule="exact"/>
        <w:rPr>
          <w:sz w:val="20"/>
          <w:szCs w:val="20"/>
          <w:color w:val="auto"/>
        </w:rPr>
      </w:pPr>
    </w:p>
    <w:tbl>
      <w:tblPr>
        <w:tblLayout w:type="fixed"/>
        <w:tblInd w:w="9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860"/>
              <w:spacing w:after="0" w:line="143" w:lineRule="exact"/>
              <w:rPr>
                <w:sz w:val="20"/>
                <w:szCs w:val="20"/>
                <w:color w:val="auto"/>
              </w:rPr>
            </w:pPr>
            <w:r>
              <w:rPr>
                <w:rFonts w:ascii="Arial" w:cs="Arial" w:eastAsia="Arial" w:hAnsi="Arial"/>
                <w:sz w:val="14"/>
                <w:szCs w:val="14"/>
                <w:b w:val="1"/>
                <w:bCs w:val="1"/>
                <w:color w:val="auto"/>
              </w:rPr>
              <w:t>Weighted-</w:t>
            </w:r>
          </w:p>
        </w:tc>
        <w:tc>
          <w:tcPr>
            <w:tcW w:w="7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Aggregate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average</w:t>
            </w: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of shares</w:t>
            </w:r>
          </w:p>
        </w:tc>
        <w:tc>
          <w:tcPr>
            <w:tcW w:w="440" w:type="dxa"/>
            <w:vAlign w:val="bottom"/>
          </w:tcPr>
          <w:p>
            <w:pPr>
              <w:spacing w:after="0"/>
              <w:rPr>
                <w:sz w:val="15"/>
                <w:szCs w:val="15"/>
                <w:color w:val="auto"/>
              </w:rPr>
            </w:pPr>
          </w:p>
        </w:tc>
        <w:tc>
          <w:tcPr>
            <w:tcW w:w="17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January 1, 2016</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310,575</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w:t>
            </w: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rPr>
              <w:t>Granted</w:t>
            </w: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93,800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3.26</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Exercised</w:t>
            </w:r>
          </w:p>
        </w:tc>
        <w:tc>
          <w:tcPr>
            <w:tcW w:w="10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(17,872)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(79,342)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2.51</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Cancelled</w:t>
            </w:r>
          </w:p>
        </w:tc>
        <w:tc>
          <w:tcPr>
            <w:tcW w:w="10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(39,577)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Balance December 31, 2016</w:t>
            </w:r>
          </w:p>
        </w:tc>
        <w:tc>
          <w:tcPr>
            <w:tcW w:w="720" w:type="dxa"/>
            <w:vAlign w:val="bottom"/>
          </w:tcPr>
          <w:p>
            <w:pPr>
              <w:jc w:val="right"/>
              <w:spacing w:after="0"/>
              <w:rPr>
                <w:sz w:val="20"/>
                <w:szCs w:val="20"/>
                <w:color w:val="auto"/>
              </w:rPr>
            </w:pPr>
            <w:r>
              <w:rPr>
                <w:rFonts w:ascii="Arial" w:cs="Arial" w:eastAsia="Arial" w:hAnsi="Arial"/>
                <w:sz w:val="18"/>
                <w:szCs w:val="18"/>
                <w:color w:val="auto"/>
              </w:rPr>
              <w:t>267,584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Granted</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115,664</w:t>
            </w: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rPr>
              <w:t>Exercised</w:t>
            </w:r>
          </w:p>
        </w:tc>
        <w:tc>
          <w:tcPr>
            <w:tcW w:w="10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(581)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3.26</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(9,709)</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(8,387)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364,571</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rPr>
              <w:t>Granted (unaudited)</w:t>
            </w: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Exercised (unaudited)</w:t>
            </w:r>
          </w:p>
        </w:tc>
        <w:tc>
          <w:tcPr>
            <w:tcW w:w="10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tcPr>
          <w:p>
            <w:pPr>
              <w:ind w:left="340"/>
              <w:spacing w:after="0" w:line="202" w:lineRule="exact"/>
              <w:rPr>
                <w:sz w:val="20"/>
                <w:szCs w:val="20"/>
                <w:color w:val="auto"/>
              </w:rPr>
            </w:pPr>
            <w:r>
              <w:rPr>
                <w:rFonts w:ascii="Arial" w:cs="Arial" w:eastAsia="Arial" w:hAnsi="Arial"/>
                <w:sz w:val="18"/>
                <w:szCs w:val="18"/>
                <w:color w:val="auto"/>
              </w:rPr>
              <w:t>Forfeited (unaudited)</w:t>
            </w:r>
          </w:p>
        </w:tc>
        <w:tc>
          <w:tcPr>
            <w:tcW w:w="10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(1,051)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3.01</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Cancelled (unaudited)</w:t>
            </w:r>
          </w:p>
        </w:tc>
        <w:tc>
          <w:tcPr>
            <w:tcW w:w="10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(861)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8"/>
                <w:szCs w:val="18"/>
                <w:color w:val="auto"/>
              </w:rPr>
              <w:t>Balance March 31, 2018 (unaudited)</w:t>
            </w:r>
          </w:p>
        </w:tc>
        <w:tc>
          <w:tcPr>
            <w:tcW w:w="720" w:type="dxa"/>
            <w:vAlign w:val="bottom"/>
          </w:tcPr>
          <w:p>
            <w:pPr>
              <w:jc w:val="right"/>
              <w:spacing w:after="0"/>
              <w:rPr>
                <w:sz w:val="20"/>
                <w:szCs w:val="20"/>
                <w:color w:val="auto"/>
              </w:rPr>
            </w:pPr>
            <w:r>
              <w:rPr>
                <w:rFonts w:ascii="Arial" w:cs="Arial" w:eastAsia="Arial" w:hAnsi="Arial"/>
                <w:sz w:val="18"/>
                <w:szCs w:val="18"/>
                <w:color w:val="auto"/>
              </w:rPr>
              <w:t>362,117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The weighted-average remaining contractual life for options outstanding and options expected to vest as at December 31, 2017 is 7.97 years and 8.67 years, respectively (2016 – 8.35 years and 8.84 years) and as at March 31, 2018 is 7.71 years and 8.47 years, respectively.</w:t>
      </w:r>
    </w:p>
    <w:p>
      <w:pPr>
        <w:spacing w:after="0" w:line="203" w:lineRule="exact"/>
        <w:rPr>
          <w:sz w:val="20"/>
          <w:szCs w:val="20"/>
          <w:color w:val="auto"/>
        </w:rPr>
      </w:pPr>
    </w:p>
    <w:p>
      <w:pPr>
        <w:jc w:val="both"/>
        <w:ind w:left="200" w:right="80" w:firstLine="331"/>
        <w:spacing w:after="0" w:line="239" w:lineRule="auto"/>
        <w:rPr>
          <w:sz w:val="20"/>
          <w:szCs w:val="20"/>
          <w:color w:val="auto"/>
        </w:rPr>
      </w:pPr>
      <w:r>
        <w:rPr>
          <w:rFonts w:ascii="Arial" w:cs="Arial" w:eastAsia="Arial" w:hAnsi="Arial"/>
          <w:sz w:val="18"/>
          <w:szCs w:val="18"/>
          <w:color w:val="auto"/>
        </w:rPr>
        <w:t>As of December 31, 2017, there were 210,919 options exercisable under the Plan (2016 – 112,951 shares) with a weighted-average exercise price of $1.88 (2016 – $1.23), aggregate intrinsic value of $ 797 (2016 – $241) and a weighted-average remaining contractual life of 7.46 years (2016 – 7.68 years). As at March 31, 2018, there were 234,488 options exercisable under the original plan with a weighted-average exercise price of $1.95, aggregate intrinsic value of $1 and a weighted-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average remaining contractual life of 7.27 years. The aggregate intrinsic value of the options exercised during the years ended December 31, 2017 and 2016 were $1 and $51 and during the three months ended March 31, 2018 was $1. The weighted-average fair value of options granted in 2017 on the grant date was $1.79 (2016 – $1.91).</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Income Taxes</w:t>
      </w:r>
    </w:p>
    <w:p>
      <w:pPr>
        <w:spacing w:after="0" w:line="1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Loss before income taxes includes the following components: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460" w:type="dxa"/>
            <w:vAlign w:val="bottom"/>
          </w:tcPr>
          <w:p>
            <w:pPr>
              <w:spacing w:after="0"/>
              <w:rPr>
                <w:sz w:val="14"/>
                <w:szCs w:val="14"/>
                <w:color w:val="auto"/>
              </w:rPr>
            </w:pP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4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r>
      <w:tr>
        <w:trPr>
          <w:trHeight w:val="196"/>
        </w:trPr>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Canada</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(7,883)</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(7,411)</w:t>
            </w:r>
          </w:p>
        </w:tc>
        <w:tc>
          <w:tcPr>
            <w:tcW w:w="120" w:type="dxa"/>
            <w:vAlign w:val="bottom"/>
            <w:shd w:val="clear" w:color="auto" w:fill="CCEEFF"/>
          </w:tcPr>
          <w:p>
            <w:pPr>
              <w:spacing w:after="0"/>
              <w:rPr>
                <w:sz w:val="17"/>
                <w:szCs w:val="17"/>
                <w:color w:val="auto"/>
              </w:rPr>
            </w:pP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Other countries</w:t>
            </w:r>
          </w:p>
        </w:tc>
        <w:tc>
          <w:tcPr>
            <w:tcW w:w="200" w:type="dxa"/>
            <w:vAlign w:val="bottom"/>
          </w:tcPr>
          <w:p>
            <w:pPr>
              <w:spacing w:after="0"/>
              <w:rPr>
                <w:sz w:val="17"/>
                <w:szCs w:val="17"/>
                <w:color w:val="auto"/>
              </w:rPr>
            </w:pPr>
          </w:p>
        </w:tc>
        <w:tc>
          <w:tcPr>
            <w:tcW w:w="16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(398)</w:t>
            </w:r>
          </w:p>
        </w:tc>
      </w:tr>
      <w:tr>
        <w:trPr>
          <w:trHeight w:val="27"/>
        </w:trPr>
        <w:tc>
          <w:tcPr>
            <w:tcW w:w="7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(7,883)</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(7,809)</w:t>
            </w:r>
          </w:p>
        </w:tc>
      </w:tr>
      <w:tr>
        <w:trPr>
          <w:trHeight w:val="20"/>
        </w:trPr>
        <w:tc>
          <w:tcPr>
            <w:tcW w:w="7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reconciliation of the United States statutory income tax rate of 35% (2016 – 35%) to the effective tax rate is as follows: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44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46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9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before income taxes:</w:t>
            </w:r>
          </w:p>
        </w:tc>
        <w:tc>
          <w:tcPr>
            <w:tcW w:w="2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7,883</w:t>
            </w:r>
          </w:p>
        </w:tc>
        <w:tc>
          <w:tcPr>
            <w:tcW w:w="9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7,809</w:t>
            </w:r>
          </w:p>
        </w:tc>
        <w:tc>
          <w:tcPr>
            <w:tcW w:w="120" w:type="dxa"/>
            <w:vAlign w:val="bottom"/>
            <w:shd w:val="clear" w:color="auto" w:fill="CCEEFF"/>
          </w:tcPr>
          <w:p>
            <w:pPr>
              <w:spacing w:after="0"/>
              <w:rPr>
                <w:sz w:val="17"/>
                <w:szCs w:val="17"/>
                <w:color w:val="auto"/>
              </w:rPr>
            </w:pPr>
          </w:p>
        </w:tc>
      </w:tr>
      <w:tr>
        <w:trPr>
          <w:trHeight w:val="210"/>
        </w:trPr>
        <w:tc>
          <w:tcPr>
            <w:tcW w:w="4460" w:type="dxa"/>
            <w:vAlign w:val="bottom"/>
          </w:tcPr>
          <w:p>
            <w:pPr>
              <w:ind w:left="360"/>
              <w:spacing w:after="0"/>
              <w:rPr>
                <w:sz w:val="20"/>
                <w:szCs w:val="20"/>
                <w:color w:val="auto"/>
              </w:rPr>
            </w:pPr>
            <w:r>
              <w:rPr>
                <w:rFonts w:ascii="Arial" w:cs="Arial" w:eastAsia="Arial" w:hAnsi="Arial"/>
                <w:sz w:val="18"/>
                <w:szCs w:val="18"/>
                <w:color w:val="auto"/>
              </w:rPr>
              <w:t>Expected income tax recovery</w:t>
            </w: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color w:val="auto"/>
              </w:rPr>
              <w:t>(2,797)</w:t>
            </w:r>
          </w:p>
        </w:tc>
        <w:tc>
          <w:tcPr>
            <w:tcW w:w="2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(2,733)</w:t>
            </w:r>
          </w:p>
        </w:tc>
      </w:tr>
      <w:tr>
        <w:trPr>
          <w:trHeight w:val="203"/>
        </w:trPr>
        <w:tc>
          <w:tcPr>
            <w:tcW w:w="4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Difference in foreign tax rates</w:t>
            </w:r>
          </w:p>
        </w:tc>
        <w:tc>
          <w:tcPr>
            <w:tcW w:w="2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719</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675</w:t>
            </w:r>
          </w:p>
        </w:tc>
      </w:tr>
      <w:tr>
        <w:trPr>
          <w:trHeight w:val="203"/>
        </w:trPr>
        <w:tc>
          <w:tcPr>
            <w:tcW w:w="4460" w:type="dxa"/>
            <w:vAlign w:val="bottom"/>
          </w:tcPr>
          <w:p>
            <w:pPr>
              <w:ind w:left="360"/>
              <w:spacing w:after="0" w:line="202" w:lineRule="exact"/>
              <w:rPr>
                <w:sz w:val="20"/>
                <w:szCs w:val="20"/>
                <w:color w:val="auto"/>
              </w:rPr>
            </w:pPr>
            <w:r>
              <w:rPr>
                <w:rFonts w:ascii="Arial" w:cs="Arial" w:eastAsia="Arial" w:hAnsi="Arial"/>
                <w:sz w:val="18"/>
                <w:szCs w:val="18"/>
                <w:color w:val="auto"/>
              </w:rPr>
              <w:t>Foreign exchange and other</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(72)</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(480)</w:t>
            </w:r>
          </w:p>
        </w:tc>
      </w:tr>
      <w:tr>
        <w:trPr>
          <w:trHeight w:val="203"/>
        </w:trPr>
        <w:tc>
          <w:tcPr>
            <w:tcW w:w="4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Non-deductible expenses</w:t>
            </w:r>
          </w:p>
        </w:tc>
        <w:tc>
          <w:tcPr>
            <w:tcW w:w="2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w:t>
            </w:r>
          </w:p>
        </w:tc>
      </w:tr>
      <w:tr>
        <w:trPr>
          <w:trHeight w:val="203"/>
        </w:trPr>
        <w:tc>
          <w:tcPr>
            <w:tcW w:w="4460" w:type="dxa"/>
            <w:vAlign w:val="bottom"/>
          </w:tcPr>
          <w:p>
            <w:pPr>
              <w:ind w:left="360"/>
              <w:spacing w:after="0" w:line="202" w:lineRule="exact"/>
              <w:rPr>
                <w:sz w:val="20"/>
                <w:szCs w:val="20"/>
                <w:color w:val="auto"/>
              </w:rPr>
            </w:pPr>
            <w:r>
              <w:rPr>
                <w:rFonts w:ascii="Arial" w:cs="Arial" w:eastAsia="Arial" w:hAnsi="Arial"/>
                <w:sz w:val="18"/>
                <w:szCs w:val="18"/>
                <w:color w:val="auto"/>
              </w:rPr>
              <w:t>Changes in enacted rates</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(288)</w:t>
            </w:r>
          </w:p>
        </w:tc>
      </w:tr>
      <w:tr>
        <w:trPr>
          <w:trHeight w:val="203"/>
        </w:trPr>
        <w:tc>
          <w:tcPr>
            <w:tcW w:w="4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Utilization of losses no previously recognized</w:t>
            </w:r>
          </w:p>
        </w:tc>
        <w:tc>
          <w:tcPr>
            <w:tcW w:w="2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4460" w:type="dxa"/>
            <w:vAlign w:val="bottom"/>
          </w:tcPr>
          <w:p>
            <w:pPr>
              <w:ind w:left="360"/>
              <w:spacing w:after="0" w:line="202" w:lineRule="exact"/>
              <w:rPr>
                <w:sz w:val="20"/>
                <w:szCs w:val="20"/>
                <w:color w:val="auto"/>
              </w:rPr>
            </w:pPr>
            <w:r>
              <w:rPr>
                <w:rFonts w:ascii="Arial" w:cs="Arial" w:eastAsia="Arial" w:hAnsi="Arial"/>
                <w:sz w:val="18"/>
                <w:szCs w:val="18"/>
                <w:color w:val="auto"/>
              </w:rPr>
              <w:t>Change in valuation allowance</w:t>
            </w:r>
          </w:p>
        </w:tc>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2,190</w:t>
            </w: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2,774</w:t>
            </w:r>
          </w:p>
        </w:tc>
      </w:tr>
      <w:tr>
        <w:trPr>
          <w:trHeight w:val="27"/>
        </w:trPr>
        <w:tc>
          <w:tcPr>
            <w:tcW w:w="4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4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Income tax expense</w:t>
            </w:r>
          </w:p>
        </w:tc>
        <w:tc>
          <w:tcPr>
            <w:tcW w:w="3140" w:type="dxa"/>
            <w:vAlign w:val="bottom"/>
            <w:gridSpan w:val="2"/>
            <w:shd w:val="clear" w:color="auto" w:fill="CCEEFF"/>
          </w:tcPr>
          <w:p>
            <w:pPr>
              <w:ind w:left="2940"/>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
        </w:trPr>
        <w:tc>
          <w:tcPr>
            <w:tcW w:w="44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3140" w:type="dxa"/>
            <w:vAlign w:val="bottom"/>
            <w:gridSpan w:val="2"/>
          </w:tcPr>
          <w:p>
            <w:pPr>
              <w:ind w:left="520"/>
              <w:spacing w:after="0"/>
              <w:rPr>
                <w:sz w:val="20"/>
                <w:szCs w:val="20"/>
                <w:color w:val="auto"/>
              </w:rPr>
            </w:pPr>
            <w:r>
              <w:rPr>
                <w:rFonts w:ascii="Arial" w:cs="Arial" w:eastAsia="Arial" w:hAnsi="Arial"/>
                <w:sz w:val="18"/>
                <w:szCs w:val="18"/>
                <w:color w:val="auto"/>
              </w:rPr>
              <w:t>F-26</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940"/>
          </w:cols>
          <w:pgMar w:left="240" w:top="459" w:right="7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components of deferred tax:</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4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r>
      <w:tr>
        <w:trPr>
          <w:trHeight w:val="183"/>
        </w:trPr>
        <w:tc>
          <w:tcPr>
            <w:tcW w:w="7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Tax loss carryforwards – Canada</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5,821</w:t>
            </w:r>
          </w:p>
        </w:tc>
        <w:tc>
          <w:tcPr>
            <w:tcW w:w="500" w:type="dxa"/>
            <w:vAlign w:val="bottom"/>
          </w:tcPr>
          <w:p>
            <w:pPr>
              <w:spacing w:after="0"/>
              <w:rPr>
                <w:sz w:val="17"/>
                <w:szCs w:val="17"/>
                <w:color w:val="auto"/>
              </w:rPr>
            </w:pPr>
          </w:p>
        </w:tc>
        <w:tc>
          <w:tcPr>
            <w:tcW w:w="6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8,297</w:t>
            </w: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Tax loss carryforwards – other foreign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w:t>
            </w: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Plant, property and equipment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183</w:t>
            </w: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financing costs – 20(1)(e</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Investment tax credits and related pool balance</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57</w:t>
            </w: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r>
      <w:tr>
        <w:trPr>
          <w:trHeight w:val="210"/>
        </w:trPr>
        <w:tc>
          <w:tcPr>
            <w:tcW w:w="740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5,985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8,730</w:t>
            </w: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valuation allowance</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(5,836)</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(8,601)</w:t>
            </w:r>
          </w:p>
        </w:tc>
      </w:tr>
      <w:tr>
        <w:trPr>
          <w:trHeight w:val="210"/>
        </w:trPr>
        <w:tc>
          <w:tcPr>
            <w:tcW w:w="7400" w:type="dxa"/>
            <w:vAlign w:val="bottom"/>
          </w:tcPr>
          <w:p>
            <w:pPr>
              <w:ind w:left="7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r>
      <w:tr>
        <w:trPr>
          <w:trHeight w:val="223"/>
        </w:trPr>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7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Plant, property and equipment</w:t>
            </w:r>
          </w:p>
        </w:tc>
        <w:tc>
          <w:tcPr>
            <w:tcW w:w="22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(144)</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(129)</w:t>
            </w:r>
          </w:p>
        </w:tc>
      </w:tr>
      <w:tr>
        <w:trPr>
          <w:trHeight w:val="203"/>
        </w:trPr>
        <w:tc>
          <w:tcPr>
            <w:tcW w:w="7400" w:type="dxa"/>
            <w:vAlign w:val="bottom"/>
          </w:tcPr>
          <w:p>
            <w:pPr>
              <w:ind w:left="360"/>
              <w:spacing w:after="0" w:line="202" w:lineRule="exact"/>
              <w:rPr>
                <w:sz w:val="20"/>
                <w:szCs w:val="20"/>
                <w:color w:val="auto"/>
              </w:rPr>
            </w:pPr>
            <w:r>
              <w:rPr>
                <w:rFonts w:ascii="Arial" w:cs="Arial" w:eastAsia="Arial" w:hAnsi="Arial"/>
                <w:sz w:val="18"/>
                <w:szCs w:val="18"/>
                <w:color w:val="auto"/>
              </w:rPr>
              <w:t>Deferred financing costs – 20(1)(e)</w:t>
            </w:r>
          </w:p>
        </w:tc>
        <w:tc>
          <w:tcPr>
            <w:tcW w:w="2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4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(149)</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(129)</w:t>
            </w:r>
          </w:p>
        </w:tc>
      </w:tr>
      <w:tr>
        <w:trPr>
          <w:trHeight w:val="20"/>
        </w:trPr>
        <w:tc>
          <w:tcPr>
            <w:tcW w:w="7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00" w:type="dxa"/>
            <w:vAlign w:val="bottom"/>
          </w:tcPr>
          <w:p>
            <w:pPr>
              <w:spacing w:after="0"/>
              <w:rPr>
                <w:sz w:val="20"/>
                <w:szCs w:val="20"/>
                <w:color w:val="auto"/>
              </w:rPr>
            </w:pPr>
            <w:r>
              <w:rPr>
                <w:rFonts w:ascii="Arial" w:cs="Arial" w:eastAsia="Arial" w:hAnsi="Arial"/>
                <w:sz w:val="18"/>
                <w:szCs w:val="18"/>
                <w:color w:val="auto"/>
              </w:rPr>
              <w:t>Net deferred income taxes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The realization of deferred tax assets is dependent on the Company generating sufficient taxable income in the years that the temporary differences become deductible. A valuation allowance has been provided for the portion of the deferred tax assets that the Company determined is more likely than not to remain unrealized based on estimated future taxable income.</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As of December 31, 2017, the Company had accumulated tax losses available to offset future years’ federal and provincial taxable income in Canada of approximately $30,000 (2016 – $23,000). The Canadian non-capital loss carryforwards expire as noted in the table below (in thousands):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96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2033</w:t>
            </w:r>
          </w:p>
        </w:tc>
        <w:tc>
          <w:tcPr>
            <w:tcW w:w="8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2034</w:t>
            </w:r>
          </w:p>
        </w:tc>
        <w:tc>
          <w:tcPr>
            <w:tcW w:w="8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6,972</w:t>
            </w:r>
          </w:p>
        </w:tc>
        <w:tc>
          <w:tcPr>
            <w:tcW w:w="60" w:type="dxa"/>
            <w:vAlign w:val="bottom"/>
          </w:tcPr>
          <w:p>
            <w:pPr>
              <w:spacing w:after="0"/>
              <w:rPr>
                <w:sz w:val="17"/>
                <w:szCs w:val="17"/>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2035</w:t>
            </w:r>
          </w:p>
        </w:tc>
        <w:tc>
          <w:tcPr>
            <w:tcW w:w="8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8,271</w:t>
            </w:r>
          </w:p>
        </w:tc>
        <w:tc>
          <w:tcPr>
            <w:tcW w:w="60" w:type="dxa"/>
            <w:vAlign w:val="bottom"/>
            <w:shd w:val="clear" w:color="auto" w:fill="CCEEFF"/>
          </w:tcPr>
          <w:p>
            <w:pPr>
              <w:spacing w:after="0"/>
              <w:rPr>
                <w:sz w:val="17"/>
                <w:szCs w:val="17"/>
                <w:color w:val="auto"/>
              </w:rPr>
            </w:pPr>
          </w:p>
        </w:tc>
      </w:tr>
      <w:tr>
        <w:trPr>
          <w:trHeight w:val="203"/>
        </w:trPr>
        <w:tc>
          <w:tcPr>
            <w:tcW w:w="920" w:type="dxa"/>
            <w:vAlign w:val="bottom"/>
          </w:tcPr>
          <w:p>
            <w:pPr>
              <w:spacing w:after="0" w:line="202" w:lineRule="exact"/>
              <w:rPr>
                <w:sz w:val="20"/>
                <w:szCs w:val="20"/>
                <w:color w:val="auto"/>
              </w:rPr>
            </w:pPr>
            <w:r>
              <w:rPr>
                <w:rFonts w:ascii="Arial" w:cs="Arial" w:eastAsia="Arial" w:hAnsi="Arial"/>
                <w:sz w:val="18"/>
                <w:szCs w:val="18"/>
                <w:color w:val="auto"/>
              </w:rPr>
              <w:t>2036</w:t>
            </w:r>
          </w:p>
        </w:tc>
        <w:tc>
          <w:tcPr>
            <w:tcW w:w="8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8,309</w:t>
            </w:r>
          </w:p>
        </w:tc>
        <w:tc>
          <w:tcPr>
            <w:tcW w:w="60" w:type="dxa"/>
            <w:vAlign w:val="bottom"/>
          </w:tcPr>
          <w:p>
            <w:pPr>
              <w:spacing w:after="0"/>
              <w:rPr>
                <w:sz w:val="17"/>
                <w:szCs w:val="17"/>
                <w:color w:val="auto"/>
              </w:rPr>
            </w:pPr>
          </w:p>
        </w:tc>
      </w:tr>
      <w:tr>
        <w:trPr>
          <w:trHeight w:val="203"/>
        </w:trPr>
        <w:tc>
          <w:tcPr>
            <w:tcW w:w="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2037</w:t>
            </w:r>
          </w:p>
        </w:tc>
        <w:tc>
          <w:tcPr>
            <w:tcW w:w="8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6,763</w:t>
            </w:r>
          </w:p>
        </w:tc>
        <w:tc>
          <w:tcPr>
            <w:tcW w:w="60" w:type="dxa"/>
            <w:vAlign w:val="bottom"/>
            <w:shd w:val="clear" w:color="auto" w:fill="CCEEFF"/>
          </w:tcPr>
          <w:p>
            <w:pPr>
              <w:spacing w:after="0"/>
              <w:rPr>
                <w:sz w:val="17"/>
                <w:szCs w:val="17"/>
                <w:color w:val="auto"/>
              </w:rPr>
            </w:pPr>
          </w:p>
        </w:tc>
      </w:tr>
      <w:tr>
        <w:trPr>
          <w:trHeight w:val="210"/>
        </w:trPr>
        <w:tc>
          <w:tcPr>
            <w:tcW w:w="9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30,728</w:t>
            </w:r>
          </w:p>
        </w:tc>
        <w:tc>
          <w:tcPr>
            <w:tcW w:w="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As of December 31, 2017, the Company has Australian net operating loss carry of $50 (2016 – $0). The loss may be carried forward indefinitely. The Company has Portuguese net operating loss of $74 (2016 – $0). Portuguese net operating loss carry forwards 5 years and expire in 2022.</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Company files federal income tax returns in Canada, Germany, and other foreign jurisdictions. The Company has open tax years with various taxing jurisdictions. These open years contain certain</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240" w:top="460"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right="600"/>
        <w:spacing w:after="0" w:line="246" w:lineRule="auto"/>
        <w:rPr>
          <w:sz w:val="20"/>
          <w:szCs w:val="20"/>
          <w:color w:val="auto"/>
        </w:rPr>
      </w:pPr>
      <w:r>
        <w:rPr>
          <w:rFonts w:ascii="Arial" w:cs="Arial" w:eastAsia="Arial" w:hAnsi="Arial"/>
          <w:sz w:val="18"/>
          <w:szCs w:val="18"/>
          <w:color w:val="auto"/>
        </w:rPr>
        <w:t>matters that could be subject to differing interpretations of applicable tax laws and regulations, and tax treaties, as they relate to the amount, timing, or inclusion of revenue and expense.</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920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Open Years</w:t>
            </w:r>
          </w:p>
        </w:tc>
      </w:tr>
      <w:tr>
        <w:trPr>
          <w:trHeight w:val="196"/>
        </w:trPr>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0"/>
              </w:rPr>
              <w:t>Netherlands</w:t>
            </w:r>
          </w:p>
        </w:tc>
        <w:tc>
          <w:tcPr>
            <w:tcW w:w="84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2016-2017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9200" w:type="dxa"/>
            <w:vAlign w:val="bottom"/>
            <w:gridSpan w:val="2"/>
          </w:tcPr>
          <w:p>
            <w:pPr>
              <w:spacing w:after="0" w:line="202" w:lineRule="exact"/>
              <w:rPr>
                <w:sz w:val="20"/>
                <w:szCs w:val="20"/>
                <w:color w:val="auto"/>
              </w:rPr>
            </w:pPr>
            <w:r>
              <w:rPr>
                <w:rFonts w:ascii="Arial" w:cs="Arial" w:eastAsia="Arial" w:hAnsi="Arial"/>
                <w:sz w:val="18"/>
                <w:szCs w:val="18"/>
                <w:color w:val="auto"/>
              </w:rPr>
              <w:t>Canada</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2013-2017</w:t>
            </w: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Germany</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2016-2017</w:t>
            </w:r>
          </w:p>
        </w:tc>
      </w:tr>
      <w:tr>
        <w:trPr>
          <w:trHeight w:val="203"/>
        </w:trPr>
        <w:tc>
          <w:tcPr>
            <w:tcW w:w="9200" w:type="dxa"/>
            <w:vAlign w:val="bottom"/>
            <w:gridSpan w:val="2"/>
          </w:tcPr>
          <w:p>
            <w:pPr>
              <w:spacing w:after="0" w:line="202" w:lineRule="exact"/>
              <w:rPr>
                <w:sz w:val="20"/>
                <w:szCs w:val="20"/>
                <w:color w:val="auto"/>
              </w:rPr>
            </w:pPr>
            <w:r>
              <w:rPr>
                <w:rFonts w:ascii="Arial" w:cs="Arial" w:eastAsia="Arial" w:hAnsi="Arial"/>
                <w:sz w:val="18"/>
                <w:szCs w:val="18"/>
                <w:color w:val="auto"/>
              </w:rPr>
              <w:t>Australia</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2017</w:t>
            </w:r>
          </w:p>
        </w:tc>
      </w:tr>
      <w:tr>
        <w:trPr>
          <w:trHeight w:val="203"/>
        </w:trPr>
        <w:tc>
          <w:tcPr>
            <w:tcW w:w="9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Portugal</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2017</w:t>
            </w: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Tilray Canada, Ltd. is currently under examination by the Canada Revenue Agency for the 2014 and 2015 taxation years.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outlines the movements in the valuation allowance: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 due to</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9"/>
              </w:rPr>
              <w:t>Balance at</w:t>
            </w:r>
          </w:p>
        </w:tc>
        <w:tc>
          <w:tcPr>
            <w:tcW w:w="58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expense and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beginning</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rPr>
              <w:t>foreign</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r>
      <w:tr>
        <w:trPr>
          <w:trHeight w:val="175"/>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rPr>
              <w:t>of year</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rPr>
              <w:t>exchange</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Deductions</w:t>
            </w:r>
          </w:p>
        </w:tc>
        <w:tc>
          <w:tcPr>
            <w:tcW w:w="1420" w:type="dxa"/>
            <w:vAlign w:val="bottom"/>
            <w:gridSpan w:val="4"/>
          </w:tcPr>
          <w:p>
            <w:pPr>
              <w:ind w:left="580"/>
              <w:spacing w:after="0"/>
              <w:rPr>
                <w:sz w:val="20"/>
                <w:szCs w:val="20"/>
                <w:color w:val="auto"/>
              </w:rPr>
            </w:pPr>
            <w:r>
              <w:rPr>
                <w:rFonts w:ascii="Arial" w:cs="Arial" w:eastAsia="Arial" w:hAnsi="Arial"/>
                <w:sz w:val="14"/>
                <w:szCs w:val="14"/>
                <w:b w:val="1"/>
                <w:bCs w:val="1"/>
                <w:color w:val="auto"/>
              </w:rPr>
              <w:t>end of year</w:t>
            </w:r>
          </w:p>
        </w:tc>
      </w:tr>
      <w:tr>
        <w:trPr>
          <w:trHeight w:val="196"/>
        </w:trPr>
        <w:tc>
          <w:tcPr>
            <w:tcW w:w="20" w:type="dxa"/>
            <w:vAlign w:val="bottom"/>
          </w:tcPr>
          <w:p>
            <w:pPr>
              <w:spacing w:after="0"/>
              <w:rPr>
                <w:sz w:val="17"/>
                <w:szCs w:val="17"/>
                <w:color w:val="auto"/>
              </w:rPr>
            </w:pPr>
          </w:p>
        </w:tc>
        <w:tc>
          <w:tcPr>
            <w:tcW w:w="5880" w:type="dxa"/>
            <w:vAlign w:val="bottom"/>
            <w:tcBorders>
              <w:top w:val="single" w:sz="8" w:color="CCEEFF"/>
              <w:right w:val="single" w:sz="8" w:color="CCEEFF"/>
            </w:tcBorders>
            <w:shd w:val="clear" w:color="auto" w:fill="CCEEFF"/>
          </w:tcPr>
          <w:p>
            <w:pPr>
              <w:jc w:val="right"/>
              <w:ind w:right="3270"/>
              <w:spacing w:after="0" w:line="196" w:lineRule="exact"/>
              <w:rPr>
                <w:sz w:val="20"/>
                <w:szCs w:val="20"/>
                <w:color w:val="auto"/>
              </w:rPr>
            </w:pPr>
            <w:r>
              <w:rPr>
                <w:rFonts w:ascii="Arial" w:cs="Arial" w:eastAsia="Arial" w:hAnsi="Arial"/>
                <w:sz w:val="18"/>
                <w:szCs w:val="18"/>
                <w:color w:val="auto"/>
                <w:w w:val="97"/>
              </w:rPr>
              <w:t>Year ended December 31, 2017</w:t>
            </w: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5,836</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6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8,601</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59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900" w:type="dxa"/>
            <w:vAlign w:val="bottom"/>
            <w:gridSpan w:val="2"/>
          </w:tcPr>
          <w:p>
            <w:pPr>
              <w:jc w:val="right"/>
              <w:ind w:right="3270"/>
              <w:spacing w:after="0" w:line="196" w:lineRule="exact"/>
              <w:rPr>
                <w:sz w:val="20"/>
                <w:szCs w:val="20"/>
                <w:color w:val="auto"/>
              </w:rPr>
            </w:pPr>
            <w:r>
              <w:rPr>
                <w:rFonts w:ascii="Arial" w:cs="Arial" w:eastAsia="Arial" w:hAnsi="Arial"/>
                <w:sz w:val="18"/>
                <w:szCs w:val="18"/>
                <w:color w:val="auto"/>
                <w:w w:val="98"/>
              </w:rPr>
              <w:t>Year ended December 31, 2016</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3,647</w:t>
            </w:r>
          </w:p>
        </w:tc>
        <w:tc>
          <w:tcPr>
            <w:tcW w:w="5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820" w:type="dxa"/>
            <w:vAlign w:val="bottom"/>
            <w:gridSpan w:val="2"/>
          </w:tcPr>
          <w:p>
            <w:pPr>
              <w:jc w:val="right"/>
              <w:ind w:right="65"/>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2,112</w:t>
            </w:r>
          </w:p>
        </w:tc>
        <w:tc>
          <w:tcPr>
            <w:tcW w:w="800" w:type="dxa"/>
            <w:vAlign w:val="bottom"/>
            <w:gridSpan w:val="2"/>
          </w:tcPr>
          <w:p>
            <w:pPr>
              <w:ind w:left="580"/>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5,836</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Commitments and Contingencies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jc w:val="both"/>
        <w:ind w:left="200" w:right="340" w:firstLine="331"/>
        <w:spacing w:after="0" w:line="246" w:lineRule="auto"/>
        <w:rPr>
          <w:sz w:val="20"/>
          <w:szCs w:val="20"/>
          <w:color w:val="auto"/>
        </w:rPr>
      </w:pPr>
      <w:r>
        <w:rPr>
          <w:rFonts w:ascii="Arial" w:cs="Arial" w:eastAsia="Arial" w:hAnsi="Arial"/>
          <w:sz w:val="18"/>
          <w:szCs w:val="18"/>
          <w:color w:val="auto"/>
        </w:rPr>
        <w:t>In the normal course of business, the Company may become involved in legal disputes regarding various litigation matters. In the opinion of management, any potential liabilities resulting from such claims would not have a material effect on the financial statements.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26"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The Company leases various facilities, under non-cancelable capital and operating leases, which expire at various dates through September 2027.</w:t>
      </w:r>
    </w:p>
    <w:p>
      <w:pPr>
        <w:spacing w:after="0" w:line="197"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Under the terms of the operating lease agreements, the Company is responsible for certain insurance and maintenance expenses. The Company records rent expense on a straight-line basis over the terms of the underlying leases. Rent expense for 2017 was $175 (2016 – $0) and for the three months ended March 31, 2018 was $79 (March 31, 2017 – $17).</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2017, High Park Farms, Ltd. entered into a capital lease to finance its expansion of production operations.</w:t>
      </w:r>
    </w:p>
    <w:p>
      <w:pPr>
        <w:spacing w:after="0" w:line="212" w:lineRule="exact"/>
        <w:rPr>
          <w:sz w:val="20"/>
          <w:szCs w:val="20"/>
          <w:color w:val="auto"/>
        </w:rPr>
      </w:pPr>
    </w:p>
    <w:p>
      <w:pPr>
        <w:ind w:left="200" w:right="660" w:firstLine="331"/>
        <w:spacing w:after="0" w:line="246" w:lineRule="auto"/>
        <w:rPr>
          <w:sz w:val="20"/>
          <w:szCs w:val="20"/>
          <w:color w:val="auto"/>
        </w:rPr>
      </w:pPr>
      <w:r>
        <w:rPr>
          <w:rFonts w:ascii="Arial" w:cs="Arial" w:eastAsia="Arial" w:hAnsi="Arial"/>
          <w:sz w:val="18"/>
          <w:szCs w:val="18"/>
          <w:color w:val="auto"/>
        </w:rPr>
        <w:t>In February 2018, High Park Holdings, Ltd. entered into an operating lease to finance its expansion of production operations in London, Ontario, Canada.</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Aggregate future minimum rental payments under all non-cancelable capital and operating leases are as follows: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Operating Leases</w:t>
            </w:r>
          </w:p>
        </w:tc>
        <w:tc>
          <w:tcPr>
            <w:tcW w:w="6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Capital Leases</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8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2"/>
                <w:szCs w:val="12"/>
                <w:color w:val="auto"/>
              </w:rPr>
            </w:pPr>
          </w:p>
        </w:tc>
        <w:tc>
          <w:tcPr>
            <w:tcW w:w="9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7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2018*</w:t>
            </w:r>
          </w:p>
        </w:tc>
        <w:tc>
          <w:tcPr>
            <w:tcW w:w="2520" w:type="dxa"/>
            <w:vAlign w:val="bottom"/>
            <w:gridSpan w:val="2"/>
            <w:shd w:val="clear" w:color="auto" w:fill="CCEEFF"/>
          </w:tcPr>
          <w:p>
            <w:pPr>
              <w:ind w:left="23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90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w:t>
            </w:r>
          </w:p>
        </w:tc>
        <w:tc>
          <w:tcPr>
            <w:tcW w:w="8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w:t>
            </w:r>
          </w:p>
        </w:tc>
        <w:tc>
          <w:tcPr>
            <w:tcW w:w="8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722</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772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2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722</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772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772</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2,184</w:t>
            </w: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579</w:t>
            </w:r>
          </w:p>
        </w:tc>
        <w:tc>
          <w:tcPr>
            <w:tcW w:w="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2520" w:type="dxa"/>
            <w:vAlign w:val="bottom"/>
            <w:gridSpan w:val="2"/>
            <w:shd w:val="clear" w:color="auto" w:fill="CCEEFF"/>
          </w:tcPr>
          <w:p>
            <w:pPr>
              <w:ind w:left="23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w:t>
            </w:r>
          </w:p>
        </w:tc>
        <w:tc>
          <w:tcPr>
            <w:tcW w:w="90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4,341</w:t>
            </w:r>
          </w:p>
        </w:tc>
        <w:tc>
          <w:tcPr>
            <w:tcW w:w="88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4,439</w:t>
            </w:r>
          </w:p>
        </w:tc>
        <w:tc>
          <w:tcPr>
            <w:tcW w:w="84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March 31, 2018 amounts are for the nine months ending December 31, 2018.</w:t>
      </w:r>
    </w:p>
    <w:p>
      <w:pPr>
        <w:spacing w:after="0" w:line="298" w:lineRule="exact"/>
        <w:rPr>
          <w:sz w:val="20"/>
          <w:szCs w:val="20"/>
          <w:color w:val="auto"/>
        </w:rPr>
      </w:pPr>
    </w:p>
    <w:p>
      <w:pPr>
        <w:ind w:left="540" w:right="8880" w:hanging="336"/>
        <w:spacing w:after="0" w:line="394" w:lineRule="auto"/>
        <w:tabs>
          <w:tab w:leader="none" w:pos="51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instruments </w:t>
      </w:r>
      <w:r>
        <w:rPr>
          <w:rFonts w:ascii="Arial" w:cs="Arial" w:eastAsia="Arial" w:hAnsi="Arial"/>
          <w:sz w:val="17"/>
          <w:szCs w:val="17"/>
          <w:b w:val="1"/>
          <w:bCs w:val="1"/>
          <w:i w:val="1"/>
          <w:iCs w:val="1"/>
          <w:color w:val="auto"/>
        </w:rPr>
        <w:t>Credit risk</w:t>
      </w:r>
    </w:p>
    <w:p>
      <w:pPr>
        <w:spacing w:after="0" w:line="1"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Credit risk is the risk of financial loss to the Company if a customer or counterparty to a financial instrument fails to meet its contractual obligations, and arises principally from the Company’s accounts receivable. Financial instruments that potentially subject the Company to concentration of credit risk consist of cash and accounts receivable.</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The Company’s cash is deposited with Canadian credit union and major financial institutions in Australia, Portugal, Germany and the Netherlands. To date, the Company has not experienced any losses on its cash deposits. Accounts receivable are unsecured and the Company does not require collateral from its customers.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is also exposed to credit risk from the potential default by any of its counterparties on its financial assets.</w:t>
      </w:r>
    </w:p>
    <w:p>
      <w:pPr>
        <w:spacing w:after="0" w:line="212"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Company evaluates the collectability of its accounts receivable and provides an allowance for potential credit losses as necessary. As at December 31, 2016, and 2017, and March 31, 2018, the Company is not exposed to any significant credit risk related to counterparty performance.</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9"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As the Company conducts its business in many areas of the world involving transactions denominated in a variety of currencies, the Company is exposed to foreign currency risk. A significant portion of the Company’s assets, revenue, and expenses are denominated in the Canadian dollar. A 10% change in the exchange rates for the Canadian dollar would affect the carrying value of net assets by approximately $ 400 as of December 31, 2017 and $318 as of March 31, 2018, with a corresponding impact to accumulated other comprehensive income.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risk</w:t>
      </w:r>
    </w:p>
    <w:p>
      <w:pPr>
        <w:spacing w:after="0" w:line="99"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The Company’s objective is to have sufficient liquidity to meet its liabilities when due. The Company monitors its cash balances and cash flows generated from operations to meet its requirements. As at December 31, 2017 and March 31, 2018, the most significant financial liabilities are the Privateer Holdings debt facilities, long-term debt and accounts payable and accrued liabilities.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Segment information</w:t>
      </w:r>
    </w:p>
    <w:p>
      <w:pPr>
        <w:spacing w:after="0" w:line="85"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Segment reporting is prepared on the same basis that the Company’s chief executive officer, who is the Company’s chief operating decision maker, manages the business, makes operating decisions and assesses performance. Management has determined that the Company operates in one segment: the development and sale of cannabis products.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Sources of revenues for the years ended December 31, 2016 and 2017, and the three months ended March 31, 2018 were as follows:</w:t>
      </w:r>
    </w:p>
    <w:p>
      <w:pPr>
        <w:spacing w:after="0" w:line="23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2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17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380" w:type="dxa"/>
            <w:vAlign w:val="bottom"/>
          </w:tcPr>
          <w:p>
            <w:pPr>
              <w:spacing w:after="0"/>
              <w:rPr>
                <w:sz w:val="15"/>
                <w:szCs w:val="15"/>
                <w:color w:val="auto"/>
              </w:rPr>
            </w:pPr>
          </w:p>
        </w:tc>
        <w:tc>
          <w:tcPr>
            <w:tcW w:w="22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63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6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Dried Cannabis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$11,324</w:t>
            </w: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$16,260</w:t>
            </w: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6"/>
              </w:rPr>
              <w:t>$ 3,991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4,623</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Cannabis extracts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1,107</w:t>
            </w:r>
          </w:p>
        </w:tc>
        <w:tc>
          <w:tcPr>
            <w:tcW w:w="460" w:type="dxa"/>
            <w:vAlign w:val="bottom"/>
          </w:tcPr>
          <w:p>
            <w:pPr>
              <w:spacing w:after="0"/>
              <w:rPr>
                <w:sz w:val="17"/>
                <w:szCs w:val="17"/>
                <w:color w:val="auto"/>
              </w:rPr>
            </w:pP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3,965</w:t>
            </w: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992</w:t>
            </w:r>
          </w:p>
        </w:tc>
        <w:tc>
          <w:tcPr>
            <w:tcW w:w="140" w:type="dxa"/>
            <w:vAlign w:val="bottom"/>
          </w:tcPr>
          <w:p>
            <w:pPr>
              <w:spacing w:after="0"/>
              <w:rPr>
                <w:sz w:val="17"/>
                <w:szCs w:val="17"/>
                <w:color w:val="auto"/>
              </w:rPr>
            </w:pPr>
          </w:p>
        </w:tc>
        <w:tc>
          <w:tcPr>
            <w:tcW w:w="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3,106</w:t>
            </w: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Accessories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w:t>
            </w:r>
          </w:p>
        </w:tc>
        <w:tc>
          <w:tcPr>
            <w:tcW w:w="4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w:t>
            </w:r>
          </w:p>
        </w:tc>
      </w:tr>
      <w:tr>
        <w:trPr>
          <w:trHeight w:val="20"/>
        </w:trPr>
        <w:tc>
          <w:tcPr>
            <w:tcW w:w="6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380" w:type="dxa"/>
            <w:vAlign w:val="bottom"/>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12,644</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20,538</w:t>
            </w:r>
          </w:p>
        </w:tc>
        <w:tc>
          <w:tcPr>
            <w:tcW w:w="4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$ 5,027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7,808</w:t>
            </w:r>
          </w:p>
        </w:tc>
      </w:tr>
      <w:tr>
        <w:trPr>
          <w:trHeight w:val="20"/>
        </w:trPr>
        <w:tc>
          <w:tcPr>
            <w:tcW w:w="6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Revenues attributed to a geographic region based on the location of the customer for the years ended December 31, 2016 and 2017, and the three months ended March 31, 2018 were as follows: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2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17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380" w:type="dxa"/>
            <w:vAlign w:val="bottom"/>
          </w:tcPr>
          <w:p>
            <w:pPr>
              <w:spacing w:after="0"/>
              <w:rPr>
                <w:sz w:val="15"/>
                <w:szCs w:val="15"/>
                <w:color w:val="auto"/>
              </w:rPr>
            </w:pPr>
          </w:p>
        </w:tc>
        <w:tc>
          <w:tcPr>
            <w:tcW w:w="22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jc w:val="center"/>
              <w:ind w:left="420"/>
              <w:spacing w:after="0"/>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63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6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r>
      <w:tr>
        <w:trPr>
          <w:trHeight w:val="203"/>
        </w:trPr>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Canada</w:t>
            </w: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8"/>
              </w:rPr>
              <w:t>$12,644</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8"/>
              </w:rPr>
              <w:t>$19,775</w:t>
            </w: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6"/>
              </w:rPr>
              <w:t>$ 5,027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7,376</w:t>
            </w:r>
          </w:p>
        </w:tc>
      </w:tr>
      <w:tr>
        <w:trPr>
          <w:trHeight w:val="203"/>
        </w:trPr>
        <w:tc>
          <w:tcPr>
            <w:tcW w:w="6380" w:type="dxa"/>
            <w:vAlign w:val="bottom"/>
          </w:tcPr>
          <w:p>
            <w:pPr>
              <w:spacing w:after="0" w:line="202" w:lineRule="exact"/>
              <w:rPr>
                <w:sz w:val="20"/>
                <w:szCs w:val="20"/>
                <w:color w:val="auto"/>
              </w:rPr>
            </w:pPr>
            <w:r>
              <w:rPr>
                <w:rFonts w:ascii="Arial" w:cs="Arial" w:eastAsia="Arial" w:hAnsi="Arial"/>
                <w:sz w:val="18"/>
                <w:szCs w:val="18"/>
                <w:color w:val="auto"/>
              </w:rPr>
              <w:t>Other countries</w:t>
            </w: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763</w:t>
            </w: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432</w:t>
            </w:r>
          </w:p>
        </w:tc>
        <w:tc>
          <w:tcPr>
            <w:tcW w:w="60" w:type="dxa"/>
            <w:vAlign w:val="bottom"/>
          </w:tcPr>
          <w:p>
            <w:pPr>
              <w:spacing w:after="0"/>
              <w:rPr>
                <w:sz w:val="17"/>
                <w:szCs w:val="17"/>
                <w:color w:val="auto"/>
              </w:rPr>
            </w:pPr>
          </w:p>
        </w:tc>
      </w:tr>
      <w:tr>
        <w:trPr>
          <w:trHeight w:val="27"/>
        </w:trPr>
        <w:tc>
          <w:tcPr>
            <w:tcW w:w="6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3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12,644</w:t>
            </w:r>
          </w:p>
        </w:tc>
        <w:tc>
          <w:tcPr>
            <w:tcW w:w="11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20,538</w:t>
            </w:r>
          </w:p>
        </w:tc>
        <w:tc>
          <w:tcPr>
            <w:tcW w:w="10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w w:val="96"/>
              </w:rPr>
              <w:t>$ 5,027</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7,808</w:t>
            </w:r>
          </w:p>
        </w:tc>
      </w:tr>
      <w:tr>
        <w:trPr>
          <w:trHeight w:val="20"/>
        </w:trPr>
        <w:tc>
          <w:tcPr>
            <w:tcW w:w="6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500" w:firstLine="331"/>
        <w:spacing w:after="0" w:line="275" w:lineRule="auto"/>
        <w:rPr>
          <w:sz w:val="20"/>
          <w:szCs w:val="20"/>
          <w:color w:val="auto"/>
        </w:rPr>
      </w:pPr>
      <w:r>
        <w:rPr>
          <w:rFonts w:ascii="Arial" w:cs="Arial" w:eastAsia="Arial" w:hAnsi="Arial"/>
          <w:sz w:val="17"/>
          <w:szCs w:val="17"/>
          <w:color w:val="auto"/>
        </w:rPr>
        <w:t>Long-lived assets consisting of property, plant and equipment, net of accumulated depreciation, attributed to geographic regions based on their physical location as of December 31, 2016 and 2017, and the three months ended March 31, 2018 were as follows:</w:t>
      </w:r>
    </w:p>
    <w:p>
      <w:pPr>
        <w:spacing w:after="0" w:line="18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8"/>
              </w:rPr>
              <w:t>Year Ended</w:t>
            </w:r>
          </w:p>
        </w:tc>
        <w:tc>
          <w:tcPr>
            <w:tcW w:w="58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31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3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3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60" w:type="dxa"/>
            <w:vAlign w:val="bottom"/>
            <w:tcBorders>
              <w:top w:val="single" w:sz="8" w:color="auto"/>
            </w:tcBorders>
          </w:tcPr>
          <w:p>
            <w:pPr>
              <w:jc w:val="right"/>
              <w:ind w:right="102"/>
              <w:spacing w:after="0" w:line="155" w:lineRule="exact"/>
              <w:rPr>
                <w:sz w:val="20"/>
                <w:szCs w:val="20"/>
                <w:color w:val="auto"/>
              </w:rPr>
            </w:pPr>
            <w:r>
              <w:rPr>
                <w:rFonts w:ascii="Arial" w:cs="Arial" w:eastAsia="Arial" w:hAnsi="Arial"/>
                <w:sz w:val="14"/>
                <w:szCs w:val="14"/>
                <w:b w:val="1"/>
                <w:bCs w:val="1"/>
                <w:color w:val="auto"/>
              </w:rPr>
              <w:t>2016</w:t>
            </w:r>
          </w:p>
        </w:tc>
        <w:tc>
          <w:tcPr>
            <w:tcW w:w="144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jc w:val="right"/>
              <w:ind w:right="477"/>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31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(unaudited)</w:t>
            </w:r>
          </w:p>
        </w:tc>
        <w:tc>
          <w:tcPr>
            <w:tcW w:w="10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Canada</w:t>
            </w:r>
          </w:p>
        </w:tc>
        <w:tc>
          <w:tcPr>
            <w:tcW w:w="3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$19,945</w:t>
            </w:r>
          </w:p>
        </w:tc>
        <w:tc>
          <w:tcPr>
            <w:tcW w:w="16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$39,086</w:t>
            </w:r>
          </w:p>
        </w:tc>
        <w:tc>
          <w:tcPr>
            <w:tcW w:w="9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48,774</w:t>
            </w: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Other countries</w:t>
            </w:r>
          </w:p>
        </w:tc>
        <w:tc>
          <w:tcPr>
            <w:tcW w:w="28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899</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2,210</w:t>
            </w:r>
          </w:p>
        </w:tc>
      </w:tr>
      <w:tr>
        <w:trPr>
          <w:trHeight w:val="27"/>
        </w:trPr>
        <w:tc>
          <w:tcPr>
            <w:tcW w:w="3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1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19,945</w:t>
            </w:r>
          </w:p>
        </w:tc>
        <w:tc>
          <w:tcPr>
            <w:tcW w:w="16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39,985</w:t>
            </w:r>
          </w:p>
        </w:tc>
        <w:tc>
          <w:tcPr>
            <w:tcW w:w="9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50,984</w:t>
            </w:r>
          </w:p>
        </w:tc>
      </w:tr>
      <w:tr>
        <w:trPr>
          <w:trHeight w:val="20"/>
        </w:trPr>
        <w:tc>
          <w:tcPr>
            <w:tcW w:w="3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100" w:type="dxa"/>
            <w:vAlign w:val="bottom"/>
          </w:tcPr>
          <w:p>
            <w:pPr>
              <w:spacing w:after="0"/>
              <w:rPr>
                <w:sz w:val="24"/>
                <w:szCs w:val="24"/>
                <w:color w:val="auto"/>
              </w:rPr>
            </w:pPr>
          </w:p>
        </w:tc>
        <w:tc>
          <w:tcPr>
            <w:tcW w:w="3540" w:type="dxa"/>
            <w:vAlign w:val="bottom"/>
            <w:gridSpan w:val="2"/>
          </w:tcPr>
          <w:p>
            <w:pPr>
              <w:jc w:val="right"/>
              <w:ind w:right="1202"/>
              <w:spacing w:after="0"/>
              <w:rPr>
                <w:sz w:val="20"/>
                <w:szCs w:val="20"/>
                <w:color w:val="auto"/>
              </w:rPr>
            </w:pPr>
            <w:r>
              <w:rPr>
                <w:rFonts w:ascii="Arial" w:cs="Arial" w:eastAsia="Arial" w:hAnsi="Arial"/>
                <w:sz w:val="18"/>
                <w:szCs w:val="18"/>
                <w:color w:val="auto"/>
              </w:rPr>
              <w:t>F-30</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TILRAY, INC.</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of U.S. dollars $, except for per share data)</w:t>
      </w:r>
    </w:p>
    <w:p>
      <w:pPr>
        <w:spacing w:after="0" w:line="144"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The Company had no major customers in 2016 or 2017. Major customers are defined as customers that generate greater than 10% of the Company’s annual revenues.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w:t>
      </w:r>
    </w:p>
    <w:p>
      <w:pPr>
        <w:spacing w:after="0" w:line="126"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Company has evaluated subsequent events from December 31, 2017 through March 16, 2018, the date the consolidated financial statements were issued.</w:t>
      </w:r>
    </w:p>
    <w:p>
      <w:pPr>
        <w:spacing w:after="0" w:line="197"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In February and March 2018, the Company issued 7,794,042 shares of Series A preferred stock at $7.10 ($8.8727 CAD) per share in exchange for cash proceeds of approximately $55,040 ($69,154 CAD) from third-party institutional investors.</w:t>
      </w:r>
    </w:p>
    <w:p>
      <w:pPr>
        <w:spacing w:after="0" w:line="197"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In February 2018, the Company entered into a data licensing agreement and a brand licensing agreement with two wholly-owned subsidiaries of Privateer Holdings.</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February 2018, the Company entered into a corporate services agreement with Privateer Holdings for the provision of certain general administrative and related corporate services. Subsequent events have been evaluated through the date of March 16, 2018, which is the issuance date of the financial statements.</w:t>
      </w:r>
    </w:p>
    <w:p>
      <w:pPr>
        <w:spacing w:after="0" w:line="203"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The Company has evaluated subsequent events from March 31, 2018 through May 30, 2018, the date the unaudited interim condensed consolidated financial statements were issued.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78727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787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00"/>
        <w:spacing w:after="0"/>
        <w:rPr>
          <w:sz w:val="20"/>
          <w:szCs w:val="20"/>
          <w:color w:val="auto"/>
        </w:rPr>
      </w:pPr>
      <w:r>
        <w:rPr>
          <w:rFonts w:ascii="Arial" w:cs="Arial" w:eastAsia="Arial" w:hAnsi="Arial"/>
          <w:sz w:val="25"/>
          <w:szCs w:val="25"/>
          <w:b w:val="1"/>
          <w:bCs w:val="1"/>
          <w:color w:val="FFFFFF"/>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320"/>
        <w:spacing w:after="0"/>
        <w:rPr>
          <w:sz w:val="20"/>
          <w:szCs w:val="20"/>
          <w:color w:val="auto"/>
        </w:rPr>
      </w:pPr>
      <w:r>
        <w:rPr>
          <w:rFonts w:ascii="Arial" w:cs="Arial" w:eastAsia="Arial" w:hAnsi="Arial"/>
          <w:sz w:val="25"/>
          <w:szCs w:val="25"/>
          <w:b w:val="1"/>
          <w:bCs w:val="1"/>
          <w:color w:val="FFFFFF"/>
        </w:rPr>
        <w:t>Class 2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FFFFFF"/>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i w:val="1"/>
          <w:iCs w:val="1"/>
          <w:color w:val="FFFFFF"/>
        </w:rPr>
        <w:t>Sole Book-runner</w:t>
      </w:r>
    </w:p>
    <w:p>
      <w:pPr>
        <w:spacing w:after="0" w:line="194" w:lineRule="exact"/>
        <w:rPr>
          <w:sz w:val="20"/>
          <w:szCs w:val="20"/>
          <w:color w:val="auto"/>
        </w:rPr>
      </w:pPr>
    </w:p>
    <w:p>
      <w:pPr>
        <w:ind w:left="5240"/>
        <w:spacing w:after="0"/>
        <w:rPr>
          <w:sz w:val="20"/>
          <w:szCs w:val="20"/>
          <w:color w:val="auto"/>
        </w:rPr>
      </w:pPr>
      <w:r>
        <w:rPr>
          <w:rFonts w:ascii="Arial" w:cs="Arial" w:eastAsia="Arial" w:hAnsi="Arial"/>
          <w:sz w:val="29"/>
          <w:szCs w:val="29"/>
          <w:b w:val="1"/>
          <w:bCs w:val="1"/>
          <w:color w:val="FFFFFF"/>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20"/>
        <w:spacing w:after="0"/>
        <w:rPr>
          <w:sz w:val="20"/>
          <w:szCs w:val="20"/>
          <w:color w:val="auto"/>
        </w:rPr>
      </w:pPr>
      <w:r>
        <w:rPr>
          <w:rFonts w:ascii="Arial" w:cs="Arial" w:eastAsia="Arial" w:hAnsi="Arial"/>
          <w:sz w:val="22"/>
          <w:szCs w:val="22"/>
          <w:color w:val="FFFFFF"/>
        </w:rPr>
        <w: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60"/>
        <w:spacing w:after="0" w:line="263" w:lineRule="auto"/>
        <w:rPr>
          <w:sz w:val="20"/>
          <w:szCs w:val="20"/>
          <w:color w:val="auto"/>
        </w:rPr>
      </w:pPr>
      <w:r>
        <w:rPr>
          <w:rFonts w:ascii="Arial" w:cs="Arial" w:eastAsia="Arial" w:hAnsi="Arial"/>
          <w:sz w:val="14"/>
          <w:szCs w:val="14"/>
          <w:b w:val="1"/>
          <w:bCs w:val="1"/>
          <w:color w:val="FFFFFF"/>
        </w:rPr>
        <w:t>Through and including ,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ectPr>
          <w:pgSz w:w="11900" w:h="16838" w:orient="portrait"/>
          <w:cols w:equalWidth="0" w:num="1">
            <w:col w:w="10880"/>
          </w:cols>
          <w:pgMar w:left="240" w:top="460" w:right="7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9"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following table sets forth all costs and expenses, other than underwriting discount, payable by us in connection with the sale of the shares of Class 2 common stock being registered. All amounts shown are estimates except for the SEC registration fee, the Financial Industry Regulatory Authority, Inc., or FINRA, filing fee and the initial listing fee of the Nasdaq Global Select Market.</w:t>
      </w:r>
    </w:p>
    <w:p>
      <w:pPr>
        <w:sectPr>
          <w:pgSz w:w="11900" w:h="16838" w:orient="portrait"/>
          <w:cols w:equalWidth="0" w:num="1">
            <w:col w:w="11220"/>
          </w:cols>
          <w:pgMar w:left="240" w:top="460" w:right="439" w:bottom="1440" w:gutter="0" w:footer="0" w:header="0"/>
        </w:sectPr>
      </w:pPr>
    </w:p>
    <w:p>
      <w:pPr>
        <w:spacing w:after="0" w:line="3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FINRA filing fee</w:t>
      </w:r>
    </w:p>
    <w:p>
      <w:pPr>
        <w:ind w:left="540"/>
        <w:spacing w:after="0" w:line="234" w:lineRule="auto"/>
        <w:rPr>
          <w:sz w:val="20"/>
          <w:szCs w:val="20"/>
          <w:color w:val="auto"/>
        </w:rPr>
      </w:pPr>
      <w:r>
        <w:rPr>
          <w:rFonts w:ascii="Arial" w:cs="Arial" w:eastAsia="Arial" w:hAnsi="Arial"/>
          <w:sz w:val="18"/>
          <w:szCs w:val="18"/>
          <w:color w:val="auto"/>
        </w:rPr>
        <w:t>Nasdaq initial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Legal fees and expenses</w:t>
      </w:r>
    </w:p>
    <w:p>
      <w:pPr>
        <w:ind w:left="540"/>
        <w:spacing w:after="0" w:line="235"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Printing and engraving expenses</w:t>
      </w:r>
    </w:p>
    <w:p>
      <w:pPr>
        <w:ind w:left="540"/>
        <w:spacing w:after="0"/>
        <w:rPr>
          <w:sz w:val="20"/>
          <w:szCs w:val="20"/>
          <w:color w:val="auto"/>
        </w:rPr>
      </w:pPr>
      <w:r>
        <w:rPr>
          <w:rFonts w:ascii="Arial" w:cs="Arial" w:eastAsia="Arial" w:hAnsi="Arial"/>
          <w:sz w:val="17"/>
          <w:szCs w:val="17"/>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-123190</wp:posOffset>
            </wp:positionV>
            <wp:extent cx="657796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Miscellaneous expenses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77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118110</wp:posOffset>
            </wp:positionV>
            <wp:extent cx="181800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5" w:lineRule="exact"/>
        <w:rPr>
          <w:sz w:val="20"/>
          <w:szCs w:val="20"/>
          <w:color w:val="auto"/>
        </w:rPr>
      </w:pPr>
    </w:p>
    <w:p>
      <w:pPr>
        <w:ind w:left="520" w:hanging="316"/>
        <w:spacing w:after="0"/>
        <w:tabs>
          <w:tab w:leader="none" w:pos="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
        <w:spacing w:after="0"/>
        <w:rPr>
          <w:sz w:val="20"/>
          <w:szCs w:val="20"/>
          <w:color w:val="auto"/>
        </w:rPr>
      </w:pPr>
      <w:r>
        <w:rPr>
          <w:rFonts w:ascii="Arial" w:cs="Arial" w:eastAsia="Arial" w:hAnsi="Arial"/>
          <w:sz w:val="14"/>
          <w:szCs w:val="14"/>
          <w:b w:val="1"/>
          <w:bCs w:val="1"/>
          <w:u w:val="single" w:color="auto"/>
          <w:color w:val="auto"/>
        </w:rPr>
        <w:t>Amount</w:t>
      </w:r>
    </w:p>
    <w:p>
      <w:pPr>
        <w:spacing w:after="0" w:line="27" w:lineRule="exact"/>
        <w:rPr>
          <w:sz w:val="20"/>
          <w:szCs w:val="20"/>
          <w:color w:val="auto"/>
        </w:rPr>
      </w:pPr>
    </w:p>
    <w:p>
      <w:pPr>
        <w:ind w:left="562" w:hanging="562"/>
        <w:spacing w:after="0"/>
        <w:tabs>
          <w:tab w:leader="none" w:pos="562" w:val="left"/>
        </w:tabs>
        <w:numPr>
          <w:ilvl w:val="0"/>
          <w:numId w:val="85"/>
        </w:numPr>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562"/>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562"/>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562"/>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562"/>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562"/>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562"/>
        <w:spacing w:after="0"/>
        <w:rPr>
          <w:rFonts w:ascii="Arial" w:cs="Arial" w:eastAsia="Arial" w:hAnsi="Arial"/>
          <w:sz w:val="15"/>
          <w:szCs w:val="15"/>
          <w:color w:val="auto"/>
        </w:rPr>
      </w:pP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562"/>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3517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37" w:lineRule="exact"/>
        <w:rPr>
          <w:sz w:val="20"/>
          <w:szCs w:val="20"/>
          <w:color w:val="auto"/>
        </w:rPr>
      </w:pPr>
    </w:p>
    <w:p>
      <w:pPr>
        <w:ind w:left="562" w:hanging="562"/>
        <w:spacing w:after="0"/>
        <w:tabs>
          <w:tab w:leader="none" w:pos="562" w:val="left"/>
        </w:tabs>
        <w:numPr>
          <w:ilvl w:val="0"/>
          <w:numId w:val="86"/>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3517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3517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9498" w:space="720"/>
            <w:col w:w="1002"/>
          </w:cols>
          <w:pgMar w:left="240" w:top="460" w:right="439" w:bottom="1440" w:gutter="0" w:footer="0" w:header="0"/>
          <w:type w:val="continuous"/>
        </w:sect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closing of this offering provides for indemnification of our directors, officers, employees and other agents to the maximum extent permitted by the Delaware General Corporation Law, and our amended and restated bylaws that will be in effect upon the closing of this offering provide for indemnification of our directors, officers, employees and other agents to the maximum extent permitted by the Delaware General Corporation Law.</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one of our directors, officers, employees or agents, provided that such director or officer acted in good faith and in a manner that the director or officer reasonably believed to be in, or not opposed to, our best interest. At present, there is no pending litigation or proceeding involving one of our directors or officers regarding which indemnification is sought, nor is the registrant aware of any threatened litigation that may result in claims for indemnification.</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60" w:right="4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underwriters are obligated, under certain circumstances, pursuant to the underwriting agreement to be filed as Exhibit 1.1 hereto, to indemnify us and our officers and directors against liabilities under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sets forth information regarding all unregistered securities issued and sold by us since January 1, 2015:</w:t>
      </w:r>
    </w:p>
    <w:p>
      <w:pPr>
        <w:spacing w:after="0" w:line="239" w:lineRule="exact"/>
        <w:rPr>
          <w:sz w:val="20"/>
          <w:szCs w:val="20"/>
          <w:color w:val="auto"/>
        </w:rPr>
      </w:pPr>
    </w:p>
    <w:p>
      <w:pPr>
        <w:ind w:left="520" w:right="280" w:hanging="316"/>
        <w:spacing w:after="0" w:line="246"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January 2018, we issued an aggregate of 75,000,000 shares of our Class 1 common stock to one accredited investor, Privateer Holdings, in exchange for the contribution of all of the outstanding equity of Decatur.</w:t>
      </w:r>
    </w:p>
    <w:p>
      <w:pPr>
        <w:spacing w:after="0" w:line="21" w:lineRule="exact"/>
        <w:rPr>
          <w:rFonts w:ascii="Arial" w:cs="Arial" w:eastAsia="Arial" w:hAnsi="Arial"/>
          <w:sz w:val="18"/>
          <w:szCs w:val="18"/>
          <w:color w:val="auto"/>
        </w:rPr>
      </w:pPr>
    </w:p>
    <w:p>
      <w:pPr>
        <w:ind w:left="520" w:right="100" w:hanging="316"/>
        <w:spacing w:after="0" w:line="246"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February and March 2018, we issued an aggregate of 7,794,042 shares of our Series A preferred stock to 12 accredited investors at a purchase price of C$8.8727 per share, for an aggregate purchase price of C$69.2 million or approximately $55.1 million.</w:t>
      </w:r>
    </w:p>
    <w:p>
      <w:pPr>
        <w:spacing w:after="0" w:line="21" w:lineRule="exact"/>
        <w:rPr>
          <w:rFonts w:ascii="Arial" w:cs="Arial" w:eastAsia="Arial" w:hAnsi="Arial"/>
          <w:sz w:val="18"/>
          <w:szCs w:val="18"/>
          <w:color w:val="auto"/>
        </w:rPr>
      </w:pPr>
    </w:p>
    <w:p>
      <w:pPr>
        <w:ind w:left="520" w:right="460" w:hanging="316"/>
        <w:spacing w:after="0" w:line="246" w:lineRule="auto"/>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May 2018, we granted (i) stock options to purchase up to an aggregate of 6,094,019 shares of Class 2 common stock and (ii) 1,085,000 restricted stock units under our Amended and Restated 2018 Equity Incentive Plan.</w:t>
      </w:r>
    </w:p>
    <w:p>
      <w:pPr>
        <w:spacing w:after="0" w:line="197"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The offers, sales and issuances of the securities described in paragraphs 1 and 2 above were exempt from registration under Section 4(a)(2) of the Securities Act (or Regulation D promulgated thereunder) in that the transactions were by an issuer not involving any public offering. The offers, sales and issuances of the securities described paragraph 3 above were exempt from registration under either</w:t>
      </w:r>
    </w:p>
    <w:p>
      <w:pPr>
        <w:spacing w:after="0" w:line="2" w:lineRule="exact"/>
        <w:rPr>
          <w:sz w:val="20"/>
          <w:szCs w:val="20"/>
          <w:color w:val="auto"/>
        </w:rPr>
      </w:pPr>
    </w:p>
    <w:p>
      <w:pPr>
        <w:ind w:left="200" w:right="260" w:firstLine="4"/>
        <w:spacing w:after="0" w:line="246" w:lineRule="auto"/>
        <w:tabs>
          <w:tab w:leader="none" w:pos="47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Section 4(2) of the Securities Act in that the transactions were by an issuer not involving any public offering or under (b) under compensatory benefit plans and contracts relating to compensation as provided under Rule 701 promulgated under the Securities Act.</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did not pay or give, directly or indirectly, any commission or other remuneration, including the underwriting discount, in connection with any of the issuances of securities listed above. The recipients of the securities in each of these transactions represented their intentions to acquire the securities for investment only and not with a view to or for sale in connection with any distribution thereof, and appropriate legends were placed upon the share certificates issued in these transactions. All recipients had adequate access, through their employment or other relationship with us or through other access to information provided by us, to information about us. The sales of these securities were made without any general solicitation or advertising.</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Exhibits.</w:t>
      </w:r>
    </w:p>
    <w:p>
      <w:pPr>
        <w:spacing w:after="0" w:line="32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760" w:type="dxa"/>
            <w:vAlign w:val="bottom"/>
          </w:tcPr>
          <w:p>
            <w:pPr>
              <w:jc w:val="center"/>
              <w:ind w:right="2470"/>
              <w:spacing w:after="0"/>
              <w:rPr>
                <w:sz w:val="20"/>
                <w:szCs w:val="20"/>
                <w:color w:val="auto"/>
              </w:rPr>
            </w:pPr>
            <w:r>
              <w:rPr>
                <w:rFonts w:ascii="Arial" w:cs="Arial" w:eastAsia="Arial" w:hAnsi="Arial"/>
                <w:sz w:val="18"/>
                <w:szCs w:val="18"/>
                <w:b w:val="1"/>
                <w:bCs w:val="1"/>
                <w:color w:val="auto"/>
                <w:w w:val="99"/>
              </w:rPr>
              <w:t>Exhibit Index</w:t>
            </w:r>
          </w:p>
        </w:tc>
      </w:tr>
      <w:tr>
        <w:trPr>
          <w:trHeight w:val="513"/>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8940" w:type="dxa"/>
            <w:vAlign w:val="bottom"/>
            <w:gridSpan w:val="3"/>
          </w:tcPr>
          <w:p>
            <w:pPr>
              <w:ind w:left="46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8940" w:type="dxa"/>
            <w:vAlign w:val="bottom"/>
            <w:gridSpan w:val="3"/>
          </w:tcPr>
          <w:p>
            <w:pPr>
              <w:ind w:left="460"/>
              <w:spacing w:after="0"/>
              <w:rPr>
                <w:sz w:val="20"/>
                <w:szCs w:val="20"/>
                <w:color w:val="auto"/>
              </w:rPr>
            </w:pPr>
            <w:r>
              <w:rPr>
                <w:rFonts w:ascii="Arial" w:cs="Arial" w:eastAsia="Arial" w:hAnsi="Arial"/>
                <w:sz w:val="18"/>
                <w:szCs w:val="18"/>
                <w:color w:val="auto"/>
              </w:rPr>
              <w:t>Form of Underwriting Agreement.</w:t>
            </w: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8940" w:type="dxa"/>
            <w:vAlign w:val="bottom"/>
            <w:gridSpan w:val="3"/>
          </w:tcPr>
          <w:p>
            <w:pPr>
              <w:ind w:left="460"/>
              <w:spacing w:after="0"/>
              <w:rPr>
                <w:sz w:val="20"/>
                <w:szCs w:val="20"/>
                <w:color w:val="auto"/>
              </w:rPr>
            </w:pPr>
            <w:r>
              <w:rPr>
                <w:rFonts w:ascii="Arial" w:cs="Arial" w:eastAsia="Arial" w:hAnsi="Arial"/>
                <w:sz w:val="18"/>
                <w:szCs w:val="18"/>
                <w:color w:val="auto"/>
              </w:rPr>
              <w:t>Amended and Restated Certificate of Incorporation, as currently in effect.</w:t>
            </w: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8940" w:type="dxa"/>
            <w:vAlign w:val="bottom"/>
            <w:gridSpan w:val="3"/>
          </w:tcPr>
          <w:p>
            <w:pPr>
              <w:ind w:left="460"/>
              <w:spacing w:after="0"/>
              <w:rPr>
                <w:sz w:val="20"/>
                <w:szCs w:val="20"/>
                <w:color w:val="auto"/>
              </w:rPr>
            </w:pPr>
            <w:r>
              <w:rPr>
                <w:rFonts w:ascii="Arial" w:cs="Arial" w:eastAsia="Arial" w:hAnsi="Arial"/>
                <w:sz w:val="18"/>
                <w:szCs w:val="18"/>
                <w:color w:val="auto"/>
                <w:w w:val="99"/>
              </w:rPr>
              <w:t>Form of Amended and Restated Certificate of Incorporation to be effective upon the closing of this offering.</w:t>
            </w: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4"/>
                <w:szCs w:val="24"/>
                <w:color w:val="auto"/>
              </w:rPr>
            </w:pPr>
          </w:p>
        </w:tc>
        <w:tc>
          <w:tcPr>
            <w:tcW w:w="8940" w:type="dxa"/>
            <w:vAlign w:val="bottom"/>
            <w:gridSpan w:val="3"/>
          </w:tcPr>
          <w:p>
            <w:pPr>
              <w:ind w:left="460"/>
              <w:spacing w:after="0"/>
              <w:rPr>
                <w:sz w:val="20"/>
                <w:szCs w:val="20"/>
                <w:color w:val="auto"/>
              </w:rPr>
            </w:pPr>
            <w:r>
              <w:rPr>
                <w:rFonts w:ascii="Arial" w:cs="Arial" w:eastAsia="Arial" w:hAnsi="Arial"/>
                <w:sz w:val="18"/>
                <w:szCs w:val="18"/>
                <w:color w:val="auto"/>
              </w:rPr>
              <w:t>Bylaws, as currently in effect.</w:t>
            </w: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4"/>
                <w:szCs w:val="24"/>
                <w:color w:val="auto"/>
              </w:rPr>
            </w:pPr>
          </w:p>
        </w:tc>
        <w:tc>
          <w:tcPr>
            <w:tcW w:w="8940" w:type="dxa"/>
            <w:vAlign w:val="bottom"/>
            <w:gridSpan w:val="3"/>
          </w:tcPr>
          <w:p>
            <w:pPr>
              <w:ind w:left="460"/>
              <w:spacing w:after="0"/>
              <w:rPr>
                <w:sz w:val="20"/>
                <w:szCs w:val="20"/>
                <w:color w:val="auto"/>
              </w:rPr>
            </w:pPr>
            <w:r>
              <w:rPr>
                <w:rFonts w:ascii="Arial" w:cs="Arial" w:eastAsia="Arial" w:hAnsi="Arial"/>
                <w:sz w:val="18"/>
                <w:szCs w:val="18"/>
                <w:color w:val="auto"/>
              </w:rPr>
              <w:t>Form of Amended and Restated Bylaws to be effective upon the closing of this offering.</w:t>
            </w:r>
          </w:p>
        </w:tc>
      </w:tr>
      <w:tr>
        <w:trPr>
          <w:trHeight w:val="35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760" w:type="dxa"/>
            <w:vAlign w:val="bottom"/>
          </w:tcPr>
          <w:p>
            <w:pPr>
              <w:jc w:val="center"/>
              <w:ind w:right="2490"/>
              <w:spacing w:after="0"/>
              <w:rPr>
                <w:sz w:val="20"/>
                <w:szCs w:val="20"/>
                <w:color w:val="auto"/>
              </w:rPr>
            </w:pPr>
            <w:r>
              <w:rPr>
                <w:rFonts w:ascii="Arial" w:cs="Arial" w:eastAsia="Arial" w:hAnsi="Arial"/>
                <w:sz w:val="18"/>
                <w:szCs w:val="18"/>
                <w:color w:val="auto"/>
                <w:w w:val="99"/>
              </w:rPr>
              <w:t>II-2</w:t>
            </w:r>
          </w:p>
        </w:tc>
      </w:tr>
    </w:tbl>
    <w:p>
      <w:pPr>
        <w:sectPr>
          <w:pgSz w:w="11900" w:h="16838" w:orient="portrait"/>
          <w:cols w:equalWidth="0" w:num="1">
            <w:col w:w="11140"/>
          </w:cols>
          <w:pgMar w:left="240" w:top="460"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7060" w:type="dxa"/>
            <w:vAlign w:val="bottom"/>
            <w:gridSpan w:val="3"/>
          </w:tcPr>
          <w:p>
            <w:pPr>
              <w:ind w:left="460"/>
              <w:spacing w:after="0"/>
              <w:rPr>
                <w:sz w:val="20"/>
                <w:szCs w:val="20"/>
                <w:color w:val="auto"/>
              </w:rPr>
            </w:pPr>
            <w:r>
              <w:rPr>
                <w:rFonts w:ascii="Arial" w:cs="Arial" w:eastAsia="Arial" w:hAnsi="Arial"/>
                <w:sz w:val="14"/>
                <w:szCs w:val="14"/>
                <w:b w:val="1"/>
                <w:bCs w:val="1"/>
                <w:color w:val="auto"/>
              </w:rPr>
              <w:t>Description of Document</w:t>
            </w:r>
          </w:p>
        </w:tc>
        <w:tc>
          <w:tcPr>
            <w:tcW w:w="26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4"/>
                <w:szCs w:val="24"/>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Form of Class 2 Common Stock Certificate.</w:t>
            </w:r>
          </w:p>
        </w:tc>
        <w:tc>
          <w:tcPr>
            <w:tcW w:w="2620" w:type="dxa"/>
            <w:vAlign w:val="bottom"/>
          </w:tcPr>
          <w:p>
            <w:pPr>
              <w:spacing w:after="0"/>
              <w:rPr>
                <w:sz w:val="24"/>
                <w:szCs w:val="24"/>
                <w:color w:val="auto"/>
              </w:rPr>
            </w:pP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24"/>
                <w:szCs w:val="24"/>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Opinion of Cooley LLP.</w:t>
            </w:r>
          </w:p>
        </w:tc>
        <w:tc>
          <w:tcPr>
            <w:tcW w:w="2620" w:type="dxa"/>
            <w:vAlign w:val="bottom"/>
          </w:tcPr>
          <w:p>
            <w:pPr>
              <w:spacing w:after="0"/>
              <w:rPr>
                <w:sz w:val="24"/>
                <w:szCs w:val="24"/>
                <w:color w:val="auto"/>
              </w:rPr>
            </w:pP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10.1*</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rPr>
              <w:t>Investor Rights Agreement by and between Registrant and certain of its stockholders dated February 5, 2018.</w:t>
            </w:r>
          </w:p>
        </w:tc>
      </w:tr>
      <w:tr>
        <w:trPr>
          <w:trHeight w:val="311"/>
        </w:trPr>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w w:val="95"/>
              </w:rPr>
              <w:t>10.2*+</w:t>
            </w:r>
          </w:p>
        </w:tc>
        <w:tc>
          <w:tcPr>
            <w:tcW w:w="480" w:type="dxa"/>
            <w:vAlign w:val="bottom"/>
          </w:tcPr>
          <w:p>
            <w:pPr>
              <w:spacing w:after="0"/>
              <w:rPr>
                <w:sz w:val="24"/>
                <w:szCs w:val="24"/>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Amended and Restated 2018 Equity Incentive Plan.</w:t>
            </w:r>
          </w:p>
        </w:tc>
        <w:tc>
          <w:tcPr>
            <w:tcW w:w="2620" w:type="dxa"/>
            <w:vAlign w:val="bottom"/>
          </w:tcPr>
          <w:p>
            <w:pPr>
              <w:spacing w:after="0"/>
              <w:rPr>
                <w:sz w:val="24"/>
                <w:szCs w:val="24"/>
                <w:color w:val="auto"/>
              </w:rPr>
            </w:pPr>
          </w:p>
        </w:tc>
      </w:tr>
      <w:tr>
        <w:trPr>
          <w:trHeight w:val="296"/>
        </w:trPr>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w w:val="95"/>
              </w:rPr>
              <w:t>10.3*+</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rPr>
              <w:t>Form of Stock Option Agreement, Notice of Exercise and Stock Option Grant Notice under the Amended and</w:t>
            </w: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Restated 2018 Equity Incentive Plan.</w:t>
            </w:r>
          </w:p>
        </w:tc>
        <w:tc>
          <w:tcPr>
            <w:tcW w:w="2620" w:type="dxa"/>
            <w:vAlign w:val="bottom"/>
          </w:tcPr>
          <w:p>
            <w:pPr>
              <w:spacing w:after="0"/>
              <w:rPr>
                <w:sz w:val="18"/>
                <w:szCs w:val="18"/>
                <w:color w:val="auto"/>
              </w:rPr>
            </w:pPr>
          </w:p>
        </w:tc>
      </w:tr>
      <w:tr>
        <w:trPr>
          <w:trHeight w:val="311"/>
        </w:trPr>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w w:val="95"/>
              </w:rPr>
              <w:t>10.4*+</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rPr>
              <w:t>Form of Restricted Stock Unit Award Agreement under the Amended and Restated 2018 Equity Incentive Plan.</w:t>
            </w: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10.5*</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rPr>
              <w:t>Form of Indemnity Agreement by and between the Registrant and its directors and officers.</w:t>
            </w:r>
          </w:p>
        </w:tc>
      </w:tr>
      <w:tr>
        <w:trPr>
          <w:trHeight w:val="311"/>
        </w:trPr>
        <w:tc>
          <w:tcPr>
            <w:tcW w:w="760" w:type="dxa"/>
            <w:vAlign w:val="bottom"/>
            <w:gridSpan w:val="2"/>
          </w:tcPr>
          <w:p>
            <w:pPr>
              <w:jc w:val="right"/>
              <w:ind w:right="150"/>
              <w:spacing w:after="0"/>
              <w:rPr>
                <w:sz w:val="20"/>
                <w:szCs w:val="20"/>
                <w:color w:val="auto"/>
              </w:rPr>
            </w:pPr>
            <w:r>
              <w:rPr>
                <w:rFonts w:ascii="Arial" w:cs="Arial" w:eastAsia="Arial" w:hAnsi="Arial"/>
                <w:sz w:val="18"/>
                <w:szCs w:val="18"/>
                <w:color w:val="auto"/>
                <w:w w:val="95"/>
              </w:rPr>
              <w:t>10.6*+</w:t>
            </w:r>
          </w:p>
        </w:tc>
        <w:tc>
          <w:tcPr>
            <w:tcW w:w="480" w:type="dxa"/>
            <w:vAlign w:val="bottom"/>
          </w:tcPr>
          <w:p>
            <w:pPr>
              <w:spacing w:after="0"/>
              <w:rPr>
                <w:sz w:val="24"/>
                <w:szCs w:val="24"/>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Employment Terms by and between the Registrant and Brendan Kennedy dated</w:t>
            </w:r>
          </w:p>
        </w:tc>
        <w:tc>
          <w:tcPr>
            <w:tcW w:w="2620" w:type="dxa"/>
            <w:vAlign w:val="bottom"/>
          </w:tcPr>
          <w:p>
            <w:pPr>
              <w:jc w:val="right"/>
              <w:ind w:right="1750"/>
              <w:spacing w:after="0"/>
              <w:rPr>
                <w:sz w:val="20"/>
                <w:szCs w:val="20"/>
                <w:color w:val="auto"/>
              </w:rPr>
            </w:pPr>
            <w:r>
              <w:rPr>
                <w:rFonts w:ascii="Arial" w:cs="Arial" w:eastAsia="Arial" w:hAnsi="Arial"/>
                <w:sz w:val="18"/>
                <w:szCs w:val="18"/>
                <w:color w:val="auto"/>
              </w:rPr>
              <w:t>, 2018.</w:t>
            </w: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10.7*</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rPr>
              <w:t>Credit Facility Agreement between Lafitte Ventures, Ltd. and Privateer Holdings, Inc., dated January 1, 2016.</w:t>
            </w:r>
          </w:p>
        </w:tc>
      </w:tr>
      <w:tr>
        <w:trPr>
          <w:trHeight w:val="296"/>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10.8*</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w w:val="99"/>
              </w:rPr>
              <w:t>Clarification of Credit Facility Agreement between Lafitte Ventures, Ltd. and Privateer Holdings, Inc., dated March 5,</w:t>
            </w: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gridSpan w:val="2"/>
          </w:tcPr>
          <w:p>
            <w:pPr>
              <w:ind w:left="460"/>
              <w:spacing w:after="0"/>
              <w:rPr>
                <w:sz w:val="20"/>
                <w:szCs w:val="20"/>
                <w:color w:val="auto"/>
              </w:rPr>
            </w:pPr>
            <w:r>
              <w:rPr>
                <w:rFonts w:ascii="Arial" w:cs="Arial" w:eastAsia="Arial" w:hAnsi="Arial"/>
                <w:sz w:val="18"/>
                <w:szCs w:val="18"/>
                <w:color w:val="auto"/>
              </w:rPr>
              <w:t>2018.</w:t>
            </w:r>
          </w:p>
        </w:tc>
        <w:tc>
          <w:tcPr>
            <w:tcW w:w="48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96"/>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10.9*</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rPr>
              <w:t>Construction Facility Agreement between Privateer Holdings, Inc. and Bouchard Ventures, Ltd., dated November 1,</w:t>
            </w: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gridSpan w:val="2"/>
          </w:tcPr>
          <w:p>
            <w:pPr>
              <w:ind w:left="460"/>
              <w:spacing w:after="0"/>
              <w:rPr>
                <w:sz w:val="20"/>
                <w:szCs w:val="20"/>
                <w:color w:val="auto"/>
              </w:rPr>
            </w:pPr>
            <w:r>
              <w:rPr>
                <w:rFonts w:ascii="Arial" w:cs="Arial" w:eastAsia="Arial" w:hAnsi="Arial"/>
                <w:sz w:val="18"/>
                <w:szCs w:val="18"/>
                <w:color w:val="auto"/>
              </w:rPr>
              <w:t>2017.</w:t>
            </w:r>
          </w:p>
        </w:tc>
        <w:tc>
          <w:tcPr>
            <w:tcW w:w="48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96"/>
        </w:trPr>
        <w:tc>
          <w:tcPr>
            <w:tcW w:w="760" w:type="dxa"/>
            <w:vAlign w:val="bottom"/>
            <w:gridSpan w:val="2"/>
          </w:tcPr>
          <w:p>
            <w:pPr>
              <w:spacing w:after="0"/>
              <w:rPr>
                <w:sz w:val="20"/>
                <w:szCs w:val="20"/>
                <w:color w:val="auto"/>
              </w:rPr>
            </w:pPr>
            <w:r>
              <w:rPr>
                <w:rFonts w:ascii="Arial" w:cs="Arial" w:eastAsia="Arial" w:hAnsi="Arial"/>
                <w:sz w:val="18"/>
                <w:szCs w:val="18"/>
                <w:color w:val="auto"/>
              </w:rPr>
              <w:t>10.10*</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rPr>
              <w:t>Corporate Services Terms and Conditions between the Registrant and Privateer Holdings, Inc., dated February 5,</w:t>
            </w: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gridSpan w:val="2"/>
          </w:tcPr>
          <w:p>
            <w:pPr>
              <w:ind w:left="460"/>
              <w:spacing w:after="0"/>
              <w:rPr>
                <w:sz w:val="20"/>
                <w:szCs w:val="20"/>
                <w:color w:val="auto"/>
              </w:rPr>
            </w:pPr>
            <w:r>
              <w:rPr>
                <w:rFonts w:ascii="Arial" w:cs="Arial" w:eastAsia="Arial" w:hAnsi="Arial"/>
                <w:sz w:val="18"/>
                <w:szCs w:val="18"/>
                <w:color w:val="auto"/>
              </w:rPr>
              <w:t>2018.</w:t>
            </w:r>
          </w:p>
        </w:tc>
        <w:tc>
          <w:tcPr>
            <w:tcW w:w="48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311"/>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480" w:type="dxa"/>
            <w:vAlign w:val="bottom"/>
          </w:tcPr>
          <w:p>
            <w:pPr>
              <w:spacing w:after="0"/>
              <w:rPr>
                <w:sz w:val="24"/>
                <w:szCs w:val="24"/>
                <w:color w:val="auto"/>
              </w:rPr>
            </w:pPr>
          </w:p>
        </w:tc>
        <w:tc>
          <w:tcPr>
            <w:tcW w:w="9680" w:type="dxa"/>
            <w:vAlign w:val="bottom"/>
            <w:gridSpan w:val="4"/>
          </w:tcPr>
          <w:p>
            <w:pPr>
              <w:ind w:left="460"/>
              <w:spacing w:after="0"/>
              <w:rPr>
                <w:sz w:val="20"/>
                <w:szCs w:val="20"/>
                <w:color w:val="auto"/>
              </w:rPr>
            </w:pPr>
            <w:r>
              <w:rPr>
                <w:rFonts w:ascii="Arial" w:cs="Arial" w:eastAsia="Arial" w:hAnsi="Arial"/>
                <w:sz w:val="18"/>
                <w:szCs w:val="18"/>
                <w:color w:val="auto"/>
                <w:w w:val="99"/>
              </w:rPr>
              <w:t>Trademark License Terms &amp; Conditions between Docklight LLC and High Park Company, dated February 13, 2018.</w:t>
            </w: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21.1*</w:t>
            </w:r>
          </w:p>
        </w:tc>
        <w:tc>
          <w:tcPr>
            <w:tcW w:w="480" w:type="dxa"/>
            <w:vAlign w:val="bottom"/>
          </w:tcPr>
          <w:p>
            <w:pPr>
              <w:spacing w:after="0"/>
              <w:rPr>
                <w:sz w:val="24"/>
                <w:szCs w:val="24"/>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Subsidiaries of Registrant.</w:t>
            </w:r>
          </w:p>
        </w:tc>
        <w:tc>
          <w:tcPr>
            <w:tcW w:w="2620" w:type="dxa"/>
            <w:vAlign w:val="bottom"/>
          </w:tcPr>
          <w:p>
            <w:pPr>
              <w:spacing w:after="0"/>
              <w:rPr>
                <w:sz w:val="24"/>
                <w:szCs w:val="24"/>
                <w:color w:val="auto"/>
              </w:rPr>
            </w:pP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23.1*</w:t>
            </w:r>
          </w:p>
        </w:tc>
        <w:tc>
          <w:tcPr>
            <w:tcW w:w="480" w:type="dxa"/>
            <w:vAlign w:val="bottom"/>
          </w:tcPr>
          <w:p>
            <w:pPr>
              <w:spacing w:after="0"/>
              <w:rPr>
                <w:sz w:val="24"/>
                <w:szCs w:val="24"/>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Consent of Deloitte LLP, Independent Registered Public Accounting Firm.</w:t>
            </w:r>
          </w:p>
        </w:tc>
        <w:tc>
          <w:tcPr>
            <w:tcW w:w="2620" w:type="dxa"/>
            <w:vAlign w:val="bottom"/>
          </w:tcPr>
          <w:p>
            <w:pPr>
              <w:spacing w:after="0"/>
              <w:rPr>
                <w:sz w:val="24"/>
                <w:szCs w:val="24"/>
                <w:color w:val="auto"/>
              </w:rPr>
            </w:pP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23.2*</w:t>
            </w:r>
          </w:p>
        </w:tc>
        <w:tc>
          <w:tcPr>
            <w:tcW w:w="480" w:type="dxa"/>
            <w:vAlign w:val="bottom"/>
          </w:tcPr>
          <w:p>
            <w:pPr>
              <w:spacing w:after="0"/>
              <w:rPr>
                <w:sz w:val="24"/>
                <w:szCs w:val="24"/>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Consent of Cooley LLP (reference is made to Exhibit 5.1).</w:t>
            </w:r>
          </w:p>
        </w:tc>
        <w:tc>
          <w:tcPr>
            <w:tcW w:w="2620" w:type="dxa"/>
            <w:vAlign w:val="bottom"/>
          </w:tcPr>
          <w:p>
            <w:pPr>
              <w:spacing w:after="0"/>
              <w:rPr>
                <w:sz w:val="24"/>
                <w:szCs w:val="24"/>
                <w:color w:val="auto"/>
              </w:rPr>
            </w:pPr>
          </w:p>
        </w:tc>
      </w:tr>
      <w:tr>
        <w:trPr>
          <w:trHeight w:val="31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24.1*</w:t>
            </w:r>
          </w:p>
        </w:tc>
        <w:tc>
          <w:tcPr>
            <w:tcW w:w="480" w:type="dxa"/>
            <w:vAlign w:val="bottom"/>
          </w:tcPr>
          <w:p>
            <w:pPr>
              <w:spacing w:after="0"/>
              <w:rPr>
                <w:sz w:val="24"/>
                <w:szCs w:val="24"/>
                <w:color w:val="auto"/>
              </w:rPr>
            </w:pPr>
          </w:p>
        </w:tc>
        <w:tc>
          <w:tcPr>
            <w:tcW w:w="7060" w:type="dxa"/>
            <w:vAlign w:val="bottom"/>
            <w:gridSpan w:val="3"/>
          </w:tcPr>
          <w:p>
            <w:pPr>
              <w:ind w:left="460"/>
              <w:spacing w:after="0"/>
              <w:rPr>
                <w:sz w:val="20"/>
                <w:szCs w:val="20"/>
                <w:color w:val="auto"/>
              </w:rPr>
            </w:pPr>
            <w:r>
              <w:rPr>
                <w:rFonts w:ascii="Arial" w:cs="Arial" w:eastAsia="Arial" w:hAnsi="Arial"/>
                <w:sz w:val="18"/>
                <w:szCs w:val="18"/>
                <w:color w:val="auto"/>
              </w:rPr>
              <w:t>Power of Attorney (reference is made to the signature page hereto).</w:t>
            </w:r>
          </w:p>
        </w:tc>
        <w:tc>
          <w:tcPr>
            <w:tcW w:w="26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0" w:lineRule="exact"/>
        <w:rPr>
          <w:sz w:val="20"/>
          <w:szCs w:val="20"/>
          <w:color w:val="auto"/>
        </w:rPr>
      </w:pPr>
    </w:p>
    <w:p>
      <w:pPr>
        <w:ind w:left="520" w:hanging="316"/>
        <w:spacing w:after="0"/>
        <w:tabs>
          <w:tab w:leader="none" w:pos="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To be filed by amendment.</w:t>
      </w:r>
    </w:p>
    <w:p>
      <w:pPr>
        <w:ind w:left="520" w:hanging="316"/>
        <w:spacing w:after="0" w:line="234" w:lineRule="auto"/>
        <w:tabs>
          <w:tab w:leader="none" w:pos="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 w:lineRule="exact"/>
        <w:rPr>
          <w:sz w:val="20"/>
          <w:szCs w:val="20"/>
          <w:color w:val="auto"/>
        </w:rPr>
      </w:pPr>
    </w:p>
    <w:p>
      <w:pPr>
        <w:ind w:left="520" w:hanging="316"/>
        <w:spacing w:after="0" w:line="246"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omitted from this Exhibit pursuant to Rule 406 promulgated under the Securities Act. The omitted information has been filed separately with the Securities and Exchange Commission.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 Financial Statement Schedules.</w:t>
      </w:r>
    </w:p>
    <w:p>
      <w:pPr>
        <w:spacing w:after="0" w:line="85"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99"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The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undersigned Registrant hereby undertakes that:</w:t>
      </w:r>
    </w:p>
    <w:p>
      <w:pPr>
        <w:spacing w:after="0" w:line="239" w:lineRule="exact"/>
        <w:rPr>
          <w:sz w:val="20"/>
          <w:szCs w:val="20"/>
          <w:color w:val="auto"/>
        </w:rPr>
      </w:pPr>
    </w:p>
    <w:p>
      <w:pPr>
        <w:ind w:left="960" w:right="260" w:hanging="432"/>
        <w:spacing w:after="0" w:line="239" w:lineRule="auto"/>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6" w:lineRule="exact"/>
        <w:rPr>
          <w:rFonts w:ascii="Arial" w:cs="Arial" w:eastAsia="Arial" w:hAnsi="Arial"/>
          <w:sz w:val="18"/>
          <w:szCs w:val="18"/>
          <w:color w:val="auto"/>
        </w:rPr>
      </w:pPr>
    </w:p>
    <w:p>
      <w:pPr>
        <w:ind w:left="960" w:hanging="432"/>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w:t>
      </w:r>
    </w:p>
    <w:p>
      <w:pPr>
        <w:spacing w:after="0" w:line="7" w:lineRule="exact"/>
        <w:rPr>
          <w:sz w:val="20"/>
          <w:szCs w:val="20"/>
          <w:color w:val="auto"/>
        </w:rPr>
      </w:pPr>
    </w:p>
    <w:p>
      <w:pPr>
        <w:ind w:left="200" w:right="220"/>
        <w:spacing w:after="0" w:line="243" w:lineRule="auto"/>
        <w:rPr>
          <w:sz w:val="20"/>
          <w:szCs w:val="20"/>
          <w:color w:val="auto"/>
        </w:rPr>
      </w:pPr>
      <w:r>
        <w:rPr>
          <w:rFonts w:ascii="Arial" w:cs="Arial" w:eastAsia="Arial" w:hAnsi="Arial"/>
          <w:sz w:val="18"/>
          <w:szCs w:val="18"/>
          <w:color w:val="auto"/>
        </w:rPr>
        <w:t>its behalf by the undersigned, thereunto duly authorized, in the City of Seattle, State of Washington, on the day of , 2018.</w:t>
      </w:r>
    </w:p>
    <w:p>
      <w:pPr>
        <w:spacing w:after="0" w:line="200" w:lineRule="exact"/>
        <w:rPr>
          <w:sz w:val="20"/>
          <w:szCs w:val="20"/>
          <w:color w:val="auto"/>
        </w:rPr>
      </w:pPr>
    </w:p>
    <w:p>
      <w:pPr>
        <w:spacing w:after="0" w:line="21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ILRAY</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337820</wp:posOffset>
            </wp:positionV>
            <wp:extent cx="27959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Brendan Kennedy</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34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KNOW ALL BY THESE PRESENTS, that each person whose signature appears below constitutes and appoints Brendan Kennedy as his or her true and lawful attorneys-in-fact and agents, each with the full power of substitution, for him in his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of 1933,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that said attorneys-in-fact and agents, or his substitute or substitutes, may lawfully do or cause to be done by virtue hereof.</w:t>
      </w:r>
    </w:p>
    <w:p>
      <w:pPr>
        <w:spacing w:after="0" w:line="207"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12" w:lineRule="exact"/>
        <w:rPr>
          <w:sz w:val="20"/>
          <w:szCs w:val="20"/>
          <w:color w:val="auto"/>
        </w:rPr>
      </w:pPr>
    </w:p>
    <w:tbl>
      <w:tblPr>
        <w:tblLayout w:type="fixed"/>
        <w:tblInd w:w="880" w:type="dxa"/>
        <w:tblCellMar>
          <w:top w:w="0" w:type="dxa"/>
          <w:left w:w="0" w:type="dxa"/>
          <w:bottom w:w="0" w:type="dxa"/>
          <w:right w:w="0" w:type="dxa"/>
        </w:tblCellMar>
      </w:tblPr>
      <w:tr>
        <w:trPr>
          <w:trHeight w:val="175"/>
        </w:trPr>
        <w:tc>
          <w:tcPr>
            <w:tcW w:w="1740" w:type="dxa"/>
            <w:vAlign w:val="bottom"/>
          </w:tcPr>
          <w:p>
            <w:pPr>
              <w:spacing w:after="0"/>
              <w:rPr>
                <w:sz w:val="15"/>
                <w:szCs w:val="15"/>
                <w:color w:val="auto"/>
              </w:rPr>
            </w:pPr>
          </w:p>
        </w:tc>
        <w:tc>
          <w:tcPr>
            <w:tcW w:w="242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rPr>
              <w:t>Signature</w:t>
            </w:r>
          </w:p>
        </w:tc>
        <w:tc>
          <w:tcPr>
            <w:tcW w:w="43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Title</w:t>
            </w:r>
          </w:p>
        </w:tc>
        <w:tc>
          <w:tcPr>
            <w:tcW w:w="680" w:type="dxa"/>
            <w:vAlign w:val="bottom"/>
            <w:gridSpan w:val="2"/>
          </w:tcPr>
          <w:p>
            <w:pPr>
              <w:ind w:left="38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392"/>
        </w:trPr>
        <w:tc>
          <w:tcPr>
            <w:tcW w:w="1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President, Chief Executive Officer and Director</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7"/>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9"/>
              </w:rPr>
              <w:t>Brendan Kennedy</w:t>
            </w:r>
          </w:p>
        </w:tc>
        <w:tc>
          <w:tcPr>
            <w:tcW w:w="4320" w:type="dxa"/>
            <w:vAlign w:val="bottom"/>
            <w:gridSpan w:val="3"/>
          </w:tcPr>
          <w:p>
            <w:pPr>
              <w:jc w:val="center"/>
              <w:ind w:right="140"/>
              <w:spacing w:after="0" w:line="202" w:lineRule="exact"/>
              <w:rPr>
                <w:sz w:val="20"/>
                <w:szCs w:val="20"/>
                <w:color w:val="auto"/>
              </w:rPr>
            </w:pPr>
            <w:r>
              <w:rPr>
                <w:rFonts w:ascii="Arial" w:cs="Arial" w:eastAsia="Arial" w:hAnsi="Arial"/>
                <w:sz w:val="18"/>
                <w:szCs w:val="18"/>
                <w:i w:val="1"/>
                <w:iCs w:val="1"/>
                <w:color w:val="auto"/>
                <w:w w:val="99"/>
              </w:rPr>
              <w:t>(Principal Executive Officer)</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1"/>
        </w:trPr>
        <w:tc>
          <w:tcPr>
            <w:tcW w:w="1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right="140"/>
              <w:spacing w:after="0"/>
              <w:rPr>
                <w:sz w:val="20"/>
                <w:szCs w:val="20"/>
                <w:color w:val="auto"/>
              </w:rPr>
            </w:pPr>
            <w:r>
              <w:rPr>
                <w:rFonts w:ascii="Arial" w:cs="Arial" w:eastAsia="Arial" w:hAnsi="Arial"/>
                <w:sz w:val="18"/>
                <w:szCs w:val="18"/>
                <w:color w:val="auto"/>
              </w:rPr>
              <w:t>Chief Financial Officer</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7"/>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9"/>
              </w:rPr>
              <w:t>Mark Castaneda</w:t>
            </w:r>
          </w:p>
        </w:tc>
        <w:tc>
          <w:tcPr>
            <w:tcW w:w="4320" w:type="dxa"/>
            <w:vAlign w:val="bottom"/>
            <w:gridSpan w:val="3"/>
          </w:tcPr>
          <w:p>
            <w:pPr>
              <w:jc w:val="center"/>
              <w:ind w:right="140"/>
              <w:spacing w:after="0" w:line="202" w:lineRule="exact"/>
              <w:rPr>
                <w:sz w:val="20"/>
                <w:szCs w:val="20"/>
                <w:color w:val="auto"/>
              </w:rPr>
            </w:pPr>
            <w:r>
              <w:rPr>
                <w:rFonts w:ascii="Arial" w:cs="Arial" w:eastAsia="Arial" w:hAnsi="Arial"/>
                <w:sz w:val="18"/>
                <w:szCs w:val="18"/>
                <w:i w:val="1"/>
                <w:iCs w:val="1"/>
                <w:color w:val="auto"/>
              </w:rPr>
              <w:t>(Principal Financial and Accounting Officer)</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8"/>
        </w:trPr>
        <w:tc>
          <w:tcPr>
            <w:tcW w:w="1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Chairman of the Board of Directors</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6"/>
        </w:trPr>
        <w:tc>
          <w:tcPr>
            <w:tcW w:w="1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Director</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0"/>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9"/>
              </w:rPr>
              <w:t>Michael Auerbach</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418"/>
        </w:trPr>
        <w:tc>
          <w:tcPr>
            <w:tcW w:w="1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Director</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26"/>
        </w:trPr>
        <w:tc>
          <w:tcPr>
            <w:tcW w:w="1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Director</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2"/>
        </w:trPr>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320" w:type="dxa"/>
            <w:vAlign w:val="bottom"/>
            <w:gridSpan w:val="3"/>
          </w:tcPr>
          <w:p>
            <w:pPr>
              <w:ind w:left="540"/>
              <w:spacing w:after="0"/>
              <w:rPr>
                <w:sz w:val="20"/>
                <w:szCs w:val="20"/>
                <w:color w:val="auto"/>
              </w:rPr>
            </w:pPr>
            <w:r>
              <w:rPr>
                <w:rFonts w:ascii="Arial" w:cs="Arial" w:eastAsia="Arial" w:hAnsi="Arial"/>
                <w:sz w:val="18"/>
                <w:szCs w:val="18"/>
                <w:color w:val="auto"/>
              </w:rPr>
              <w:t>II-5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20"/>
      </w:cols>
      <w:pgMar w:left="240" w:top="46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1)"/>
      <w:numFmt w:val="lowerRoman"/>
      <w:start w:val="4"/>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lowerRoman"/>
      <w:start w:val="2"/>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1)"/>
      <w:numFmt w:val="decimal"/>
      <w:start w:val="1"/>
    </w:lvl>
  </w:abstractNum>
  <w:abstractNum w:abstractNumId="36">
    <w:nsid w:val="5FF87E05"/>
    <w:multiLevelType w:val="hybridMultilevel"/>
    <w:lvl w:ilvl="0">
      <w:lvlJc w:val="left"/>
      <w:lvlText w:val="(%1)"/>
      <w:numFmt w:val="lowerRoman"/>
      <w:start w:val="2"/>
    </w:lvl>
  </w:abstractNum>
  <w:abstractNum w:abstractNumId="37">
    <w:nsid w:val="2F305DEF"/>
    <w:multiLevelType w:val="hybridMultilevel"/>
    <w:lvl w:ilvl="0">
      <w:lvlJc w:val="left"/>
      <w:lvlText w:val="(%1)"/>
      <w:numFmt w:val="decimal"/>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26"/>
    </w:lvl>
  </w:abstractNum>
  <w:abstractNum w:abstractNumId="56">
    <w:nsid w:val="540A471C"/>
    <w:multiLevelType w:val="hybridMultilevel"/>
    <w:lvl w:ilvl="0">
      <w:lvlJc w:val="left"/>
      <w:lvlText w:val="(%1)"/>
      <w:numFmt w:val="decimal"/>
      <w:start w:val="2"/>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1)"/>
      <w:numFmt w:val="lowerRoman"/>
      <w:start w:val="5"/>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1)"/>
      <w:numFmt w:val="lowerRoman"/>
      <w:start w:val="2"/>
    </w:lvl>
  </w:abstractNum>
  <w:abstractNum w:abstractNumId="82">
    <w:nsid w:val="4C04A8AF"/>
    <w:multiLevelType w:val="hybridMultilevel"/>
    <w:lvl w:ilvl="0">
      <w:lvlJc w:val="left"/>
      <w:lvlText w:val="%1."/>
      <w:numFmt w:val="decimal"/>
      <w:start w:val="15"/>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lowerLetter"/>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2019-12-08T18:39:34Z</dcterms:created>
  <dcterms:modified xsi:type="dcterms:W3CDTF">2019-12-08T18:39:34Z</dcterms:modified>
</cp:coreProperties>
</file>