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SIMON IRWIN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TILRAY BRANDS,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265 TALBOT STREET WEST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LEAMINGTON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A6</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N8H 4H3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CANADA (FEDERAL LEVEL)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Tilray Brands, Inc.</w:t>
              </w:r>
            </w:hyperlink>
            <w:r>
              <w:rPr/>
              <w:t xml:space="preserve"> [ </w:t>
            </w:r>
            <w:r>
              <w:rPr>
                <w:rFonts w:ascii="Times;serif" w:hAnsi="Times;serif"/>
                <w:color w:val="0000FF"/>
                <w:sz w:val="24"/>
                <w:shd w:fill="FFFFFF" w:val="clear"/>
              </w:rPr>
              <w:t>TLRY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17"/>
        <w:gridCol w:w="903"/>
        <w:gridCol w:w="773"/>
        <w:gridCol w:w="600"/>
        <w:gridCol w:w="346"/>
        <w:gridCol w:w="1055"/>
        <w:gridCol w:w="449"/>
        <w:gridCol w:w="665"/>
        <w:gridCol w:w="1186"/>
        <w:gridCol w:w="991"/>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6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07/29/2026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428,448</w:t>
            </w:r>
            <w:r>
              <w:rPr>
                <w:rFonts w:ascii="Times;serif" w:hAnsi="Times;serif"/>
                <w:color w:val="008000"/>
                <w:position w:val="7"/>
                <w:sz w:val="16"/>
                <w:sz w:val="20"/>
                <w:shd w:fill="FFFFFF" w:val="clear"/>
              </w:rPr>
              <w:t>(1)</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1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911,097</w:t>
            </w:r>
            <w:r>
              <w:rPr>
                <w:rFonts w:ascii="Times;serif" w:hAnsi="Times;serif"/>
                <w:color w:val="008000"/>
                <w:position w:val="7"/>
                <w:sz w:val="16"/>
                <w:sz w:val="20"/>
                <w:shd w:fill="FFFFFF" w:val="clear"/>
              </w:rPr>
              <w:t>(2)(3)</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07/29/2026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227,078</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6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3.99</w:t>
            </w:r>
          </w:p>
        </w:tc>
        <w:tc>
          <w:tcPr>
            <w:tcW w:w="11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684,019</w:t>
            </w:r>
            <w:r>
              <w:rPr>
                <w:rFonts w:ascii="Times;serif" w:hAnsi="Times;serif"/>
                <w:color w:val="008000"/>
                <w:position w:val="7"/>
                <w:sz w:val="16"/>
                <w:sz w:val="20"/>
                <w:shd w:fill="FFFFFF" w:val="clear"/>
              </w:rPr>
              <w:t>(2)</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117,647</w:t>
            </w:r>
            <w:r>
              <w:rPr>
                <w:rFonts w:ascii="Times;serif" w:hAnsi="Times;serif"/>
                <w:color w:val="008000"/>
                <w:position w:val="7"/>
                <w:sz w:val="16"/>
                <w:sz w:val="20"/>
                <w:shd w:fill="FFFFFF" w:val="clear"/>
              </w:rPr>
              <w:t>(1)</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1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801,666</w:t>
            </w:r>
            <w:r>
              <w:rPr>
                <w:rFonts w:ascii="Times;serif" w:hAnsi="Times;serif"/>
                <w:color w:val="008000"/>
                <w:position w:val="7"/>
                <w:sz w:val="16"/>
                <w:sz w:val="20"/>
                <w:shd w:fill="FFFFFF" w:val="clear"/>
              </w:rPr>
              <w:t>(2)</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62,353</w:t>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6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w:t>
            </w:r>
          </w:p>
        </w:tc>
        <w:tc>
          <w:tcPr>
            <w:tcW w:w="11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739,313</w:t>
            </w:r>
            <w:r>
              <w:rPr>
                <w:rFonts w:ascii="Times;serif" w:hAnsi="Times;serif"/>
                <w:color w:val="008000"/>
                <w:position w:val="7"/>
                <w:sz w:val="16"/>
                <w:sz w:val="20"/>
                <w:shd w:fill="FFFFFF" w:val="clear"/>
              </w:rPr>
              <w:t>(2)</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331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966"/>
        <w:gridCol w:w="816"/>
        <w:gridCol w:w="906"/>
        <w:gridCol w:w="801"/>
        <w:gridCol w:w="891"/>
        <w:gridCol w:w="1101"/>
        <w:gridCol w:w="801"/>
        <w:gridCol w:w="966"/>
        <w:gridCol w:w="831"/>
        <w:gridCol w:w="846"/>
      </w:tblGrid>
      <w:tr>
        <w:trPr>
          <w:tblHeader w:val="true"/>
        </w:trPr>
        <w:tc>
          <w:tcPr>
            <w:tcW w:w="133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7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428,448</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428,448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428,448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1,289,211</w:t>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1,289,211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1,289,211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117,647</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117,647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unit represents a contingent right to receive one (1) share of Tilray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Amount includes shares of Common Stock beneficially owned by the reporting person but excludes other unvested restricted stock unites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Effective December 2, 2025, Tilray implemented a 1-for-10 reverse stock split (the "Reverse Stock Split") of its outstanding shares of Common Stock. All RSUs and listed securities amounts have been adjusted to reflect the Reverse Stock Split.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Subject to the reporting person's continuous employment through the vesting date, the LTIP RSUs shall vest in two (2) equal annual installments, commencing on July 29, 2026, and July 29, 2027, except in the case of the reporting person's earlier voluntary resignation, death or disability. In the event of a voluntary termination by the reporting person prior to the vesting date, all RSUs will be forfeited.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Subject to the reporting person's continued employment through the vesting date, the RSUs shall vest as follows: 50% on the 1-year anniversary of grant date, July 29, 2027 and the remaining 50% on the 2-year anniversary, July 29, 2028.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Subject to the reporting person's continuous employment through the vesting date, the 2024 LTIP RSUs shall vest in two (2) equal annual installments, commencing on July 26, 2025, and July 26, 2026, except in the case of the reporting person's earlier voluntary resignation, death or disability. In the event of a voluntary resignation by the reporting person prior to the vesting date, all RSUs will be forfeited.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Irwin D. Simon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0922748" TargetMode="External"/><Relationship Id="rId5" Type="http://schemas.openxmlformats.org/officeDocument/2006/relationships/hyperlink" Target="http://www.sec.gov/cgi-bin/browse-edgar?action=getcompany&amp;CIK=000173134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894</Words>
  <Characters>4783</Characters>
  <CharactersWithSpaces>5543</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