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0" w:lineRule="exact"/>
        <w:rPr>
          <w:sz w:val="24"/>
          <w:szCs w:val="24"/>
          <w:color w:val="auto"/>
        </w:rPr>
      </w:pPr>
    </w:p>
    <w:p>
      <w:pPr>
        <w:spacing w:after="0" w:line="2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 2026</w:t>
      </w:r>
    </w:p>
    <w:p>
      <w:pPr>
        <w:spacing w:after="0" w:line="39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Tilray Brands, Inc.</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001-38594</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216"/>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(Commission File</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265 Talbot Street West,</w:t>
            </w:r>
          </w:p>
        </w:tc>
        <w:tc>
          <w:tcPr>
            <w:tcW w:w="33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Leamington, ON</w:t>
            </w:r>
          </w:p>
        </w:tc>
        <w:tc>
          <w:tcPr>
            <w:tcW w:w="3320" w:type="dxa"/>
            <w:vAlign w:val="bottom"/>
          </w:tcPr>
          <w:p>
            <w:pPr>
              <w:spacing w:after="0"/>
              <w:rPr>
                <w:sz w:val="18"/>
                <w:szCs w:val="18"/>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320" w:type="dxa"/>
            <w:vAlign w:val="bottom"/>
          </w:tcPr>
          <w:p>
            <w:pPr>
              <w:spacing w:after="0"/>
              <w:rPr>
                <w:sz w:val="20"/>
                <w:szCs w:val="20"/>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32"/>
        </w:trPr>
        <w:tc>
          <w:tcPr>
            <w:tcW w:w="3840" w:type="dxa"/>
            <w:vAlign w:val="bottom"/>
          </w:tcPr>
          <w:p>
            <w:pPr>
              <w:spacing w:after="0"/>
              <w:rPr>
                <w:sz w:val="24"/>
                <w:szCs w:val="24"/>
                <w:color w:val="auto"/>
              </w:rPr>
            </w:pPr>
          </w:p>
        </w:tc>
        <w:tc>
          <w:tcPr>
            <w:tcW w:w="33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(844) 845-7291</w:t>
            </w:r>
          </w:p>
        </w:tc>
        <w:tc>
          <w:tcPr>
            <w:tcW w:w="2600" w:type="dxa"/>
            <w:vAlign w:val="bottom"/>
          </w:tcPr>
          <w:p>
            <w:pPr>
              <w:spacing w:after="0"/>
              <w:rPr>
                <w:sz w:val="24"/>
                <w:szCs w:val="24"/>
                <w:color w:val="auto"/>
              </w:rPr>
            </w:pPr>
          </w:p>
        </w:tc>
      </w:tr>
    </w:tbl>
    <w:p>
      <w:pPr>
        <w:spacing w:after="0" w:line="19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2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100" w:firstLine="615"/>
        <w:spacing w:after="0" w:line="498" w:lineRule="auto"/>
        <w:tabs>
          <w:tab w:leader="none" w:pos="93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080"/>
          </w:cols>
          <w:pgMar w:left="320" w:top="216" w:right="499" w:bottom="1440" w:gutter="0" w:footer="0" w:header="0"/>
        </w:sectPr>
      </w:pPr>
    </w:p>
    <w:p>
      <w:pPr>
        <w:spacing w:after="0" w:line="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25"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Common Stock, $0.0001 par value per share</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Trading</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Symbol(s)</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TLRY</w:t>
      </w:r>
    </w:p>
    <w:p>
      <w:pPr>
        <w:spacing w:after="0" w:line="20" w:lineRule="exact"/>
        <w:rPr>
          <w:sz w:val="24"/>
          <w:szCs w:val="24"/>
          <w:color w:val="auto"/>
        </w:rPr>
      </w:pPr>
      <w:r>
        <w:rPr>
          <w:sz w:val="24"/>
          <w:szCs w:val="24"/>
          <w:color w:val="auto"/>
        </w:rPr>
        <w:br w:type="column"/>
      </w: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23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222" w:lineRule="exact"/>
        <w:rPr>
          <w:sz w:val="24"/>
          <w:szCs w:val="24"/>
          <w:color w:val="auto"/>
        </w:rPr>
      </w:pPr>
    </w:p>
    <w:p>
      <w:pPr>
        <w:sectPr>
          <w:pgSz w:w="11900" w:h="16838" w:orient="portrait"/>
          <w:cols w:equalWidth="0" w:num="3">
            <w:col w:w="4520" w:space="720"/>
            <w:col w:w="1640" w:space="720"/>
            <w:col w:w="3480"/>
          </w:cols>
          <w:pgMar w:left="320" w:top="216" w:right="499" w:bottom="1440" w:gutter="0" w:footer="0" w:header="0"/>
          <w:type w:val="continuous"/>
        </w:sectPr>
      </w:pPr>
    </w:p>
    <w:p>
      <w:pPr>
        <w:spacing w:after="0" w:line="7"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216" w:right="49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ind w:left="200"/>
        <w:spacing w:after="0" w:line="254" w:lineRule="auto"/>
        <w:rPr>
          <w:sz w:val="20"/>
          <w:szCs w:val="20"/>
          <w:color w:val="auto"/>
        </w:rPr>
      </w:pPr>
      <w:r>
        <w:rPr>
          <w:rFonts w:ascii="Times New Roman" w:cs="Times New Roman" w:eastAsia="Times New Roman" w:hAnsi="Times New Roman"/>
          <w:sz w:val="18"/>
          <w:szCs w:val="18"/>
          <w:color w:val="auto"/>
        </w:rPr>
        <w:t>On March 2, 2026, Tilray Brands UK Ltd (“</w:t>
      </w:r>
      <w:r>
        <w:rPr>
          <w:rFonts w:ascii="Times New Roman" w:cs="Times New Roman" w:eastAsia="Times New Roman" w:hAnsi="Times New Roman"/>
          <w:sz w:val="18"/>
          <w:szCs w:val="18"/>
          <w:b w:val="1"/>
          <w:bCs w:val="1"/>
          <w:color w:val="auto"/>
        </w:rPr>
        <w:t>Tilray UK</w:t>
      </w:r>
      <w:r>
        <w:rPr>
          <w:rFonts w:ascii="Times New Roman" w:cs="Times New Roman" w:eastAsia="Times New Roman" w:hAnsi="Times New Roman"/>
          <w:sz w:val="18"/>
          <w:szCs w:val="18"/>
          <w:color w:val="auto"/>
        </w:rPr>
        <w:t>”), a company registered in the United Kingdom and wholly owned and controlled by Tilray Brands,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Business and Asset Sale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Under the Purchase Agreement, Tilray UK acquired certain business operations and assets of BrewDog plc and certain of its subsidiary undertakings (collectively, the “</w:t>
      </w:r>
      <w:r>
        <w:rPr>
          <w:rFonts w:ascii="Times New Roman" w:cs="Times New Roman" w:eastAsia="Times New Roman" w:hAnsi="Times New Roman"/>
          <w:sz w:val="18"/>
          <w:szCs w:val="18"/>
          <w:b w:val="1"/>
          <w:bCs w:val="1"/>
          <w:color w:val="auto"/>
        </w:rPr>
        <w:t>BrewDog Group</w:t>
      </w:r>
      <w:r>
        <w:rPr>
          <w:rFonts w:ascii="Times New Roman" w:cs="Times New Roman" w:eastAsia="Times New Roman" w:hAnsi="Times New Roman"/>
          <w:sz w:val="18"/>
          <w:szCs w:val="18"/>
          <w:color w:val="auto"/>
        </w:rPr>
        <w:t>”) through a pre-packaged administration process in Scotland under the Insolvency Act 1986, with the intent for Tilray UK to carry on the acquired business operations and assets as a going concern. The transactions contemplated by the Purchase Agreement closed on the same date as the date of the Purchase Agreement. Prior to the administration, the BrewDog Group operated as a multinational brewery and pub chain based in Ellon, Aberdeenshire, Scotland. The Company has agreed to guarantee the obligations of Tilray UK under the terms of the Purchase Agreement. The aggregate purchase price for the acquired business and assets acquired is £33,000,000 (or approximately US $44.1 million). Substantially all liabilities of the BrewDog Group arising prior to the closing of the transaction will remain with the BrewDog Group and were not assumed by Tilray UK, subject to certain customary exceptions..</w:t>
      </w:r>
    </w:p>
    <w:p>
      <w:pPr>
        <w:spacing w:after="0" w:line="189" w:lineRule="exact"/>
        <w:rPr>
          <w:sz w:val="20"/>
          <w:szCs w:val="20"/>
          <w:color w:val="auto"/>
        </w:rPr>
      </w:pPr>
    </w:p>
    <w:p>
      <w:pPr>
        <w:jc w:val="both"/>
        <w:ind w:left="200"/>
        <w:spacing w:after="0" w:line="266" w:lineRule="auto"/>
        <w:rPr>
          <w:sz w:val="20"/>
          <w:szCs w:val="20"/>
          <w:color w:val="auto"/>
        </w:rPr>
      </w:pPr>
      <w:r>
        <w:rPr>
          <w:rFonts w:ascii="Times New Roman" w:cs="Times New Roman" w:eastAsia="Times New Roman" w:hAnsi="Times New Roman"/>
          <w:sz w:val="18"/>
          <w:szCs w:val="18"/>
          <w:color w:val="auto"/>
        </w:rPr>
        <w:t>The acquisition includes the brewery located in Ellon, Aberdeenshire, Scotland, the on-line business, the retail business, 11 of the BrewDog strategic brewpubs in Scotland, England and Ireland and all the intellectual property rights relating to the BrewDog brand, including well known sub-brands such as Punk IPA, Hazy Jane, Wingman, Elvis Juice and Dead Pony Club.</w:t>
      </w:r>
    </w:p>
    <w:p>
      <w:pPr>
        <w:spacing w:after="0" w:line="176" w:lineRule="exact"/>
        <w:rPr>
          <w:sz w:val="20"/>
          <w:szCs w:val="20"/>
          <w:color w:val="auto"/>
        </w:rPr>
      </w:pPr>
    </w:p>
    <w:p>
      <w:pPr>
        <w:jc w:val="both"/>
        <w:ind w:left="200"/>
        <w:spacing w:after="0" w:line="282" w:lineRule="auto"/>
        <w:rPr>
          <w:sz w:val="20"/>
          <w:szCs w:val="20"/>
          <w:color w:val="auto"/>
        </w:rPr>
      </w:pPr>
      <w:r>
        <w:rPr>
          <w:rFonts w:ascii="Times New Roman" w:cs="Times New Roman" w:eastAsia="Times New Roman" w:hAnsi="Times New Roman"/>
          <w:sz w:val="18"/>
          <w:szCs w:val="18"/>
          <w:color w:val="auto"/>
        </w:rPr>
        <w:t>The parties have provided customary representations, warranties and covenants for transactions in an pre-packaged administration, and Tilray UK has agreed to certain indemnification rights of the administrators under the Purchase Agreement.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188" w:lineRule="exact"/>
        <w:rPr>
          <w:sz w:val="20"/>
          <w:szCs w:val="20"/>
          <w:color w:val="auto"/>
        </w:rPr>
      </w:pPr>
    </w:p>
    <w:p>
      <w:pPr>
        <w:ind w:left="200"/>
        <w:spacing w:after="0" w:line="207" w:lineRule="exact"/>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is incorporated herein by reference.</w:t>
      </w:r>
    </w:p>
    <w:p>
      <w:pPr>
        <w:spacing w:after="0" w:line="266" w:lineRule="exact"/>
        <w:rPr>
          <w:sz w:val="20"/>
          <w:szCs w:val="20"/>
          <w:color w:val="auto"/>
        </w:rPr>
      </w:pPr>
    </w:p>
    <w:p>
      <w:pPr>
        <w:jc w:val="both"/>
        <w:ind w:left="200"/>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Purchase Agreement and the transaction set forth under Item 1.01 do not purport to be complete and are qualified in its entirety by reference to the Purchase Agreement, a copy of which will be filed as an amendment to this Current Report on Form 8-K.</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left="200"/>
        <w:spacing w:after="0" w:line="239" w:lineRule="exact"/>
        <w:rPr>
          <w:sz w:val="20"/>
          <w:szCs w:val="20"/>
          <w:color w:val="auto"/>
        </w:rPr>
      </w:pPr>
      <w:r>
        <w:rPr>
          <w:rFonts w:ascii="Times New Roman" w:cs="Times New Roman" w:eastAsia="Times New Roman" w:hAnsi="Times New Roman"/>
          <w:sz w:val="18"/>
          <w:szCs w:val="18"/>
          <w:color w:val="auto"/>
        </w:rPr>
        <w:t>On March 2, 2026, the Company issued a press release announcing the BrewDog transaction. A copy of the press release is attached as Exhibit 99.1 to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700" w:hanging="528"/>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1260"/>
          </w:cols>
          <w:pgMar w:left="300" w:top="576" w:right="339" w:bottom="1440" w:gutter="0" w:footer="0" w:header="0"/>
        </w:sect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99.1</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Press Release dated March 2,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502920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660" w:space="520"/>
            <w:col w:w="10080"/>
          </w:cols>
          <w:pgMar w:left="300" w:top="576" w:right="33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2026</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-19050</wp:posOffset>
            </wp:positionV>
            <wp:extent cx="910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Name: Mitchell Gendel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Global General Counsel</w:t>
      </w:r>
    </w:p>
    <w:p>
      <w:pPr>
        <w:sectPr>
          <w:pgSz w:w="11900" w:h="16838" w:orient="portrait"/>
          <w:cols w:equalWidth="0" w:num="1">
            <w:col w:w="11200"/>
          </w:cols>
          <w:pgMar w:left="320" w:top="576" w:right="37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455930</wp:posOffset>
            </wp:positionV>
            <wp:extent cx="2571750" cy="80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175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Tilray Brands Acquires BrewDog, a Leading Global Craft Brand, Creating a ~$500 Million Global Craft Beer and Beverage Platform</w:t>
      </w:r>
    </w:p>
    <w:p>
      <w:pPr>
        <w:spacing w:after="0" w:line="150" w:lineRule="exact"/>
        <w:rPr>
          <w:sz w:val="20"/>
          <w:szCs w:val="20"/>
          <w:color w:val="auto"/>
        </w:rPr>
      </w:pPr>
    </w:p>
    <w:p>
      <w:pPr>
        <w:jc w:val="center"/>
        <w:ind w:left="340" w:right="520"/>
        <w:spacing w:after="0" w:line="456" w:lineRule="auto"/>
        <w:rPr>
          <w:sz w:val="20"/>
          <w:szCs w:val="20"/>
          <w:color w:val="auto"/>
        </w:rPr>
      </w:pPr>
      <w:r>
        <w:rPr>
          <w:rFonts w:ascii="Times New Roman" w:cs="Times New Roman" w:eastAsia="Times New Roman" w:hAnsi="Times New Roman"/>
          <w:sz w:val="22"/>
          <w:szCs w:val="22"/>
          <w:i w:val="1"/>
          <w:iCs w:val="1"/>
          <w:color w:val="auto"/>
        </w:rPr>
        <w:t>Accretive Acquisition of Select Assets Includes Global Brand, UK Brewing Operations and 11 Strategic Brewpubs Expected to Generate ~$200 Million in Annual Net Revenue and ~$6 - $8 Million of Adjusted EBITDA in Fiscal 2027 Tilray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 Global Consolidated Net Revenue Expected to Reach ~$1.2 Billion on an Annualized Basis</w:t>
      </w:r>
      <w:r>
        <w:rPr>
          <w:rFonts w:ascii="Times New Roman" w:cs="Times New Roman" w:eastAsia="Times New Roman" w:hAnsi="Times New Roman"/>
          <w:sz w:val="17"/>
          <w:szCs w:val="17"/>
          <w:i w:val="1"/>
          <w:iCs w:val="1"/>
          <w:color w:val="auto"/>
        </w:rPr>
        <w:t>1</w:t>
      </w:r>
      <w:r>
        <w:rPr>
          <w:rFonts w:ascii="Times New Roman" w:cs="Times New Roman" w:eastAsia="Times New Roman" w:hAnsi="Times New Roman"/>
          <w:sz w:val="22"/>
          <w:szCs w:val="22"/>
          <w:i w:val="1"/>
          <w:iCs w:val="1"/>
          <w:color w:val="auto"/>
        </w:rPr>
        <w:t xml:space="preserve"> Conference Call Scheduled for 12:30pm ET</w:t>
      </w:r>
    </w:p>
    <w:p>
      <w:pPr>
        <w:spacing w:after="0" w:line="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NEW YORK &amp; LONDON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March 2, 2026 </w:t>
      </w:r>
      <w:r>
        <w:rPr>
          <w:rFonts w:ascii="Times New Roman" w:cs="Times New Roman" w:eastAsia="Times New Roman" w:hAnsi="Times New Roman"/>
          <w:sz w:val="18"/>
          <w:szCs w:val="18"/>
          <w:color w:val="auto"/>
        </w:rPr>
        <w:t>— Tilray Brands, Inc. (“Tilray”, “our”, “we” or the “Company”) (Nasdaq: TLRY; TSX: TLRY),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 lifestyle and consumer packaged goods company at the forefront of the beverage, cannabis and wellness industries, today completed the acquisition of certain highly strategic assets of BrewDog’s global platform, including the global brand and related intellectual property, the UK brewing operations and eleven strategic brewpubs in the United Kingdom and Ireland, for a total consideration of £33 million. Tilray is separately negotiating to acquire certain BrewDog assets in the United States and Australia.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of the world’s most recognized names in craft beer, BrewDog is a brand-powered, vertically integrated beverage and hospitality platform. Founded in 2007, BrewDog quickly became one of the largest independent craft beer brands in the United Kingdom with its portfolio of iconic craft, premium and low</w:t>
      </w:r>
    </w:p>
    <w:p>
      <w:pPr>
        <w:jc w:val="both"/>
        <w:ind w:firstLine="8"/>
        <w:spacing w:after="0" w:line="255" w:lineRule="auto"/>
        <w:tabs>
          <w:tab w:leader="none" w:pos="1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alcohol beer brands, including Punk IPA, Hazy Jane, Lost Lager and Wingman. From its beginnings in the UK, it developed its strong global brand awareness through its global expansion via international breweries, localized brewpubs and strategic partnerships. For Tilray, the acquired asset portfolio presents a significant opportunity for growth in the UK and previously untapped international markets.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Irwin D. Simon, Chairman and Chief Executive Officer, Tilray Brands, stated, “BrewDog is one of the most iconic, mission-driven craft beer brands in the UK. It helped redefine modern craft beer through bold innovation, fearless creativity and an unwavering commitment to great beer. What makes BrewDog truly special has always been its brewers, its brewpubs and its passionate community of beer fans. As we begin a new chapter for this great brand, our priority is to refocus BrewDog on the craft beer excellence that made it beloved in the first place and strategically invest to return the operations to profitable growth. BrewDog’s future is bright, and we are committed to ensuring the brand continues to lead and inspire the global craft beer movement.”</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Mr. Simon continued, “Tilray’s management brings operational and strategic expertise, a diversified global beverage infrastructure and a disciplined investment approach needed to unlock BrewDog’s next phase of growth. In addition, my team and I have significant experience in the UK market where we previously built an ~ $1.5 billion consumer packaged goods business at my prior company with beloved brands, including Ella’s Kitchen, Hartleys, Tilda, New Covent Garden and Linda McCartney. With the BrewDog acquisition, our total global beverage platform is expected to grow to ~$500 million in annual revenue, creating one of the largest diversified craft beverage platforms globally. Through this expanded platform, we see significant growth opportunity for BrewDog through broader distribution and the ability to invest back into brand and innovation, while introducing Tilray’s complementary beverage brands into international markets. On a combined basis, we expect Tilray’s diversified global business to reach ~$1.2 billion in annualized revenue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Advances Tilray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Global Beverage Strategy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Tilray has built a diversified beverage portfolio spanning craft beer, spirits, energy drinks, water and emerging categories. Expanding Tilray’s established U.S. beverage brands into international markets is a strategic priority and a natural next phase of growth. The addition of BrewDog accelerates our ability to enter new markets by providing scaled brewing capacity outside the U.S., an established international distribution network and a premier brewpub and hospitality infrastructure in the UK and select international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Overview</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terms of the transaction, Tilray paid £33 million in exchange for BrewDog’s worldwide intellectual property, UK brewing operations and a portfolio of eleven premier and profitable brewpubs including Birmingham, Canary Wharf, Dogtap Ellon, Dublin, Edinburgh DogHouse, Lothian Road, Manchester, Paddington, Seven Dials, Tower Hill, and Waterloo. These brewing and related operating assets are expected to generate annual net revenue of ~$200 million and adjusted EBITDA of ~$6 - ~$8 million. The acquired business is expected to become cash flow positive beginning in fiscal 2027 as integration initiatives and operational efficiencies are realized. The proposed U.S. and Australia components of the acquisition will be subject to a separate purchase agreement to be negotiated by the parties and is expected to be finalized and closed in approximately 30 days.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customary licensing transfer timelines associated with brewing operations, Tilray does not anticipate a meaningful EBITDA contribution in the fourth quarter of fiscal 2026, and brewing revenues in early fiscal 2027 may temporarily reflect timing differences related to license transfers following closing.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 acted as financial advisor, and Proskauer Rose LLP acted as external legal counsel to Tilray Brands.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color w:val="auto"/>
        </w:rPr>
        <w:t xml:space="preserve">Tilray Brands will host a live teleconference today, Monday, March 2, 2026, at 12:30pm Eastern Time to discuss the transaction. Investors may join the live event through the Events &amp; </w:t>
      </w:r>
      <w:r>
        <w:rPr>
          <w:rFonts w:ascii="Times New Roman" w:cs="Times New Roman" w:eastAsia="Times New Roman" w:hAnsi="Times New Roman"/>
          <w:sz w:val="17"/>
          <w:szCs w:val="17"/>
          <w:u w:val="single" w:color="auto"/>
          <w:color w:val="auto"/>
        </w:rPr>
        <w:t>Presentations</w:t>
      </w:r>
      <w:r>
        <w:rPr>
          <w:rFonts w:ascii="Times New Roman" w:cs="Times New Roman" w:eastAsia="Times New Roman" w:hAnsi="Times New Roman"/>
          <w:sz w:val="17"/>
          <w:szCs w:val="17"/>
          <w:color w:val="auto"/>
        </w:rPr>
        <w:t xml:space="preserve"> section of Tilray’s Investor Relations website. A replay will be available and archived on the Company’s website.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Tilray Beverages</w:t>
      </w:r>
    </w:p>
    <w:p>
      <w:pPr>
        <w:sectPr>
          <w:pgSz w:w="11900" w:h="16838" w:orient="portrait"/>
          <w:cols w:equalWidth="0" w:num="1">
            <w:col w:w="11240"/>
          </w:cols>
          <w:pgMar w:left="320" w:top="117" w:right="339" w:bottom="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Tilray Beverages, a division of Tilray Brands, is a leading beverage platform with a diverse portfolio of award-winning craft beers, spirits, non-alcoholic beverages and functional drinks. Its portfolio includes 10 Barrel Brewing, Alpine Beer, Atwater Brewery, Blue Point Brewing Company, Breckenridge Brewery, Breckenridge Distillery, Casa Breck, Green Flash Brewing Company, Hi*Ball Energy, Hop Valley Brewing Co., Liquid Love, Mock One, Montauk Brewing Company, Mountain Shot, Redhook Brewery, Revolver Brewing, Shock Top, Square Mile Cider, SweetWater Brewery, Terrapin Beer and Widmer Brothers. Leveraging state-of-the-art production facilities and a robust distribution network, Tilray Beverages is focused on expanding premium and mainstream beverage offerings across the United States and international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Tilray Brands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Tilray Brands, Inc. (“Tilray”) (Nasdaq: TLRY; TSX: TLRY), is a leading global lifestyle and consumer packaged goods company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and create memorable experiences. Tilray’s unprecedented platform supports over 40 brands in over 20 countries, including comprehensive cannabis offerings, hemp-based foods and craft beverages.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how we are elevating lives through moments of connection, visit Tilray.com and follow @Tilray on all social platforms.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8"/>
          <w:szCs w:val="18"/>
          <w:color w:val="auto"/>
        </w:rPr>
        <w:t>Certain statements in this communication that are not historical facts constitute forward-looking information or forward-looking statements (together,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Forward-looking statements can be identified by words such as “forecast,” “future,” “should,” “could,” “enable,” “potential,” “contemplate,” “believe,” “anticipate,” “estimate,” “plan,” “expect,” “intend,” “may,” “project,” “will,” “would” and the negative of these terms or similar expressions, although not all forward-looking statements contain these identifying words. Certain material factors, estimates, goals, projections, or assumptions were used in drawing the conclusions contained in the forward-looking statements throughout this communication. Forward-looking statements include statements regarding our intentions, beliefs, projections, outlook, analyses, or current expectations concerning, among other things, the Company’s ability to achieve revenue and EBITDA targets from the BrewDog acquisition, and to be cash flow positive by beginning in the first quarter of fiscal 2027 from expected integration initiatives and operational efficiencies. 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 this communication also include statements regarding the Company’s market positioning, ability to effectively leverage and scale Tilray’s brewing operations and drive revenue growth. For a more detailed discussion of these risks and other factors, see the most recently filed annual information form of Tilray and the Annual Report on Form 10-K (and other periodic reports filed with the SEC) of Tilray made with the SEC and available on EDGAR.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Expected to reach an annualized revenue of $1.2 billion in fiscal 2027.</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news@tilray.com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tilray@prosek.com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investors@tilray.com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2026-03-02T16:03:47Z</dcterms:created>
  <dcterms:modified xsi:type="dcterms:W3CDTF">2026-03-02T16:03:47Z</dcterms:modified>
</cp:coreProperties>
</file>