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29,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Tilray Brands,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TLRY</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July 29, 2024, Tilray Brands, Inc. (“Tilray”) issued a press release announcing financial results for its fourth quarter and fiscal year ended May 31, 2024. A copy of the press release is furnished herewith as Exhibit 99.1.</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Tilray, whether made before or after the date hereof, regardless of any general incorporation language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60" w:type="dxa"/>
            <w:vAlign w:val="bottom"/>
          </w:tcPr>
          <w:p>
            <w:pPr>
              <w:spacing w:after="0"/>
              <w:rPr>
                <w:sz w:val="20"/>
                <w:szCs w:val="20"/>
                <w:color w:val="auto"/>
              </w:rPr>
            </w:pPr>
          </w:p>
        </w:tc>
      </w:tr>
      <w:tr>
        <w:trPr>
          <w:trHeight w:val="36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July 29, 2024</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7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0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Tilray Brands, Inc.</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2024</w:t>
            </w:r>
          </w:p>
        </w:tc>
        <w:tc>
          <w:tcPr>
            <w:tcW w:w="40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Mitchell Gendel</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Mitchell Gendel</w:t>
            </w: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8"/>
              </w:rPr>
              <w:t>Global General Counsel</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Tilray Brands Reports Record Financial Results, Achieves 26% Net Revenue Growth</w:t>
      </w:r>
    </w:p>
    <w:p>
      <w:pPr>
        <w:spacing w:after="0" w:line="2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i w:val="1"/>
          <w:iCs w:val="1"/>
          <w:color w:val="auto"/>
        </w:rPr>
        <w:t>Record Fiscal 2024 Gross Profit</w:t>
      </w:r>
    </w:p>
    <w:p>
      <w:pPr>
        <w:spacing w:after="0" w:line="2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i w:val="1"/>
          <w:iCs w:val="1"/>
          <w:color w:val="auto"/>
        </w:rPr>
        <w:t>Reduced Net Convertible Debt by ~$300 Million in Fiscal 2024</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Fiscal 2024 Net Revenue Reaches $789 Million, Led by Cannabis Net Revenue of $273 Million and Beverage-Alcohol Net</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i w:val="1"/>
          <w:iCs w:val="1"/>
          <w:color w:val="auto"/>
        </w:rPr>
        <w:t>Revenue of $202 Million</w:t>
      </w:r>
    </w:p>
    <w:p>
      <w:pPr>
        <w:spacing w:after="0" w:line="17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i w:val="1"/>
          <w:iCs w:val="1"/>
          <w:color w:val="auto"/>
        </w:rPr>
        <w:t>Successfully Executing on Diversified Lifestyle Business Strategy;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Tilray Cannabis, Tilray Beverages, Tilray Spirits and Tilray Wellness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NEW YORK and LEAMINGTON, Ontario, and NEÜMUNSTER, Germany, July 29, 2024 (GLOBE NEWSWIRE) -- Tilray Brands, Inc. (“Tilray”, “our”, “we” or the “Company”) (Nasdaq: TLRY; TSX: TLRY), a global lifestyle consumer packaged goods company elevating lives through moments of connection, today reported financial results for its fourth quarter and fiscal year ended May 31, 2024.</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Irwin D. Simon, Chairman and Chief Executive Officer, stated, “Tilray Brands is leading the convergence of cannabis, beverages, and wellness on a global scale. In Fiscal 2024, the Company achieved remarkable growth across its businesses, with a 26% increase in net revenue over the prior year, record-breaking performance in gross profit and adjusted EBITDA, and generated positive adjusted free cash flow for the fiscal year. We have also significantly reduced our net convertible debt by ~$300 million and surpassed our cost-savings synergy target, which has strengthened our balance sheet. These results were driven by our successful execution of our diversification strategy, which we started in 2020, and the hard work of our team.”</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Mr. Simon continued, “Tilray Brands also successfully completed three acquisitions - the eight iconic craft brands from Anheuser-Busch Companies, LLC., HEXO Corp., and Truss Beverage Co. These acquisitions were strategic in fortifying Tilray’s house of brands, strengthening our operations, and positioning the Company as a leader across several industries and regions. In</w:t>
      </w:r>
    </w:p>
    <w:p>
      <w:pPr>
        <w:jc w:val="both"/>
        <w:spacing w:after="0" w:line="217" w:lineRule="auto"/>
        <w:rPr>
          <w:sz w:val="20"/>
          <w:szCs w:val="20"/>
          <w:color w:val="auto"/>
        </w:rPr>
      </w:pPr>
      <w:r>
        <w:rPr>
          <w:rFonts w:ascii="Times New Roman" w:cs="Times New Roman" w:eastAsia="Times New Roman" w:hAnsi="Times New Roman"/>
          <w:sz w:val="21"/>
          <w:szCs w:val="21"/>
          <w:color w:val="auto"/>
        </w:rPr>
        <w:t>the U.S., Tilray Beverages is the 5th</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xml:space="preserve"> largest craft brewer and Tilray Wellness is the leader in hemp products. In Canada, Tilray Cannabis holds the #1 recreational cannabis market share, while in Europe, it is the market leader in medical cannabis. Leading the convergence of cannabis, beverages, and wellness, Tilray Brands is poised to continue to disrupt the CPG industry globally.”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Highlights – 2024 Fiscal Fourth Quarter</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Net revenue increased 25% to $229.9 million in the fourth quarter compared to $184.2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Gross profit was $82.4 million in the fourth quarter compared to $67.2 million in the prior year quarter. Gross margin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92" w:lineRule="auto"/>
        <w:rPr>
          <w:sz w:val="20"/>
          <w:szCs w:val="20"/>
          <w:color w:val="auto"/>
        </w:rPr>
      </w:pPr>
      <w:r>
        <w:rPr>
          <w:rFonts w:ascii="Times New Roman" w:cs="Times New Roman" w:eastAsia="Times New Roman" w:hAnsi="Times New Roman"/>
          <w:sz w:val="22"/>
          <w:szCs w:val="22"/>
          <w:color w:val="auto"/>
        </w:rPr>
        <w:t>adjusted gross margin</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were both 36%.</w:t>
      </w:r>
    </w:p>
    <w:p>
      <w:pPr>
        <w:ind w:left="540"/>
        <w:spacing w:after="0" w:line="231" w:lineRule="auto"/>
        <w:rPr>
          <w:sz w:val="20"/>
          <w:szCs w:val="20"/>
          <w:color w:val="auto"/>
        </w:rPr>
      </w:pPr>
      <w:r>
        <w:rPr>
          <w:rFonts w:ascii="Times New Roman" w:cs="Times New Roman" w:eastAsia="Times New Roman" w:hAnsi="Times New Roman"/>
          <w:sz w:val="22"/>
          <w:szCs w:val="22"/>
          <w:color w:val="auto"/>
        </w:rPr>
        <w:t>Beverage-alcohol net revenue increased 137% to $76.7 million in the fourth quarter from $32.4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quarter. The increase was led by new product innovation and contributions from our Craft Acquisition brands.</w:t>
      </w:r>
    </w:p>
    <w:p>
      <w:pPr>
        <w:ind w:left="1080"/>
        <w:spacing w:after="0" w:line="231" w:lineRule="auto"/>
        <w:rPr>
          <w:sz w:val="20"/>
          <w:szCs w:val="20"/>
          <w:color w:val="auto"/>
        </w:rPr>
      </w:pPr>
      <w:r>
        <w:rPr>
          <w:rFonts w:ascii="Times New Roman" w:cs="Times New Roman" w:eastAsia="Times New Roman" w:hAnsi="Times New Roman"/>
          <w:sz w:val="22"/>
          <w:szCs w:val="22"/>
          <w:color w:val="auto"/>
        </w:rPr>
        <w:t>Beverage-alcohol gross profit increased 146% to $40.8 million in the fourth quarter from $16.6 million in the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1"/>
          <w:szCs w:val="21"/>
          <w:color w:val="auto"/>
        </w:rPr>
        <w:t>year quarter. Adjusted beverage-alcohol gross profit increased 130% to $41.0 million from $17.8 million in the prior</w:t>
      </w:r>
    </w:p>
    <w:p>
      <w:pPr>
        <w:ind w:left="1080"/>
        <w:spacing w:after="0" w:line="231" w:lineRule="auto"/>
        <w:rPr>
          <w:sz w:val="20"/>
          <w:szCs w:val="20"/>
          <w:color w:val="auto"/>
        </w:rPr>
      </w:pPr>
      <w:r>
        <w:rPr>
          <w:rFonts w:ascii="Times New Roman" w:cs="Times New Roman" w:eastAsia="Times New Roman" w:hAnsi="Times New Roman"/>
          <w:sz w:val="22"/>
          <w:szCs w:val="22"/>
          <w:color w:val="auto"/>
        </w:rPr>
        <w:t>year quarter.</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Beverage-alcohol gross margin increased to 53% in the fourth quarter compared to 51% in the prior year quarter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firstLine="540"/>
        <w:spacing w:after="0" w:line="210" w:lineRule="auto"/>
        <w:rPr>
          <w:sz w:val="20"/>
          <w:szCs w:val="20"/>
          <w:color w:val="auto"/>
        </w:rPr>
      </w:pPr>
      <w:r>
        <w:rPr>
          <w:rFonts w:ascii="Times New Roman" w:cs="Times New Roman" w:eastAsia="Times New Roman" w:hAnsi="Times New Roman"/>
          <w:sz w:val="22"/>
          <w:szCs w:val="22"/>
          <w:color w:val="auto"/>
        </w:rPr>
        <w:t>adjusted gross beverage alcohol margin</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53% in the fourth quarter compared to 55% in the prior year quarter. Cannabis net revenue increased 12% to $71.9 million in the fourth quarter compared to $64.4 million in the prior year quarter, driven in part by the acquisitions of HEXO and Truss.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right="20"/>
        <w:spacing w:after="0" w:line="197" w:lineRule="auto"/>
        <w:rPr>
          <w:sz w:val="20"/>
          <w:szCs w:val="20"/>
          <w:color w:val="auto"/>
        </w:rPr>
      </w:pPr>
      <w:r>
        <w:rPr>
          <w:rFonts w:ascii="Times New Roman" w:cs="Times New Roman" w:eastAsia="Times New Roman" w:hAnsi="Times New Roman"/>
          <w:sz w:val="22"/>
          <w:szCs w:val="22"/>
          <w:color w:val="auto"/>
        </w:rPr>
        <w:t>Cannabis gross profit and adjusted gross profit</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decreased to $28.8 million in the fourth quarter from $39.5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-260350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spacing w:after="0" w:line="205" w:lineRule="auto"/>
        <w:rPr>
          <w:sz w:val="20"/>
          <w:szCs w:val="20"/>
          <w:color w:val="auto"/>
        </w:rPr>
      </w:pPr>
      <w:r>
        <w:rPr>
          <w:rFonts w:ascii="Times New Roman" w:cs="Times New Roman" w:eastAsia="Times New Roman" w:hAnsi="Times New Roman"/>
          <w:sz w:val="22"/>
          <w:szCs w:val="22"/>
          <w:color w:val="auto"/>
        </w:rPr>
        <w:t>Cannabis gross margin and adjusted gross margin</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were 40% in the fourth quarter compared to 61% in the prior year quarter. A substantial portion of the decrease is a result of the completion of the HEXO advisory services agreement in Q1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-411480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Distribution net revenue was $65.6 million in the fourth quarter compared to $72.6 million in the prior year quarter. The decrease was driven by management’s focus on discontinuing less profitable product lines demonstrated by Distribution’s gross margin increasing to 12% in the fourth quarter compared to 9%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Wellness net revenue increased 6% to $15.7 million in the fourth quarter from $14.8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Net loss narrowed to ($15.4) million in the fourth quarter compared to net loss of ($119.8)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197" w:lineRule="auto"/>
        <w:rPr>
          <w:sz w:val="20"/>
          <w:szCs w:val="20"/>
          <w:color w:val="auto"/>
        </w:rPr>
      </w:pPr>
      <w:r>
        <w:rPr>
          <w:rFonts w:ascii="Times New Roman" w:cs="Times New Roman" w:eastAsia="Times New Roman" w:hAnsi="Times New Roman"/>
          <w:sz w:val="22"/>
          <w:szCs w:val="22"/>
          <w:color w:val="auto"/>
        </w:rPr>
        <w:t>almost all of which is a result of non-cash expenses. Adjusted net income</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$35.1 million in the fourth quarter compared to a loss of ($11.8) million in the prior year quarter</w:t>
      </w:r>
    </w:p>
    <w:p>
      <w:pPr>
        <w:spacing w:after="0" w:line="2" w:lineRule="exact"/>
        <w:rPr>
          <w:sz w:val="20"/>
          <w:szCs w:val="20"/>
          <w:color w:val="auto"/>
        </w:rPr>
      </w:pPr>
    </w:p>
    <w:p>
      <w:pPr>
        <w:jc w:val="both"/>
        <w:ind w:left="540"/>
        <w:spacing w:after="0" w:line="197" w:lineRule="auto"/>
        <w:rPr>
          <w:sz w:val="20"/>
          <w:szCs w:val="20"/>
          <w:color w:val="auto"/>
        </w:rPr>
      </w:pPr>
      <w:r>
        <w:rPr>
          <w:rFonts w:ascii="Times New Roman" w:cs="Times New Roman" w:eastAsia="Times New Roman" w:hAnsi="Times New Roman"/>
          <w:sz w:val="22"/>
          <w:szCs w:val="22"/>
          <w:color w:val="auto"/>
        </w:rPr>
        <w:t>Net loss per share narrowed to ($0.04) compared to ($0.15) in the prior year quarter. Adjusted net income (loss) per share</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$0.04 compared to a loss of ($0.02)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01" w:lineRule="auto"/>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increased 37% to $29.5 million in the fourth quarter compared to $21.5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Highlights – 2024 Fiscal Year</w:t>
      </w:r>
    </w:p>
    <w:p>
      <w:pPr>
        <w:sectPr>
          <w:pgSz w:w="11900" w:h="16838" w:orient="portrait"/>
          <w:cols w:equalWidth="0" w:num="1">
            <w:col w:w="11240"/>
          </w:cols>
          <w:pgMar w:left="320" w:top="108" w:right="339" w:bottom="0" w:gutter="0" w:footer="0" w:header="0"/>
        </w:sectPr>
      </w:pPr>
    </w:p>
    <w:bookmarkStart w:id="4" w:name="page5"/>
    <w:bookmarkEnd w:id="4"/>
    <w:p>
      <w:pPr>
        <w:ind w:left="540"/>
        <w:spacing w:after="0"/>
        <w:rPr>
          <w:sz w:val="20"/>
          <w:szCs w:val="20"/>
          <w:color w:val="auto"/>
        </w:rPr>
      </w:pPr>
      <w:r>
        <w:rPr>
          <w:rFonts w:ascii="Times New Roman" w:cs="Times New Roman" w:eastAsia="Times New Roman" w:hAnsi="Times New Roman"/>
          <w:sz w:val="22"/>
          <w:szCs w:val="22"/>
          <w:color w:val="auto"/>
        </w:rPr>
        <w:t>Net revenue increased 26% to $788.9 million in fiscal 2024 compared to $627.1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-94615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Gross profit was $223.4 million, while adjusted gross profit</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increased 14% to $235.6 million in fiscal 2024.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-107315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4" w:lineRule="auto"/>
        <w:rPr>
          <w:sz w:val="20"/>
          <w:szCs w:val="20"/>
          <w:color w:val="auto"/>
        </w:rPr>
      </w:pPr>
      <w:r>
        <w:rPr>
          <w:rFonts w:ascii="Times New Roman" w:cs="Times New Roman" w:eastAsia="Times New Roman" w:hAnsi="Times New Roman"/>
          <w:sz w:val="21"/>
          <w:szCs w:val="21"/>
          <w:color w:val="auto"/>
        </w:rPr>
        <w:t>was 28% and adjusted gross margin</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1"/>
          <w:szCs w:val="21"/>
          <w:color w:val="auto"/>
        </w:rPr>
        <w:t xml:space="preserve"> was 30%.</w:t>
      </w:r>
    </w:p>
    <w:p>
      <w:pPr>
        <w:ind w:left="540"/>
        <w:spacing w:after="0" w:line="231" w:lineRule="auto"/>
        <w:rPr>
          <w:sz w:val="20"/>
          <w:szCs w:val="20"/>
          <w:color w:val="auto"/>
        </w:rPr>
      </w:pPr>
      <w:r>
        <w:rPr>
          <w:rFonts w:ascii="Times New Roman" w:cs="Times New Roman" w:eastAsia="Times New Roman" w:hAnsi="Times New Roman"/>
          <w:sz w:val="22"/>
          <w:szCs w:val="22"/>
          <w:color w:val="auto"/>
        </w:rPr>
        <w:t>Beverage-alcohol net revenue increased 113% to $202.1 million in fiscal 2024 from $95.1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5" w:lineRule="auto"/>
        <w:rPr>
          <w:sz w:val="20"/>
          <w:szCs w:val="20"/>
          <w:color w:val="auto"/>
        </w:rPr>
      </w:pPr>
      <w:r>
        <w:rPr>
          <w:rFonts w:ascii="Times New Roman" w:cs="Times New Roman" w:eastAsia="Times New Roman" w:hAnsi="Times New Roman"/>
          <w:sz w:val="22"/>
          <w:szCs w:val="22"/>
          <w:color w:val="auto"/>
        </w:rPr>
        <w:t>Beverage-alcohol gross profit increased 91% to $88.6 million in fiscal 2024 from $46.3 million in the prior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-106680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04" w:lineRule="auto"/>
        <w:rPr>
          <w:sz w:val="20"/>
          <w:szCs w:val="20"/>
          <w:color w:val="auto"/>
        </w:rPr>
      </w:pPr>
      <w:r>
        <w:rPr>
          <w:rFonts w:ascii="Times New Roman" w:cs="Times New Roman" w:eastAsia="Times New Roman" w:hAnsi="Times New Roman"/>
          <w:sz w:val="21"/>
          <w:szCs w:val="21"/>
          <w:color w:val="auto"/>
        </w:rPr>
        <w:t>year. Adjusted beverage-alcohol gross profit</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increased to $93.2 million from $50.8 million in the prior fiscal year. Beverage-alcohol gross margin was 44% in fiscal 2024 compared to 49% in the prior fiscal year and adjusted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-106045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0"/>
        <w:spacing w:after="0" w:line="200" w:lineRule="auto"/>
        <w:rPr>
          <w:sz w:val="20"/>
          <w:szCs w:val="20"/>
          <w:color w:val="auto"/>
        </w:rPr>
      </w:pPr>
      <w:r>
        <w:rPr>
          <w:rFonts w:ascii="Times New Roman" w:cs="Times New Roman" w:eastAsia="Times New Roman" w:hAnsi="Times New Roman"/>
          <w:sz w:val="22"/>
          <w:szCs w:val="22"/>
          <w:color w:val="auto"/>
        </w:rPr>
        <w:t>beverage alcohol margin</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46% in fiscal 2024 compared to 53% in the prior fiscal year, reflecting lower contribution margins from the acquired brands.</w:t>
      </w:r>
    </w:p>
    <w:p>
      <w:pPr>
        <w:spacing w:after="0" w:line="2" w:lineRule="exact"/>
        <w:rPr>
          <w:sz w:val="20"/>
          <w:szCs w:val="20"/>
          <w:color w:val="auto"/>
        </w:rPr>
      </w:pP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Cannabis net revenue increased 24% to $272.8 million in fiscal 2024 compared to $220.4 million in the prior fiscal year, reflecting the acquisitions of HEXO and Truss as well as growth across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6" w:lineRule="auto"/>
        <w:rPr>
          <w:sz w:val="20"/>
          <w:szCs w:val="20"/>
          <w:color w:val="auto"/>
        </w:rPr>
      </w:pPr>
      <w:r>
        <w:rPr>
          <w:rFonts w:ascii="Times New Roman" w:cs="Times New Roman" w:eastAsia="Times New Roman" w:hAnsi="Times New Roman"/>
          <w:sz w:val="22"/>
          <w:szCs w:val="22"/>
          <w:color w:val="auto"/>
        </w:rPr>
        <w:t>Cannabis gross profit increased to $90.2 million in fiscal 2024 from $57.7 million in the prior fiscal year.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-107315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195" w:lineRule="auto"/>
        <w:rPr>
          <w:sz w:val="20"/>
          <w:szCs w:val="20"/>
          <w:color w:val="auto"/>
        </w:rPr>
      </w:pPr>
      <w:r>
        <w:rPr>
          <w:rFonts w:ascii="Times New Roman" w:cs="Times New Roman" w:eastAsia="Times New Roman" w:hAnsi="Times New Roman"/>
          <w:sz w:val="22"/>
          <w:szCs w:val="22"/>
          <w:color w:val="auto"/>
        </w:rPr>
        <w:t>gross profit</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$97.8 million compared to $112.7 million in the prior fiscal year as a result of the advisory service agreement concluding in Q1 fiscal 2024.</w:t>
      </w:r>
    </w:p>
    <w:p>
      <w:pPr>
        <w:spacing w:after="0" w:line="2" w:lineRule="exact"/>
        <w:rPr>
          <w:sz w:val="20"/>
          <w:szCs w:val="20"/>
          <w:color w:val="auto"/>
        </w:rPr>
      </w:pPr>
    </w:p>
    <w:p>
      <w:pPr>
        <w:ind w:left="1080"/>
        <w:spacing w:after="0" w:line="197" w:lineRule="auto"/>
        <w:rPr>
          <w:sz w:val="20"/>
          <w:szCs w:val="20"/>
          <w:color w:val="auto"/>
        </w:rPr>
      </w:pPr>
      <w:r>
        <w:rPr>
          <w:rFonts w:ascii="Times New Roman" w:cs="Times New Roman" w:eastAsia="Times New Roman" w:hAnsi="Times New Roman"/>
          <w:sz w:val="22"/>
          <w:szCs w:val="22"/>
          <w:color w:val="auto"/>
        </w:rPr>
        <w:t>Cannabis gross margin was 33% in fiscal 2024 compared to 26% in the prior fiscal year. Adjusted cannabis gross margin</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was 36% compared to 51%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-291465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Distribution net revenue and gross margin remained consistent at ~$259 million and 11% in fiscal 2024 compared to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Wellness net revenue increased 5% to $55.3 million in fiscal 2024 from $52.8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Wellness gross margin was 30% in fiscal 2024 compared to 29%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2" w:lineRule="auto"/>
        <w:rPr>
          <w:sz w:val="20"/>
          <w:szCs w:val="20"/>
          <w:color w:val="auto"/>
        </w:rPr>
      </w:pPr>
      <w:r>
        <w:rPr>
          <w:rFonts w:ascii="Times New Roman" w:cs="Times New Roman" w:eastAsia="Times New Roman" w:hAnsi="Times New Roman"/>
          <w:sz w:val="22"/>
          <w:szCs w:val="22"/>
          <w:color w:val="auto"/>
        </w:rPr>
        <w:t>Net loss decreased to ($222.4) million in fiscal 2024 compared to net loss of $(1.4) billion in the prior fiscal year, almost all of which is a result of non-cash expenses. Net loss per share narrowed to $(0.33) and improved compared to a net loss of $(2.35)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-415925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07" w:lineRule="auto"/>
        <w:rPr>
          <w:sz w:val="20"/>
          <w:szCs w:val="20"/>
          <w:color w:val="auto"/>
        </w:rPr>
      </w:pPr>
      <w:r>
        <w:rPr>
          <w:rFonts w:ascii="Times New Roman" w:cs="Times New Roman" w:eastAsia="Times New Roman" w:hAnsi="Times New Roman"/>
          <w:sz w:val="21"/>
          <w:szCs w:val="21"/>
          <w:color w:val="auto"/>
        </w:rPr>
        <w:t>Adjusted net income</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increased to $6.2 million in fiscal 2024 compared to adjusted net income</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of $0.4 million in the prior fiscal year. Adjusted net income per share</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narrowed to $0.01 compared to $0.00 in the prior fiscal year. Adjusted EBITDA</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increased to $60.5 million in fiscal 2024 compared to $58.7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-479425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-102235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6" w:lineRule="auto"/>
        <w:rPr>
          <w:sz w:val="20"/>
          <w:szCs w:val="20"/>
          <w:color w:val="auto"/>
        </w:rPr>
      </w:pPr>
      <w:r>
        <w:rPr>
          <w:rFonts w:ascii="Times New Roman" w:cs="Times New Roman" w:eastAsia="Times New Roman" w:hAnsi="Times New Roman"/>
          <w:sz w:val="22"/>
          <w:szCs w:val="22"/>
          <w:color w:val="auto"/>
        </w:rPr>
        <w:t>Strong financial liquidity position of ~$260.5 million, consisting of $228.3 million in cash and $32.2 million in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Reduced outstanding principal of the net convertible debt by $291.0 million compared to the previous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2" w:lineRule="auto"/>
        <w:rPr>
          <w:sz w:val="20"/>
          <w:szCs w:val="20"/>
          <w:color w:val="auto"/>
        </w:rPr>
      </w:pPr>
      <w:r>
        <w:rPr>
          <w:rFonts w:ascii="Times New Roman" w:cs="Times New Roman" w:eastAsia="Times New Roman" w:hAnsi="Times New Roman"/>
          <w:sz w:val="22"/>
          <w:szCs w:val="22"/>
          <w:color w:val="auto"/>
        </w:rPr>
        <w:t>Net cash used in operating activities was $(30.9) million in fiscal 2024 compared to $7.9 million net cash from operating activities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2140" w:firstLine="540"/>
        <w:spacing w:after="0" w:line="345" w:lineRule="auto"/>
        <w:rPr>
          <w:sz w:val="20"/>
          <w:szCs w:val="20"/>
          <w:color w:val="auto"/>
        </w:rPr>
      </w:pPr>
      <w:r>
        <w:rPr>
          <w:rFonts w:ascii="Times New Roman" w:cs="Times New Roman" w:eastAsia="Times New Roman" w:hAnsi="Times New Roman"/>
          <w:sz w:val="22"/>
          <w:szCs w:val="22"/>
          <w:color w:val="auto"/>
        </w:rPr>
        <w:t>Adjusted free cash flow</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of $6.6 million in fiscal 2024 compared to $19.1 million in the prior year. </w:t>
      </w:r>
      <w:r>
        <w:rPr>
          <w:rFonts w:ascii="Times New Roman" w:cs="Times New Roman" w:eastAsia="Times New Roman" w:hAnsi="Times New Roman"/>
          <w:sz w:val="22"/>
          <w:szCs w:val="22"/>
          <w:b w:val="1"/>
          <w:bCs w:val="1"/>
          <w:color w:val="auto"/>
        </w:rPr>
        <w:t>Live Audio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-516890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Tilray Brands will host a webcast to discuss these results today at 4:30 p.m. Eastern Time. Investors may join the live webcast available on the Investors section of the Company’s website at www.Tilray.com. A replay will be available and archived on the Company’s website.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Tilray Brands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 Tilray’s unprecedented platform supports over 40 brands in over 20 countries, including comprehensive cannabis offerings, hemp-based foods, and craft beverages.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how we are elevating lives through moments of connection, visit Tilray.com and follow @Tilray on all social platforms.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Concerning Forward-Looking Statements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22"/>
          <w:szCs w:val="22"/>
          <w:color w:val="auto"/>
        </w:rPr>
        <w:t>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expected revenue growth, sales volume, profitability, synergies and accretion related to any of its acquisitions; expected opportunities in the U.S., including upon U.S. federal cannabis legalization or rescheduling; the Company’s anticipated investments and acquisitions, including in organic and strategic growth, partnership efforts, product offerings and other initiatives; and the Company’s ability to commercialize new and innovative products.</w:t>
      </w:r>
    </w:p>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Non-U.S. GAAP Financial Measures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net income (loss), Adjusted net income (loss) per share , free cash flow, adjusted free cash flow, constant currency presentations of revenue and cash and marketable securities.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foreign exchange movements and other items. The unavailable information could have a significant impact on the Company's GAAP financial results.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Adjusted EBITDA is calculated as net income (loss) before income tax benefits, net; interest expense, net; non-operating income (expense), net; amortization; stock-based compensation; change in fair value of contingent consideration; purchase price accounting step-up; impairments; inventory valuation allowance; Other than temporary change in fair value of convertible notes receivable; facility start-up and closure costs; litigation costs; restructuring costs, transaction (income) costs and (Gain) loss on sale of capital assets – non-operating facility. A reconciliation of Adjusted EBITDA to net loss, the most directly comparable GAAP measure, has been provided in the financial statement tables included below in this press release. Historically, we have included lease expenses for leases that were treated differently under IFRS 16 and ASC 842 in the calculation of adjusted EBITDA, aiming to align our definition with industry peers reporting under IFRS. The decision to include these lease expenses in the Company's definition of adjusted EBITDA was based on our efforts to maintain comparability with peers. However, as the Company has continued to diversify, particularly with strategic acquisitions such as the newly acquired beverage alcohol business portfolio, this comparison is no longer relevant, accordingly, we are no longer including this adjustment. Had the Company continued to include lease expenses that were treated differently under IFRS 16 and ASC 842, the impact to adjusted EBITDA would have been $4.6 million for the year ended May 31, 2024. In comparison, under the previous reconciliation, the impact to adjusted EBITDA would have been $2.8 million and $3.1 for the years ended May 31, 2023, and May 31, 2022, respectively.</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Adjusted net income (loss) is calculated as net loss attributable to stockholders of Tilray Brands, Inc., less; non-operating income (expense), net; amortization; stock-based compensation; change in fair value of contingent consideration; impairments; inventory valuation allowance; Other than temporary change in fair value of convertible notes receivable, attributable to stockholders of Tilray Brands, Inc. facility start-up and closure costs; litigation costs; restructuring costs and transaction (income) costs. A reconciliation of Adjusted net income (loss) to net loss attributable to stockholders of Tilray Brands, Inc., the most directly comparable GAAP measure, has been included below in this press release.</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35" w:lineRule="auto"/>
        <w:rPr>
          <w:sz w:val="20"/>
          <w:szCs w:val="20"/>
          <w:color w:val="auto"/>
        </w:rPr>
      </w:pPr>
      <w:r>
        <w:rPr>
          <w:rFonts w:ascii="Times New Roman" w:cs="Times New Roman" w:eastAsia="Times New Roman" w:hAnsi="Times New Roman"/>
          <w:sz w:val="22"/>
          <w:szCs w:val="22"/>
          <w:color w:val="auto"/>
        </w:rPr>
        <w:t>Adjusted net income (loss) per share is calculated as net loss attributable to stockholders of Tilray Brands, Inc., net; non-operating income (expense), net; amortization; stock-based compensation; change in fair value of contingent consideration; facility start-up and closure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Adjusted gross profit (consolidated and for each of our reporting segments), is calculated as gross profit adjusted to exclude the impact of purchase price accounting valuation step-up and inventory valuation adjustments. A reconciliation of Adjusted gross profit, excluding purchase price accounting valuation step-up and inventory valuation adjustments, to gross profit, the most directly comparable GAAP measure, has been provided in the financial statement tables included above in this press release. Adjusted gross margin (consolidated and for each of our reporting segments), excluding purchase price accounting valuation step-up and inventory valuation adjustments, is calculated as revenue less cost of sales adjusted to add back amortization of inventory step-up and inventory valuation adjustments, divided by revenue. A reconciliation of Adjusted gross margin, excluding purchase price accounting valuation step-up and inventory valuation allowance, to gross margin, the most directly comparable GAAP measure, has been provided in the financial statement tables included above in this press release.</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our integration costs related to HEXO and the Craft Acquisition and the cash income taxes related to Aphria Diamond to align with management’s prescribed guidance. A reconciliation of net cash flow provided by (used in) operating activities to adjusted free cash flow, the most directly comparable GAAP measure, has been provided in the financial statement tables included above in this press release.</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Constant currency presentations of revenue are used to normalize the effects of foreign currency.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w:t>
      </w:r>
    </w:p>
    <w:p>
      <w:pPr>
        <w:spacing w:after="0"/>
        <w:rPr>
          <w:sz w:val="20"/>
          <w:szCs w:val="20"/>
          <w:color w:val="auto"/>
        </w:rPr>
      </w:pPr>
      <w:r>
        <w:rPr>
          <w:rFonts w:ascii="Times New Roman" w:cs="Times New Roman" w:eastAsia="Times New Roman" w:hAnsi="Times New Roman"/>
          <w:sz w:val="22"/>
          <w:szCs w:val="22"/>
          <w:color w:val="auto"/>
        </w:rPr>
        <w:t>news@tilray.com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Investors@tilra.com</w:t>
      </w:r>
    </w:p>
    <w:p>
      <w:pPr>
        <w:spacing w:after="0" w:line="94" w:lineRule="exact"/>
        <w:rPr>
          <w:sz w:val="20"/>
          <w:szCs w:val="20"/>
          <w:color w:val="auto"/>
        </w:rPr>
      </w:pPr>
    </w:p>
    <w:p>
      <w:pPr>
        <w:ind w:left="160" w:hanging="152"/>
        <w:spacing w:after="0"/>
        <w:tabs>
          <w:tab w:leader="none" w:pos="160" w:val="left"/>
        </w:tabs>
        <w:numPr>
          <w:ilvl w:val="0"/>
          <w:numId w:val="2"/>
        </w:numPr>
        <w:rPr>
          <w:rFonts w:ascii="Times New Roman" w:cs="Times New Roman" w:eastAsia="Times New Roman" w:hAnsi="Times New Roman"/>
          <w:sz w:val="36"/>
          <w:szCs w:val="36"/>
          <w:i w:val="1"/>
          <w:iCs w:val="1"/>
          <w:color w:val="auto"/>
          <w:vertAlign w:val="superscript"/>
        </w:rPr>
      </w:pPr>
      <w:r>
        <w:rPr>
          <w:rFonts w:ascii="Times New Roman" w:cs="Times New Roman" w:eastAsia="Times New Roman" w:hAnsi="Times New Roman"/>
          <w:sz w:val="22"/>
          <w:szCs w:val="22"/>
          <w:i w:val="1"/>
          <w:iCs w:val="1"/>
          <w:color w:val="auto"/>
        </w:rPr>
        <w:t>Circana volume sales L26W ending 7/7/24</w:t>
      </w:r>
    </w:p>
    <w:p>
      <w:pPr>
        <w:spacing w:after="0" w:line="21" w:lineRule="exact"/>
        <w:rPr>
          <w:sz w:val="20"/>
          <w:szCs w:val="20"/>
          <w:color w:val="auto"/>
        </w:rPr>
      </w:pPr>
    </w:p>
    <w:p>
      <w:pPr>
        <w:ind w:right="60" w:firstLine="8"/>
        <w:spacing w:after="0" w:line="209" w:lineRule="auto"/>
        <w:tabs>
          <w:tab w:leader="none" w:pos="144" w:val="left"/>
        </w:tabs>
        <w:numPr>
          <w:ilvl w:val="0"/>
          <w:numId w:val="3"/>
        </w:numPr>
        <w:rPr>
          <w:rFonts w:ascii="Times New Roman" w:cs="Times New Roman" w:eastAsia="Times New Roman" w:hAnsi="Times New Roman"/>
          <w:sz w:val="35"/>
          <w:szCs w:val="35"/>
          <w:i w:val="1"/>
          <w:iCs w:val="1"/>
          <w:color w:val="auto"/>
          <w:vertAlign w:val="superscript"/>
        </w:rPr>
      </w:pPr>
      <w:r>
        <w:rPr>
          <w:rFonts w:ascii="Times New Roman" w:cs="Times New Roman" w:eastAsia="Times New Roman" w:hAnsi="Times New Roman"/>
          <w:sz w:val="21"/>
          <w:szCs w:val="21"/>
          <w:i w:val="1"/>
          <w:iCs w:val="1"/>
          <w:color w:val="auto"/>
        </w:rPr>
        <w:t>Adjusted EBITDA, Adjusted gross margin, Adjusted net income, adjusted gross profit and adjusted gross margin for each of our segments, and Adjusted net income (loss) are non-GAAP financial measures. See “Reconciliation of Non-GAAP Financial Measures to GAAP Measures” below for a reconciliation of these Non-GAAP Measures to our most comparable GAAP measure.</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w:t>
            </w:r>
          </w:p>
        </w:tc>
        <w:tc>
          <w:tcPr>
            <w:tcW w:w="200" w:type="dxa"/>
            <w:vAlign w:val="bottom"/>
          </w:tcPr>
          <w:p>
            <w:pPr>
              <w:spacing w:after="0"/>
              <w:rPr>
                <w:sz w:val="24"/>
                <w:szCs w:val="24"/>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May 31,</w:t>
            </w:r>
          </w:p>
        </w:tc>
        <w:tc>
          <w:tcPr>
            <w:tcW w:w="200" w:type="dxa"/>
            <w:vAlign w:val="bottom"/>
          </w:tcPr>
          <w:p>
            <w:pPr>
              <w:spacing w:after="0"/>
              <w:rPr>
                <w:sz w:val="24"/>
                <w:szCs w:val="24"/>
                <w:color w:val="auto"/>
              </w:rPr>
            </w:pP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May 31,</w:t>
            </w:r>
          </w:p>
        </w:tc>
        <w:tc>
          <w:tcPr>
            <w:tcW w:w="0" w:type="dxa"/>
            <w:vAlign w:val="bottom"/>
          </w:tcPr>
          <w:p>
            <w:pPr>
              <w:spacing w:after="0"/>
              <w:rPr>
                <w:sz w:val="1"/>
                <w:szCs w:val="1"/>
                <w:color w:val="auto"/>
              </w:rPr>
            </w:pPr>
          </w:p>
        </w:tc>
      </w:tr>
      <w:tr>
        <w:trPr>
          <w:trHeight w:val="254"/>
        </w:trPr>
        <w:tc>
          <w:tcPr>
            <w:tcW w:w="8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47"/>
        </w:trPr>
        <w:tc>
          <w:tcPr>
            <w:tcW w:w="82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Assets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228,340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206,632</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Marketable securities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241,897</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net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86,227</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252,087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200,551</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31,332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Assets held for sale</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32,074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Total current assets</w:t>
            </w:r>
          </w:p>
        </w:tc>
        <w:tc>
          <w:tcPr>
            <w:tcW w:w="2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677,710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773,029</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 assets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558,247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429,667</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5,941</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Intangible assets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915,469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973,785</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Goodwill</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2,008,884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2,008,843</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in equity investees</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4,576</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investments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7,795</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notes receivable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103,401</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assets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222</w:t>
            </w:r>
          </w:p>
        </w:tc>
        <w:tc>
          <w:tcPr>
            <w:tcW w:w="0" w:type="dxa"/>
            <w:vAlign w:val="bottom"/>
          </w:tcPr>
          <w:p>
            <w:pPr>
              <w:spacing w:after="0"/>
              <w:rPr>
                <w:sz w:val="1"/>
                <w:szCs w:val="1"/>
                <w:color w:val="auto"/>
              </w:rPr>
            </w:pPr>
          </w:p>
        </w:tc>
      </w:tr>
      <w:tr>
        <w:trPr>
          <w:trHeight w:val="265"/>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4,307,259</w:t>
            </w:r>
          </w:p>
        </w:tc>
        <w:tc>
          <w:tcPr>
            <w:tcW w:w="0" w:type="dxa"/>
            <w:vAlign w:val="bottom"/>
          </w:tcPr>
          <w:p>
            <w:pPr>
              <w:spacing w:after="0"/>
              <w:rPr>
                <w:sz w:val="1"/>
                <w:szCs w:val="1"/>
                <w:color w:val="auto"/>
              </w:rPr>
            </w:pPr>
          </w:p>
        </w:tc>
      </w:tr>
      <w:tr>
        <w:trPr>
          <w:trHeight w:val="21"/>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82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Bank indebtedness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23,381</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241,957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190,682</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Contingent consideration</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16,218</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Warrant liability</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1,817</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lease liabilities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2,423</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long-term debt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24,080</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convertible debentures payable</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174,378</w:t>
            </w:r>
          </w:p>
        </w:tc>
        <w:tc>
          <w:tcPr>
            <w:tcW w:w="0" w:type="dxa"/>
            <w:vAlign w:val="bottom"/>
          </w:tcPr>
          <w:p>
            <w:pPr>
              <w:spacing w:after="0"/>
              <w:rPr>
                <w:sz w:val="1"/>
                <w:szCs w:val="1"/>
                <w:color w:val="auto"/>
              </w:rPr>
            </w:pPr>
          </w:p>
        </w:tc>
      </w:tr>
      <w:tr>
        <w:trPr>
          <w:trHeight w:val="247"/>
        </w:trPr>
        <w:tc>
          <w:tcPr>
            <w:tcW w:w="82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00" w:type="dxa"/>
            <w:vAlign w:val="bottom"/>
          </w:tcPr>
          <w:p>
            <w:pPr>
              <w:spacing w:after="0"/>
              <w:rPr>
                <w:sz w:val="21"/>
                <w:szCs w:val="21"/>
                <w:color w:val="auto"/>
              </w:rPr>
            </w:pPr>
          </w:p>
        </w:tc>
        <w:tc>
          <w:tcPr>
            <w:tcW w:w="11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299,170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432,979</w:t>
            </w: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Long - term liabilities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Contingent consideration</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10,889</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Lease liabilities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7,936</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debt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158,352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136,889</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debentures payable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129,583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221,044</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130,870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167,364</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liabilities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215</w:t>
            </w:r>
          </w:p>
        </w:tc>
        <w:tc>
          <w:tcPr>
            <w:tcW w:w="0" w:type="dxa"/>
            <w:vAlign w:val="bottom"/>
          </w:tcPr>
          <w:p>
            <w:pPr>
              <w:spacing w:after="0"/>
              <w:rPr>
                <w:sz w:val="1"/>
                <w:szCs w:val="1"/>
                <w:color w:val="auto"/>
              </w:rPr>
            </w:pPr>
          </w:p>
        </w:tc>
      </w:tr>
      <w:tr>
        <w:trPr>
          <w:trHeight w:val="247"/>
        </w:trPr>
        <w:tc>
          <w:tcPr>
            <w:tcW w:w="82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liabilities</w:t>
            </w:r>
          </w:p>
        </w:tc>
        <w:tc>
          <w:tcPr>
            <w:tcW w:w="200" w:type="dxa"/>
            <w:vAlign w:val="bottom"/>
          </w:tcPr>
          <w:p>
            <w:pPr>
              <w:spacing w:after="0"/>
              <w:rPr>
                <w:sz w:val="21"/>
                <w:szCs w:val="21"/>
                <w:color w:val="auto"/>
              </w:rPr>
            </w:pPr>
          </w:p>
        </w:tc>
        <w:tc>
          <w:tcPr>
            <w:tcW w:w="11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778,487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977,316</w:t>
            </w: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Stockholders' equity</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 ($0.0001 par value; 1,198,000,000 common shares authorized;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831,925,373 and 656,655,455 common shares issued and outstanding, respectively)</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43"/>
        </w:trPr>
        <w:tc>
          <w:tcPr>
            <w:tcW w:w="82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Preferred shares ($0.0001 par value; 10,000,000 preferred shares authorized; nil and nil</w:t>
            </w:r>
          </w:p>
        </w:tc>
        <w:tc>
          <w:tcPr>
            <w:tcW w:w="200" w:type="dxa"/>
            <w:vAlign w:val="bottom"/>
          </w:tcPr>
          <w:p>
            <w:pPr>
              <w:spacing w:after="0"/>
              <w:rPr>
                <w:sz w:val="21"/>
                <w:szCs w:val="21"/>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1"/>
        </w:trPr>
        <w:tc>
          <w:tcPr>
            <w:tcW w:w="82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preferred shares issued and outstanding, respectively)</w:t>
            </w: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6,146,810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5,777,743</w:t>
            </w:r>
          </w:p>
        </w:tc>
        <w:tc>
          <w:tcPr>
            <w:tcW w:w="0" w:type="dxa"/>
            <w:vAlign w:val="bottom"/>
          </w:tcPr>
          <w:p>
            <w:pPr>
              <w:spacing w:after="0"/>
              <w:rPr>
                <w:sz w:val="1"/>
                <w:szCs w:val="1"/>
                <w:color w:val="auto"/>
              </w:rPr>
            </w:pPr>
          </w:p>
        </w:tc>
      </w:tr>
      <w:tr>
        <w:trPr>
          <w:trHeight w:val="270"/>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(46,610)</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Deficit</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(2,660,488)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(2,415,507)</w:t>
            </w:r>
          </w:p>
        </w:tc>
        <w:tc>
          <w:tcPr>
            <w:tcW w:w="0" w:type="dxa"/>
            <w:vAlign w:val="bottom"/>
          </w:tcPr>
          <w:p>
            <w:pPr>
              <w:spacing w:after="0"/>
              <w:rPr>
                <w:sz w:val="1"/>
                <w:szCs w:val="1"/>
                <w:color w:val="auto"/>
              </w:rPr>
            </w:pPr>
          </w:p>
        </w:tc>
      </w:tr>
      <w:tr>
        <w:trPr>
          <w:trHeight w:val="251"/>
        </w:trPr>
        <w:tc>
          <w:tcPr>
            <w:tcW w:w="820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Total Tilray Brands, Inc. stockholders' equity</w:t>
            </w:r>
          </w:p>
        </w:tc>
        <w:tc>
          <w:tcPr>
            <w:tcW w:w="2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3,442,906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3,315,692</w:t>
            </w:r>
          </w:p>
        </w:tc>
        <w:tc>
          <w:tcPr>
            <w:tcW w:w="0" w:type="dxa"/>
            <w:vAlign w:val="bottom"/>
          </w:tcPr>
          <w:p>
            <w:pPr>
              <w:spacing w:after="0"/>
              <w:rPr>
                <w:sz w:val="1"/>
                <w:szCs w:val="1"/>
                <w:color w:val="auto"/>
              </w:rPr>
            </w:pPr>
          </w:p>
        </w:tc>
      </w:tr>
      <w:tr>
        <w:trPr>
          <w:trHeight w:val="282"/>
        </w:trPr>
        <w:tc>
          <w:tcPr>
            <w:tcW w:w="82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Non-controlling interests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14,251</w:t>
            </w:r>
          </w:p>
        </w:tc>
        <w:tc>
          <w:tcPr>
            <w:tcW w:w="0" w:type="dxa"/>
            <w:vAlign w:val="bottom"/>
          </w:tcPr>
          <w:p>
            <w:pPr>
              <w:spacing w:after="0"/>
              <w:rPr>
                <w:sz w:val="1"/>
                <w:szCs w:val="1"/>
                <w:color w:val="auto"/>
              </w:rPr>
            </w:pPr>
          </w:p>
        </w:tc>
      </w:tr>
      <w:tr>
        <w:trPr>
          <w:trHeight w:val="265"/>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stockholders' equity</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3,443,178</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3,329,943</w:t>
            </w:r>
          </w:p>
        </w:tc>
        <w:tc>
          <w:tcPr>
            <w:tcW w:w="0" w:type="dxa"/>
            <w:vAlign w:val="bottom"/>
          </w:tcPr>
          <w:p>
            <w:pPr>
              <w:spacing w:after="0"/>
              <w:rPr>
                <w:sz w:val="1"/>
                <w:szCs w:val="1"/>
                <w:color w:val="auto"/>
              </w:rPr>
            </w:pPr>
          </w:p>
        </w:tc>
      </w:tr>
      <w:tr>
        <w:trPr>
          <w:trHeight w:val="263"/>
        </w:trPr>
        <w:tc>
          <w:tcPr>
            <w:tcW w:w="8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4,307,259</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Net Income (Loss) and Comprehensive Income (Loss)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1"/>
                <w:szCs w:val="21"/>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80" w:type="dxa"/>
            <w:vAlign w:val="bottom"/>
          </w:tcPr>
          <w:p>
            <w:pPr>
              <w:spacing w:after="0"/>
              <w:rPr>
                <w:sz w:val="21"/>
                <w:szCs w:val="21"/>
                <w:color w:val="auto"/>
              </w:rPr>
            </w:pPr>
          </w:p>
        </w:tc>
        <w:tc>
          <w:tcPr>
            <w:tcW w:w="2380" w:type="dxa"/>
            <w:vAlign w:val="bottom"/>
            <w:gridSpan w:val="5"/>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8"/>
              </w:rPr>
              <w:t>For the twelve months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120" w:type="dxa"/>
            <w:vAlign w:val="bottom"/>
            <w:gridSpan w:val="4"/>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8"/>
              </w:rPr>
              <w:t>ended May 31,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2380" w:type="dxa"/>
            <w:vAlign w:val="bottom"/>
            <w:gridSpan w:val="5"/>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ended May 31,</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0" w:type="dxa"/>
            <w:vAlign w:val="bottom"/>
          </w:tcPr>
          <w:p>
            <w:pPr>
              <w:spacing w:after="0"/>
              <w:rPr>
                <w:sz w:val="1"/>
                <w:szCs w:val="1"/>
                <w:color w:val="auto"/>
              </w:rPr>
            </w:pPr>
          </w:p>
        </w:tc>
      </w:tr>
      <w:tr>
        <w:trPr>
          <w:trHeight w:val="206"/>
        </w:trPr>
        <w:tc>
          <w:tcPr>
            <w:tcW w:w="2780" w:type="dxa"/>
            <w:vAlign w:val="bottom"/>
            <w:vMerge w:val="continue"/>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except for per share data)</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4"/>
                <w:szCs w:val="24"/>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2100" w:type="dxa"/>
            <w:vAlign w:val="bottom"/>
            <w:gridSpan w:val="4"/>
          </w:tcPr>
          <w:p>
            <w:pPr>
              <w:jc w:val="right"/>
              <w:ind w:right="46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51"/>
        </w:trPr>
        <w:tc>
          <w:tcPr>
            <w:tcW w:w="27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revenue</w:t>
            </w:r>
          </w:p>
        </w:tc>
        <w:tc>
          <w:tcPr>
            <w:tcW w:w="9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6"/>
              </w:rPr>
              <w:t>$229,882</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$ 184,188</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$ 45,694</w:t>
            </w:r>
          </w:p>
        </w:tc>
        <w:tc>
          <w:tcPr>
            <w:tcW w:w="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25%</w:t>
            </w:r>
          </w:p>
        </w:tc>
        <w:tc>
          <w:tcPr>
            <w:tcW w:w="80" w:type="dxa"/>
            <w:vAlign w:val="bottom"/>
          </w:tcPr>
          <w:p>
            <w:pPr>
              <w:spacing w:after="0"/>
              <w:rPr>
                <w:sz w:val="21"/>
                <w:szCs w:val="21"/>
                <w:color w:val="auto"/>
              </w:rPr>
            </w:pPr>
          </w:p>
        </w:tc>
        <w:tc>
          <w:tcPr>
            <w:tcW w:w="102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9"/>
              </w:rPr>
              <w:t>$ 788,942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627,124</w:t>
            </w:r>
          </w:p>
        </w:tc>
        <w:tc>
          <w:tcPr>
            <w:tcW w:w="100" w:type="dxa"/>
            <w:vAlign w:val="bottom"/>
          </w:tcPr>
          <w:p>
            <w:pPr>
              <w:spacing w:after="0"/>
              <w:rPr>
                <w:sz w:val="21"/>
                <w:szCs w:val="21"/>
                <w:color w:val="auto"/>
              </w:rPr>
            </w:pPr>
          </w:p>
        </w:tc>
        <w:tc>
          <w:tcPr>
            <w:tcW w:w="11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  161,818</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147,532</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117,025</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30,507</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565,591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480,164</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85,427</w:t>
            </w:r>
          </w:p>
        </w:tc>
        <w:tc>
          <w:tcPr>
            <w:tcW w:w="10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51"/>
        </w:trPr>
        <w:tc>
          <w:tcPr>
            <w:tcW w:w="27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9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82,350</w:t>
            </w:r>
          </w:p>
        </w:tc>
        <w:tc>
          <w:tcPr>
            <w:tcW w:w="8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67,163</w:t>
            </w:r>
          </w:p>
        </w:tc>
        <w:tc>
          <w:tcPr>
            <w:tcW w:w="100" w:type="dxa"/>
            <w:vAlign w:val="bottom"/>
          </w:tcPr>
          <w:p>
            <w:pPr>
              <w:spacing w:after="0"/>
              <w:rPr>
                <w:sz w:val="21"/>
                <w:szCs w:val="21"/>
                <w:color w:val="auto"/>
              </w:rPr>
            </w:pPr>
          </w:p>
        </w:tc>
        <w:tc>
          <w:tcPr>
            <w:tcW w:w="9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15,187</w:t>
            </w:r>
          </w:p>
        </w:tc>
        <w:tc>
          <w:tcPr>
            <w:tcW w:w="80" w:type="dxa"/>
            <w:vAlign w:val="bottom"/>
          </w:tcPr>
          <w:p>
            <w:pPr>
              <w:spacing w:after="0"/>
              <w:rPr>
                <w:sz w:val="21"/>
                <w:szCs w:val="21"/>
                <w:color w:val="auto"/>
              </w:rPr>
            </w:pPr>
          </w:p>
        </w:tc>
        <w:tc>
          <w:tcPr>
            <w:tcW w:w="7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w:t>
            </w:r>
          </w:p>
        </w:tc>
        <w:tc>
          <w:tcPr>
            <w:tcW w:w="80" w:type="dxa"/>
            <w:vAlign w:val="bottom"/>
          </w:tcPr>
          <w:p>
            <w:pPr>
              <w:spacing w:after="0"/>
              <w:rPr>
                <w:sz w:val="21"/>
                <w:szCs w:val="21"/>
                <w:color w:val="auto"/>
              </w:rPr>
            </w:pPr>
          </w:p>
        </w:tc>
        <w:tc>
          <w:tcPr>
            <w:tcW w:w="10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223,351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146,960</w:t>
            </w:r>
          </w:p>
        </w:tc>
        <w:tc>
          <w:tcPr>
            <w:tcW w:w="10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76,391</w:t>
            </w:r>
          </w:p>
        </w:tc>
        <w:tc>
          <w:tcPr>
            <w:tcW w:w="100" w:type="dxa"/>
            <w:vAlign w:val="bottom"/>
          </w:tcPr>
          <w:p>
            <w:pPr>
              <w:spacing w:after="0"/>
              <w:rPr>
                <w:sz w:val="21"/>
                <w:szCs w:val="21"/>
                <w:color w:val="auto"/>
              </w:rPr>
            </w:pPr>
          </w:p>
        </w:tc>
        <w:tc>
          <w:tcPr>
            <w:tcW w:w="840" w:type="dxa"/>
            <w:vAlign w:val="bottom"/>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43,589</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47,774</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(4,185)</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167,358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165,159</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2,199</w:t>
            </w: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2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Selling</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12,796</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9,048</w:t>
            </w:r>
          </w:p>
        </w:tc>
        <w:tc>
          <w:tcPr>
            <w:tcW w:w="1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3,748</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37,233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34,840</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2,393</w:t>
            </w: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2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19,052</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21,617</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(2,565)</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84,752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93,489</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(8,737)</w:t>
            </w: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70"/>
        </w:trPr>
        <w:tc>
          <w:tcPr>
            <w:tcW w:w="2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Marketing and promotion</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12,999</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7,800</w:t>
            </w:r>
          </w:p>
        </w:tc>
        <w:tc>
          <w:tcPr>
            <w:tcW w:w="1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5,199</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41,933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30,937</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10,996</w:t>
            </w: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2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Research and development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394</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w:t>
            </w:r>
          </w:p>
        </w:tc>
        <w:tc>
          <w:tcPr>
            <w:tcW w:w="1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214</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8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27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Change in fair value of</w:t>
            </w:r>
          </w:p>
        </w:tc>
        <w:tc>
          <w:tcPr>
            <w:tcW w:w="94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1,000</w:t>
            </w:r>
          </w:p>
        </w:tc>
        <w:tc>
          <w:tcPr>
            <w:tcW w:w="8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1"/>
                <w:szCs w:val="21"/>
                <w:color w:val="auto"/>
              </w:rPr>
            </w:pPr>
          </w:p>
        </w:tc>
        <w:tc>
          <w:tcPr>
            <w:tcW w:w="94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708</w:t>
            </w:r>
          </w:p>
        </w:tc>
        <w:tc>
          <w:tcPr>
            <w:tcW w:w="8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242%</w:t>
            </w:r>
          </w:p>
        </w:tc>
        <w:tc>
          <w:tcPr>
            <w:tcW w:w="8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855</w:t>
            </w:r>
          </w:p>
        </w:tc>
        <w:tc>
          <w:tcPr>
            <w:tcW w:w="10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(16,645)</w:t>
            </w:r>
          </w:p>
        </w:tc>
        <w:tc>
          <w:tcPr>
            <w:tcW w:w="100" w:type="dxa"/>
            <w:vAlign w:val="bottom"/>
          </w:tcPr>
          <w:p>
            <w:pPr>
              <w:spacing w:after="0"/>
              <w:rPr>
                <w:sz w:val="21"/>
                <w:szCs w:val="21"/>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w w:val="96"/>
              </w:rPr>
              <w:t>(1,947)%</w:t>
            </w:r>
          </w:p>
        </w:tc>
        <w:tc>
          <w:tcPr>
            <w:tcW w:w="0" w:type="dxa"/>
            <w:vAlign w:val="bottom"/>
          </w:tcPr>
          <w:p>
            <w:pPr>
              <w:spacing w:after="0"/>
              <w:rPr>
                <w:sz w:val="1"/>
                <w:szCs w:val="1"/>
                <w:color w:val="auto"/>
              </w:rPr>
            </w:pPr>
          </w:p>
        </w:tc>
      </w:tr>
      <w:tr>
        <w:trPr>
          <w:trHeight w:val="161"/>
        </w:trPr>
        <w:tc>
          <w:tcPr>
            <w:tcW w:w="27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contingent consideration</w:t>
            </w: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8" w:name="page9"/>
    <w:bookmarkEnd w:id="8"/>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Impairments</w:t>
      </w:r>
    </w:p>
    <w:p>
      <w:pPr>
        <w:spacing w:after="0" w:line="30"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21"/>
          <w:szCs w:val="21"/>
          <w:color w:val="auto"/>
        </w:rPr>
        <w:t>Other than temporary change in fair value of convertible notes receivable</w:t>
      </w:r>
    </w:p>
    <w:p>
      <w:pPr>
        <w:spacing w:after="0" w:line="1" w:lineRule="exact"/>
        <w:rPr>
          <w:sz w:val="20"/>
          <w:szCs w:val="20"/>
          <w:color w:val="auto"/>
        </w:rPr>
      </w:pPr>
    </w:p>
    <w:p>
      <w:pPr>
        <w:ind w:left="260" w:right="480"/>
        <w:spacing w:after="0" w:line="243" w:lineRule="auto"/>
        <w:rPr>
          <w:sz w:val="20"/>
          <w:szCs w:val="20"/>
          <w:color w:val="auto"/>
        </w:rPr>
      </w:pPr>
      <w:r>
        <w:rPr>
          <w:rFonts w:ascii="Times New Roman" w:cs="Times New Roman" w:eastAsia="Times New Roman" w:hAnsi="Times New Roman"/>
          <w:sz w:val="22"/>
          <w:szCs w:val="22"/>
          <w:color w:val="auto"/>
        </w:rPr>
        <w:t>Litigation costs, net of recoveries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Restructuring costs</w:t>
      </w:r>
    </w:p>
    <w:p>
      <w:pPr>
        <w:spacing w:after="0" w:line="17" w:lineRule="exact"/>
        <w:rPr>
          <w:sz w:val="20"/>
          <w:szCs w:val="20"/>
          <w:color w:val="auto"/>
        </w:rPr>
      </w:pPr>
    </w:p>
    <w:p>
      <w:pPr>
        <w:ind w:left="260" w:right="40"/>
        <w:spacing w:after="0" w:line="243" w:lineRule="auto"/>
        <w:rPr>
          <w:sz w:val="20"/>
          <w:szCs w:val="20"/>
          <w:color w:val="auto"/>
        </w:rPr>
      </w:pPr>
      <w:r>
        <w:rPr>
          <w:rFonts w:ascii="Times New Roman" w:cs="Times New Roman" w:eastAsia="Times New Roman" w:hAnsi="Times New Roman"/>
          <w:sz w:val="22"/>
          <w:szCs w:val="22"/>
          <w:color w:val="auto"/>
        </w:rPr>
        <w:t>Transaction costs (income), net</w:t>
      </w:r>
    </w:p>
    <w:p>
      <w:pPr>
        <w:spacing w:after="0" w:line="1"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22"/>
          <w:szCs w:val="22"/>
          <w:color w:val="auto"/>
        </w:rPr>
        <w:t>Total operating expenses Operating loss</w:t>
      </w:r>
    </w:p>
    <w:p>
      <w:pPr>
        <w:ind w:left="260"/>
        <w:spacing w:after="0"/>
        <w:rPr>
          <w:sz w:val="20"/>
          <w:szCs w:val="20"/>
          <w:color w:val="auto"/>
        </w:rPr>
      </w:pPr>
      <w:r>
        <w:rPr>
          <w:rFonts w:ascii="Times New Roman" w:cs="Times New Roman" w:eastAsia="Times New Roman" w:hAnsi="Times New Roman"/>
          <w:sz w:val="22"/>
          <w:szCs w:val="22"/>
          <w:color w:val="auto"/>
        </w:rPr>
        <w:t>Interest expense, net</w:t>
      </w:r>
    </w:p>
    <w:p>
      <w:pPr>
        <w:spacing w:after="0" w:line="29" w:lineRule="exact"/>
        <w:rPr>
          <w:sz w:val="20"/>
          <w:szCs w:val="20"/>
          <w:color w:val="auto"/>
        </w:rPr>
      </w:pPr>
    </w:p>
    <w:p>
      <w:pPr>
        <w:ind w:left="260" w:right="480"/>
        <w:spacing w:after="0" w:line="243" w:lineRule="auto"/>
        <w:rPr>
          <w:sz w:val="20"/>
          <w:szCs w:val="20"/>
          <w:color w:val="auto"/>
        </w:rPr>
      </w:pPr>
      <w:r>
        <w:rPr>
          <w:rFonts w:ascii="Times New Roman" w:cs="Times New Roman" w:eastAsia="Times New Roman" w:hAnsi="Times New Roman"/>
          <w:sz w:val="22"/>
          <w:szCs w:val="22"/>
          <w:color w:val="auto"/>
        </w:rPr>
        <w:t>Non-operating income (expense),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Loss before income taxes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Income tax (recovery)</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expense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loss</w:t>
      </w:r>
    </w:p>
    <w:p>
      <w:pPr>
        <w:spacing w:after="0" w:line="4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Net loss per share - basic and diluted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3"/>
          </w:tcPr>
          <w:p>
            <w:pPr>
              <w:jc w:val="right"/>
              <w:ind w:right="132"/>
              <w:spacing w:after="0"/>
              <w:rPr>
                <w:sz w:val="20"/>
                <w:szCs w:val="20"/>
                <w:color w:val="auto"/>
              </w:rPr>
            </w:pPr>
            <w:r>
              <w:rPr>
                <w:rFonts w:ascii="Times New Roman" w:cs="Times New Roman" w:eastAsia="Times New Roman" w:hAnsi="Times New Roman"/>
                <w:sz w:val="22"/>
                <w:szCs w:val="22"/>
                <w:color w:val="auto"/>
              </w:rPr>
              <w:t>NM</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513"/>
        </w:trPr>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246,330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(203,649)</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634"/>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(1,653)</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8,251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8,756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(1,734)%</w:t>
            </w: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8,315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15,581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15,462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13,849</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859%</w:t>
            </w:r>
          </w:p>
        </w:tc>
        <w:tc>
          <w:tcPr>
            <w:tcW w:w="0" w:type="dxa"/>
            <w:vAlign w:val="bottom"/>
          </w:tcPr>
          <w:p>
            <w:pPr>
              <w:spacing w:after="0"/>
              <w:rPr>
                <w:sz w:val="1"/>
                <w:szCs w:val="1"/>
                <w:color w:val="auto"/>
              </w:rPr>
            </w:pPr>
          </w:p>
        </w:tc>
      </w:tr>
      <w:tr>
        <w:trPr>
          <w:trHeight w:val="123"/>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98,876</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157,143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(58,267)</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398,096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1,516,645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(1,118,549)</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8"/>
              </w:rPr>
              <w:t>(16,526)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(89,980)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73,454</w:t>
            </w:r>
          </w:p>
        </w:tc>
        <w:tc>
          <w:tcPr>
            <w:tcW w:w="80" w:type="dxa"/>
            <w:vAlign w:val="bottom"/>
          </w:tcPr>
          <w:p>
            <w:pPr>
              <w:spacing w:after="0"/>
              <w:rPr>
                <w:sz w:val="21"/>
                <w:szCs w:val="21"/>
                <w:color w:val="auto"/>
              </w:rPr>
            </w:pPr>
          </w:p>
        </w:tc>
        <w:tc>
          <w:tcPr>
            <w:tcW w:w="7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5"/>
              </w:rPr>
              <w:t>(174,745)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7"/>
              </w:rPr>
              <w:t>(1,369,685)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1,194,940</w:t>
            </w:r>
          </w:p>
        </w:tc>
        <w:tc>
          <w:tcPr>
            <w:tcW w:w="100" w:type="dxa"/>
            <w:vAlign w:val="bottom"/>
          </w:tcPr>
          <w:p>
            <w:pPr>
              <w:spacing w:after="0"/>
              <w:rPr>
                <w:sz w:val="21"/>
                <w:szCs w:val="21"/>
                <w:color w:val="auto"/>
              </w:rPr>
            </w:pPr>
          </w:p>
        </w:tc>
        <w:tc>
          <w:tcPr>
            <w:tcW w:w="8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8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(4,429)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(22,846)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w:t>
            </w: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(17,022)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29,067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123"/>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(43,004)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(111,687)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68,683</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(249,020)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(1,450,181)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1,201,161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(27,629)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(35,761)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(19,435)</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w:t>
            </w:r>
          </w:p>
        </w:tc>
        <w:tc>
          <w:tcPr>
            <w:tcW w:w="0" w:type="dxa"/>
            <w:vAlign w:val="bottom"/>
          </w:tcPr>
          <w:p>
            <w:pPr>
              <w:spacing w:after="0"/>
              <w:rPr>
                <w:sz w:val="1"/>
                <w:szCs w:val="1"/>
                <w:color w:val="auto"/>
              </w:rPr>
            </w:pPr>
          </w:p>
        </w:tc>
      </w:tr>
      <w:tr>
        <w:trPr>
          <w:trHeight w:val="123"/>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vMerge w:val="restart"/>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8"/>
              </w:rPr>
              <w:t>(15,375)</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(119,819)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5"/>
              </w:rPr>
              <w:t>104,444</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8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(222,404)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(1,443,000)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1,220,596</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40"/>
        </w:trPr>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0.11</w:t>
            </w: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(73)% $</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bl>
    <w:p>
      <w:pPr>
        <w:spacing w:after="0" w:line="326" w:lineRule="exact"/>
        <w:rPr>
          <w:sz w:val="20"/>
          <w:szCs w:val="20"/>
          <w:color w:val="auto"/>
        </w:rPr>
      </w:pPr>
    </w:p>
    <w:p>
      <w:pPr>
        <w:sectPr>
          <w:pgSz w:w="11900" w:h="16876" w:orient="portrait"/>
          <w:cols w:equalWidth="0" w:num="2">
            <w:col w:w="2680" w:space="100"/>
            <w:col w:w="8440"/>
          </w:cols>
          <w:pgMar w:left="34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tc>
        <w:tc>
          <w:tcPr>
            <w:tcW w:w="2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For the twelve months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220" w:type="dxa"/>
            <w:vAlign w:val="bottom"/>
          </w:tcPr>
          <w:p>
            <w:pPr>
              <w:spacing w:after="0"/>
              <w:rPr>
                <w:sz w:val="22"/>
                <w:szCs w:val="22"/>
                <w:color w:val="auto"/>
              </w:rPr>
            </w:pPr>
          </w:p>
        </w:tc>
        <w:tc>
          <w:tcPr>
            <w:tcW w:w="2680" w:type="dxa"/>
            <w:vAlign w:val="bottom"/>
            <w:gridSpan w:val="4"/>
            <w:vMerge w:val="continue"/>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680" w:type="dxa"/>
            <w:vAlign w:val="bottom"/>
            <w:gridSpan w:val="4"/>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Ended May 31,</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65"/>
        </w:trPr>
        <w:tc>
          <w:tcPr>
            <w:tcW w:w="6220" w:type="dxa"/>
            <w:vAlign w:val="bottom"/>
            <w:vMerge w:val="continue"/>
          </w:tcPr>
          <w:p>
            <w:pPr>
              <w:spacing w:after="0"/>
              <w:rPr>
                <w:sz w:val="23"/>
                <w:szCs w:val="23"/>
                <w:color w:val="auto"/>
              </w:rPr>
            </w:pPr>
          </w:p>
        </w:tc>
        <w:tc>
          <w:tcPr>
            <w:tcW w:w="12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3"/>
                <w:szCs w:val="23"/>
                <w:color w:val="auto"/>
              </w:rPr>
            </w:pPr>
          </w:p>
        </w:tc>
        <w:tc>
          <w:tcPr>
            <w:tcW w:w="2220" w:type="dxa"/>
            <w:vAlign w:val="bottom"/>
            <w:tcBorders>
              <w:top w:val="single" w:sz="8" w:color="auto"/>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2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operating activities: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(222,404)</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 (1,443,000)</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$1,220,596</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Adjustments for:</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income tax recovery</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(38,872)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(31,953)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(6,919)</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Unrealized foreign exchange (gain) loss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3,756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17,768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(14,012)</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126,913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130,149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(3,236)</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Gain on sale of capital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(4,150)</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8,646%</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Accretion of convertible debt discount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14,459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3,848</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10,611</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276%</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 valuation write down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Impairments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(934,001)</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Other than temporary change in fair value of convertible notes</w:t>
            </w: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42,681</w:t>
            </w:r>
          </w:p>
        </w:tc>
        <w:tc>
          <w:tcPr>
            <w:tcW w:w="10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246,330</w:t>
            </w:r>
          </w:p>
        </w:tc>
        <w:tc>
          <w:tcPr>
            <w:tcW w:w="12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(203,649)</w:t>
            </w:r>
          </w:p>
        </w:tc>
        <w:tc>
          <w:tcPr>
            <w:tcW w:w="100" w:type="dxa"/>
            <w:vAlign w:val="bottom"/>
          </w:tcPr>
          <w:p>
            <w:pPr>
              <w:spacing w:after="0"/>
              <w:rPr>
                <w:sz w:val="21"/>
                <w:szCs w:val="21"/>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161"/>
        </w:trPr>
        <w:tc>
          <w:tcPr>
            <w:tcW w:w="62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receivable</w:t>
            </w: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non-cash items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13,626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11,406</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2,220</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31,769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39,595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(7,826)</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Loss on long-term investments &amp; equity investments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4,855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2,190</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2,665</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122%</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(Gain) loss on derivative instruments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21,172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27,365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(6,193)</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(15,790)</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(16,645)</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(1,947)%</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Change in non-cash working capital:</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(6,575)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(10,743)</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(258)%</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13,069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3,122</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9,947</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319%</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(15,578)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(12,934)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(2,644)</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82"/>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212</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20,044</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(19,832)</w:t>
            </w:r>
          </w:p>
        </w:tc>
        <w:tc>
          <w:tcPr>
            <w:tcW w:w="100" w:type="dxa"/>
            <w:vAlign w:val="bottom"/>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operating activities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(30,905)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(38,811)</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(491)%</w:t>
            </w:r>
          </w:p>
        </w:tc>
        <w:tc>
          <w:tcPr>
            <w:tcW w:w="0" w:type="dxa"/>
            <w:vAlign w:val="bottom"/>
          </w:tcPr>
          <w:p>
            <w:pPr>
              <w:spacing w:after="0"/>
              <w:rPr>
                <w:sz w:val="1"/>
                <w:szCs w:val="1"/>
                <w:color w:val="auto"/>
              </w:rPr>
            </w:pPr>
          </w:p>
        </w:tc>
      </w:tr>
      <w:tr>
        <w:trPr>
          <w:trHeight w:val="250"/>
        </w:trPr>
        <w:tc>
          <w:tcPr>
            <w:tcW w:w="622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investing activities:</w:t>
            </w: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in capital and intangible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(29,249)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(20,800)</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(8,449)</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disposal of capital and intangible assets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8,509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4,304</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4,205</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Disposal (purchase) of marketable securities, net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209,715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(241,897)</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451,612</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(187)%</w:t>
            </w:r>
          </w:p>
        </w:tc>
        <w:tc>
          <w:tcPr>
            <w:tcW w:w="0" w:type="dxa"/>
            <w:vAlign w:val="bottom"/>
          </w:tcPr>
          <w:p>
            <w:pPr>
              <w:spacing w:after="0"/>
              <w:rPr>
                <w:sz w:val="1"/>
                <w:szCs w:val="1"/>
                <w:color w:val="auto"/>
              </w:rPr>
            </w:pPr>
          </w:p>
        </w:tc>
      </w:tr>
      <w:tr>
        <w:trPr>
          <w:trHeight w:val="282"/>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Business acquisitions, net of cash acquired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(60,626)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(26,718)</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(33,908)</w:t>
            </w:r>
          </w:p>
        </w:tc>
        <w:tc>
          <w:tcPr>
            <w:tcW w:w="100" w:type="dxa"/>
            <w:vAlign w:val="bottom"/>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investing activities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128,349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(285,111)</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413,460</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50"/>
        </w:trPr>
        <w:tc>
          <w:tcPr>
            <w:tcW w:w="622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financing activities:</w:t>
            </w: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Share capital issued, net of cash issuance costs</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8,619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129,593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(120,974)</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Shares effectively repurchased for employee withholding tax</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(1,189)</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1,189</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long-term debt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32,621</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31,333</w:t>
            </w:r>
          </w:p>
        </w:tc>
        <w:tc>
          <w:tcPr>
            <w:tcW w:w="10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2,433%</w:t>
            </w:r>
          </w:p>
        </w:tc>
        <w:tc>
          <w:tcPr>
            <w:tcW w:w="0" w:type="dxa"/>
            <w:vAlign w:val="bottom"/>
          </w:tcPr>
          <w:p>
            <w:pPr>
              <w:spacing w:after="0"/>
              <w:rPr>
                <w:sz w:val="1"/>
                <w:szCs w:val="1"/>
                <w:color w:val="auto"/>
              </w:rPr>
            </w:pPr>
          </w:p>
        </w:tc>
      </w:tr>
      <w:tr>
        <w:trPr>
          <w:trHeight w:val="282"/>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long-term debt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(22,402)</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(21,336)</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(1,066)</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bl>
    <w:p>
      <w:pPr>
        <w:sectPr>
          <w:pgSz w:w="11900" w:h="16876" w:orient="portrait"/>
          <w:cols w:equalWidth="0" w:num="1">
            <w:col w:w="11220"/>
          </w:cols>
          <w:pgMar w:left="340" w:top="111" w:right="3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convertible debt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21,553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145,052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(123,499)</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convertible debt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(107,330)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(187,394)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80,064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lease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82"/>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increase (decrease) in bank indebtedness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(5,348)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5,258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(10,606)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w:t>
            </w: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(75,187)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70,158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(145,345)</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(207)%</w:t>
            </w:r>
          </w:p>
        </w:tc>
      </w:tr>
      <w:tr>
        <w:trPr>
          <w:trHeight w:val="264"/>
        </w:trPr>
        <w:tc>
          <w:tcPr>
            <w:tcW w:w="62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foreign exchange on cash and cash equivalents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(2,230)</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1,681</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50"/>
        </w:trPr>
        <w:tc>
          <w:tcPr>
            <w:tcW w:w="62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decrease in cash and cash equivalents</w:t>
            </w:r>
          </w:p>
        </w:tc>
        <w:tc>
          <w:tcPr>
            <w:tcW w:w="12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21,708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(209,277)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230,985</w:t>
            </w:r>
          </w:p>
        </w:tc>
        <w:tc>
          <w:tcPr>
            <w:tcW w:w="100" w:type="dxa"/>
            <w:vAlign w:val="bottom"/>
          </w:tcPr>
          <w:p>
            <w:pPr>
              <w:spacing w:after="0"/>
              <w:rPr>
                <w:sz w:val="21"/>
                <w:szCs w:val="21"/>
                <w:color w:val="auto"/>
              </w:rPr>
            </w:pPr>
          </w:p>
        </w:tc>
        <w:tc>
          <w:tcPr>
            <w:tcW w:w="10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(110)%</w:t>
            </w:r>
          </w:p>
        </w:tc>
      </w:tr>
      <w:tr>
        <w:trPr>
          <w:trHeight w:val="282"/>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beginning of period</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206,632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415,909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(209,277)</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65"/>
        </w:trPr>
        <w:tc>
          <w:tcPr>
            <w:tcW w:w="6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and cash equivalents, end of period</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228,340</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206,632</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21,708</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1"/>
        </w:trPr>
        <w:tc>
          <w:tcPr>
            <w:tcW w:w="6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56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4"/>
              </w:rPr>
              <w:t>three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For the three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rPr>
              <w:t>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months</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34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2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May 31,</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r>
      <w:tr>
        <w:trPr>
          <w:trHeight w:val="286"/>
        </w:trPr>
        <w:tc>
          <w:tcPr>
            <w:tcW w:w="2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May 31, 2024</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21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Beverage alcohol</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business</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76,739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32,404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202,094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95,093</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71,919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64,413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272,798</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220,430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65,566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72,612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258,740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258,770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41%</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15,658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14,759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55,310</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52,831</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w:t>
            </w:r>
          </w:p>
        </w:tc>
      </w:tr>
      <w:tr>
        <w:trPr>
          <w:trHeight w:val="264"/>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229,882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184,188</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788,942</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627,124</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0"/>
        </w:trPr>
        <w:tc>
          <w:tcPr>
            <w:tcW w:w="2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02"/>
        </w:trPr>
        <w:tc>
          <w:tcPr>
            <w:tcW w:w="59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 in Constant Currency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three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rPr>
              <w:t>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6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three 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May 31,</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May 31, 2024</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as reported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as reported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as reported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as reported</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9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4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40" w:type="dxa"/>
            <w:vAlign w:val="bottom"/>
          </w:tcPr>
          <w:p>
            <w:pPr>
              <w:spacing w:after="0"/>
              <w:rPr>
                <w:sz w:val="21"/>
                <w:szCs w:val="21"/>
                <w:color w:val="auto"/>
              </w:rPr>
            </w:pPr>
          </w:p>
        </w:tc>
        <w:tc>
          <w:tcPr>
            <w:tcW w:w="11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r>
      <w:tr>
        <w:trPr>
          <w:trHeight w:val="286"/>
        </w:trPr>
        <w:tc>
          <w:tcPr>
            <w:tcW w:w="2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4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9"/>
              </w:rPr>
              <w:t>currency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21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Beverage alcohol</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business</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76,739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32,404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202,094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95,093</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15%</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72,577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64,413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274,763</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220,430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35%</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69,209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72,612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259,671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258,770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41%</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15,689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14,759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55,533</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52,831</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w:t>
            </w:r>
          </w:p>
        </w:tc>
      </w:tr>
      <w:tr>
        <w:trPr>
          <w:trHeight w:val="264"/>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234,214</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184,188</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792,061</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627,124</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1"/>
        </w:trPr>
        <w:tc>
          <w:tcPr>
            <w:tcW w:w="2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02"/>
        </w:trPr>
        <w:tc>
          <w:tcPr>
            <w:tcW w:w="45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three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rPr>
              <w:t>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6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three months</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34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9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2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100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May 31,</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r>
      <w:tr>
        <w:trPr>
          <w:trHeight w:val="286"/>
        </w:trPr>
        <w:tc>
          <w:tcPr>
            <w:tcW w:w="2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May 31, 2024</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21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Revenue from</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Canadian medical</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6,418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6,080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25,211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11%</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Canadian adult-use</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82"/>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61,496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58,256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266,846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214,319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97%</w:t>
            </w:r>
          </w:p>
        </w:tc>
      </w:tr>
    </w:tbl>
    <w:p>
      <w:pPr>
        <w:sectPr>
          <w:pgSz w:w="11900" w:h="16838" w:orient="portrait"/>
          <w:cols w:equalWidth="0" w:num="1">
            <w:col w:w="11220"/>
          </w:cols>
          <w:pgMar w:left="340" w:top="11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25,340</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1,436</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1%</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wholesale cannabis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international cannabis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13,110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15,725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53,295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43,559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20%</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(22,097)</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(16,398)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(97,894)</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(63,884)</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(29)%</w:t>
            </w:r>
          </w:p>
        </w:tc>
      </w:tr>
      <w:tr>
        <w:trPr>
          <w:trHeight w:val="264"/>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71,919</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64,413</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272,798</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220,430</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1"/>
        </w:trPr>
        <w:tc>
          <w:tcPr>
            <w:tcW w:w="2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02"/>
        </w:trPr>
        <w:tc>
          <w:tcPr>
            <w:tcW w:w="690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 in Constant Currency</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three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rPr>
              <w:t>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146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three months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year ended</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ended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May 31,</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May 31,</w:t>
            </w: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3"/>
                <w:szCs w:val="23"/>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May 31, 2024</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5"/>
              </w:rPr>
              <w:t>2024</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rPr>
              <w:t>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rPr>
              <w:t>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1"/>
              </w:rPr>
              <w:t>as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rPr>
              <w:t>as</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reported</w:t>
            </w:r>
          </w:p>
        </w:tc>
        <w:tc>
          <w:tcPr>
            <w:tcW w:w="820" w:type="dxa"/>
            <w:vAlign w:val="bottom"/>
          </w:tcPr>
          <w:p>
            <w:pPr>
              <w:spacing w:after="0"/>
              <w:rPr>
                <w:sz w:val="21"/>
                <w:szCs w:val="21"/>
                <w:color w:val="auto"/>
              </w:rPr>
            </w:pPr>
          </w:p>
        </w:tc>
      </w:tr>
      <w:tr>
        <w:trPr>
          <w:trHeight w:val="243"/>
        </w:trPr>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9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c>
          <w:tcPr>
            <w:tcW w:w="140" w:type="dxa"/>
            <w:vAlign w:val="bottom"/>
          </w:tcPr>
          <w:p>
            <w:pPr>
              <w:spacing w:after="0"/>
              <w:rPr>
                <w:sz w:val="21"/>
                <w:szCs w:val="21"/>
                <w:color w:val="auto"/>
              </w:rPr>
            </w:pPr>
          </w:p>
        </w:tc>
        <w:tc>
          <w:tcPr>
            <w:tcW w:w="11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 of</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 thousands of U.S.</w:t>
            </w:r>
          </w:p>
        </w:tc>
        <w:tc>
          <w:tcPr>
            <w:tcW w:w="200" w:type="dxa"/>
            <w:vAlign w:val="bottom"/>
          </w:tcPr>
          <w:p>
            <w:pPr>
              <w:spacing w:after="0"/>
              <w:rPr>
                <w:sz w:val="21"/>
                <w:szCs w:val="21"/>
                <w:color w:val="auto"/>
              </w:rPr>
            </w:pPr>
          </w:p>
        </w:tc>
        <w:tc>
          <w:tcPr>
            <w:tcW w:w="1260" w:type="dxa"/>
            <w:vAlign w:val="bottom"/>
            <w:gridSpan w:val="2"/>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10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Total</w:t>
            </w:r>
          </w:p>
        </w:tc>
        <w:tc>
          <w:tcPr>
            <w:tcW w:w="160" w:type="dxa"/>
            <w:vAlign w:val="bottom"/>
          </w:tcPr>
          <w:p>
            <w:pPr>
              <w:spacing w:after="0"/>
              <w:rPr>
                <w:sz w:val="21"/>
                <w:szCs w:val="21"/>
                <w:color w:val="auto"/>
              </w:rPr>
            </w:pPr>
          </w:p>
        </w:tc>
        <w:tc>
          <w:tcPr>
            <w:tcW w:w="118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9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constant</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r>
      <w:tr>
        <w:trPr>
          <w:trHeight w:val="286"/>
        </w:trPr>
        <w:tc>
          <w:tcPr>
            <w:tcW w:w="2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20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9"/>
              </w:rPr>
              <w:t>currency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21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Canadian medical</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6,447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6,080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25,441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11%</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Canadian adult-use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61,826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58,256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269,534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214,319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97%</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wholesale cannabis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13,092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25,651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1%</w:t>
            </w:r>
          </w:p>
        </w:tc>
      </w:tr>
      <w:tr>
        <w:trPr>
          <w:trHeight w:val="243"/>
        </w:trPr>
        <w:tc>
          <w:tcPr>
            <w:tcW w:w="2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international cannabis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13,427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15,725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53,036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43,559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20%</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(22,215)</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(16,398)</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(98,899)</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(63,884)</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(29)%</w:t>
            </w:r>
          </w:p>
        </w:tc>
      </w:tr>
      <w:tr>
        <w:trPr>
          <w:trHeight w:val="264"/>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72,577</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64,413</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274,763</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220,430</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0"/>
        </w:trPr>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Gross Margin and Adjusted Gross Margin</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For the three months ended May 31, 2024</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2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76,739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71,919</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65,566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15,658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229,882</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35,907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43,087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57,750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10,788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147,532</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40,832</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28,832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7,816</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4,870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82,350</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41,008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28,832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7,816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4,870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82,526</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For the three months ended May 31, 2023</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2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32,404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64,413</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72,612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14,759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184,188</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15,838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24,955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65,866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10,366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117,025</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16,566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39,458</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6,746</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4,393</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67,163</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1,259</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17,825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39,458</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6,746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4,393</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68,422</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2" w:right="339" w:bottom="136"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For the twelve months ended May 31, 2024</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3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   202,094</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   272,798</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   258,740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55,310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788,942</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113,522</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182,594</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230,596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38,879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565,591</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88,572</w:t>
            </w:r>
          </w:p>
        </w:tc>
        <w:tc>
          <w:tcPr>
            <w:tcW w:w="120" w:type="dxa"/>
            <w:vAlign w:val="bottom"/>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90,204</w:t>
            </w:r>
          </w:p>
        </w:tc>
        <w:tc>
          <w:tcPr>
            <w:tcW w:w="120" w:type="dxa"/>
            <w:vAlign w:val="bottom"/>
          </w:tcPr>
          <w:p>
            <w:pPr>
              <w:spacing w:after="0"/>
              <w:rPr>
                <w:sz w:val="23"/>
                <w:szCs w:val="23"/>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28,144</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16,431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223,351</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4,602</w:t>
            </w:r>
          </w:p>
        </w:tc>
        <w:tc>
          <w:tcPr>
            <w:tcW w:w="1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7,628</w:t>
            </w:r>
          </w:p>
        </w:tc>
        <w:tc>
          <w:tcPr>
            <w:tcW w:w="12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12,230</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3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93,174</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97,832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28,144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16,431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235,581</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For the twelve months ended May 31, 2023</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Distribution</w:t>
            </w:r>
          </w:p>
        </w:tc>
        <w:tc>
          <w:tcPr>
            <w:tcW w:w="2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260" w:type="dxa"/>
            <w:vAlign w:val="bottom"/>
          </w:tcPr>
          <w:p>
            <w:pPr>
              <w:spacing w:after="0"/>
              <w:rPr>
                <w:sz w:val="22"/>
                <w:szCs w:val="22"/>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revenue</w:t>
            </w:r>
          </w:p>
        </w:tc>
        <w:tc>
          <w:tcPr>
            <w:tcW w:w="18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95,093</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   220,430</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   258,770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52,831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tcBorders>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627,124</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48,770</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162,755</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231,309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37,330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480,164</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46,323</w:t>
            </w:r>
          </w:p>
        </w:tc>
        <w:tc>
          <w:tcPr>
            <w:tcW w:w="120" w:type="dxa"/>
            <w:vAlign w:val="bottom"/>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57,675</w:t>
            </w:r>
          </w:p>
        </w:tc>
        <w:tc>
          <w:tcPr>
            <w:tcW w:w="120" w:type="dxa"/>
            <w:vAlign w:val="bottom"/>
          </w:tcPr>
          <w:p>
            <w:pPr>
              <w:spacing w:after="0"/>
              <w:rPr>
                <w:sz w:val="23"/>
                <w:szCs w:val="23"/>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27,461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15,501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146,960</w:t>
            </w: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50"/>
        </w:trPr>
        <w:tc>
          <w:tcPr>
            <w:tcW w:w="42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Inventory valuation adjustments</w:t>
            </w:r>
          </w:p>
        </w:tc>
        <w:tc>
          <w:tcPr>
            <w:tcW w:w="18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55,000</w:t>
            </w:r>
          </w:p>
        </w:tc>
        <w:tc>
          <w:tcPr>
            <w:tcW w:w="120" w:type="dxa"/>
            <w:vAlign w:val="bottom"/>
          </w:tcPr>
          <w:p>
            <w:pPr>
              <w:spacing w:after="0"/>
              <w:rPr>
                <w:sz w:val="23"/>
                <w:szCs w:val="23"/>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55,000</w:t>
            </w: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4,482</w:t>
            </w:r>
          </w:p>
        </w:tc>
        <w:tc>
          <w:tcPr>
            <w:tcW w:w="1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4,482</w:t>
            </w:r>
          </w:p>
        </w:tc>
        <w:tc>
          <w:tcPr>
            <w:tcW w:w="0" w:type="dxa"/>
            <w:vAlign w:val="bottom"/>
          </w:tcPr>
          <w:p>
            <w:pPr>
              <w:spacing w:after="0"/>
              <w:rPr>
                <w:sz w:val="1"/>
                <w:szCs w:val="1"/>
                <w:color w:val="auto"/>
              </w:rPr>
            </w:pPr>
          </w:p>
        </w:tc>
      </w:tr>
      <w:tr>
        <w:trPr>
          <w:trHeight w:val="251"/>
        </w:trPr>
        <w:tc>
          <w:tcPr>
            <w:tcW w:w="42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50,805</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112,675</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27,461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15,501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206,442</w:t>
            </w:r>
          </w:p>
        </w:tc>
        <w:tc>
          <w:tcPr>
            <w:tcW w:w="0" w:type="dxa"/>
            <w:vAlign w:val="bottom"/>
          </w:tcPr>
          <w:p>
            <w:pPr>
              <w:spacing w:after="0"/>
              <w:rPr>
                <w:sz w:val="1"/>
                <w:szCs w:val="1"/>
                <w:color w:val="auto"/>
              </w:rPr>
            </w:pPr>
          </w:p>
        </w:tc>
      </w:tr>
      <w:tr>
        <w:trPr>
          <w:trHeight w:val="284"/>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00" w:type="dxa"/>
            <w:vAlign w:val="bottom"/>
            <w:gridSpan w:val="17"/>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Adjusted Earnings Before Interest, Taxes and Amortization</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2120" w:type="dxa"/>
            <w:vAlign w:val="bottom"/>
            <w:gridSpan w:val="5"/>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three months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5"/>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year</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ended May 31,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6"/>
              </w:rPr>
              <w:t>Change</w:t>
            </w:r>
          </w:p>
        </w:tc>
        <w:tc>
          <w:tcPr>
            <w:tcW w:w="120" w:type="dxa"/>
            <w:vAlign w:val="bottom"/>
          </w:tcPr>
          <w:p>
            <w:pPr>
              <w:spacing w:after="0"/>
              <w:rPr>
                <w:sz w:val="24"/>
                <w:szCs w:val="24"/>
                <w:color w:val="auto"/>
              </w:rPr>
            </w:pPr>
          </w:p>
        </w:tc>
        <w:tc>
          <w:tcPr>
            <w:tcW w:w="2280" w:type="dxa"/>
            <w:vAlign w:val="bottom"/>
            <w:gridSpan w:val="5"/>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ended May 31,</w:t>
            </w:r>
          </w:p>
        </w:tc>
        <w:tc>
          <w:tcPr>
            <w:tcW w:w="1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0" w:type="dxa"/>
            <w:vAlign w:val="bottom"/>
          </w:tcPr>
          <w:p>
            <w:pPr>
              <w:spacing w:after="0"/>
              <w:rPr>
                <w:sz w:val="1"/>
                <w:szCs w:val="1"/>
                <w:color w:val="auto"/>
              </w:rPr>
            </w:pPr>
          </w:p>
        </w:tc>
      </w:tr>
      <w:tr>
        <w:trPr>
          <w:trHeight w:val="227"/>
        </w:trPr>
        <w:tc>
          <w:tcPr>
            <w:tcW w:w="28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1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51"/>
        </w:trPr>
        <w:tc>
          <w:tcPr>
            <w:tcW w:w="28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w:t>
            </w:r>
          </w:p>
        </w:tc>
        <w:tc>
          <w:tcPr>
            <w:tcW w:w="9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$(15,375)</w:t>
            </w:r>
          </w:p>
        </w:tc>
        <w:tc>
          <w:tcPr>
            <w:tcW w:w="80" w:type="dxa"/>
            <w:vAlign w:val="bottom"/>
          </w:tcPr>
          <w:p>
            <w:pPr>
              <w:spacing w:after="0"/>
              <w:rPr>
                <w:sz w:val="21"/>
                <w:szCs w:val="21"/>
                <w:color w:val="auto"/>
              </w:rPr>
            </w:pPr>
          </w:p>
        </w:tc>
        <w:tc>
          <w:tcPr>
            <w:tcW w:w="140" w:type="dxa"/>
            <w:vAlign w:val="bottom"/>
            <w:tcBorders>
              <w:top w:val="single" w:sz="8" w:color="auto"/>
            </w:tcBorders>
          </w:tcPr>
          <w:p>
            <w:pPr>
              <w:jc w:val="center"/>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5"/>
              </w:rPr>
              <w:t>(119,819)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5"/>
              </w:rPr>
              <w:t>104,444</w:t>
            </w: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(87)%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5"/>
              </w:rPr>
              <w:t>(222,404)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center"/>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7"/>
              </w:rPr>
              <w:t>(1,443,000)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5"/>
              </w:rPr>
              <w:t>1,220,596</w:t>
            </w:r>
          </w:p>
        </w:tc>
        <w:tc>
          <w:tcPr>
            <w:tcW w:w="8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Income tax (recovery)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(27,629)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(35,761)</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(440)%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(19,435)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271%</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9,456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4,429</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88%</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22,846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168%</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Non-operating income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(expense), net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17,022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0,002%</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(29,067)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31,730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2,737</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126,913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130,149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7,252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(2,577)</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(7,826)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fair value of</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contingent consideration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0,242%</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(16,645)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(1,947)%</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Impairments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than temporary change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 fair value of convertible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notes receivable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246,330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(203,649)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Inventory valuation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adjustments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(Gain) loss on sale of capital</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assets - non-operating facility</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(3,987)</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(3,987)</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Purchase price accounting</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step-up</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(1,083)</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(86)%</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7,748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173%</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Facility start-up and closure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costs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Litigation costs, net of</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recoveries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(1,653)</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(113)%</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8,756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(1734)%</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8,315</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(561)%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Transaction costs (income),</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2,401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(3,094)</w:t>
            </w:r>
          </w:p>
        </w:tc>
        <w:tc>
          <w:tcPr>
            <w:tcW w:w="100" w:type="dxa"/>
            <w:vAlign w:val="bottom"/>
          </w:tcPr>
          <w:p>
            <w:pPr>
              <w:spacing w:after="0"/>
              <w:rPr>
                <w:sz w:val="21"/>
                <w:szCs w:val="21"/>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(56)%</w:t>
            </w:r>
          </w:p>
        </w:tc>
        <w:tc>
          <w:tcPr>
            <w:tcW w:w="12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15,462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13,849</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2"/>
                <w:szCs w:val="22"/>
                <w:color w:val="auto"/>
              </w:rPr>
              <w:t>859%</w:t>
            </w:r>
          </w:p>
        </w:tc>
        <w:tc>
          <w:tcPr>
            <w:tcW w:w="0" w:type="dxa"/>
            <w:vAlign w:val="bottom"/>
          </w:tcPr>
          <w:p>
            <w:pPr>
              <w:spacing w:after="0"/>
              <w:rPr>
                <w:sz w:val="1"/>
                <w:szCs w:val="1"/>
                <w:color w:val="auto"/>
              </w:rPr>
            </w:pPr>
          </w:p>
        </w:tc>
      </w:tr>
      <w:tr>
        <w:trPr>
          <w:trHeight w:val="161"/>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w:t>
            </w: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0" w:type="dxa"/>
            <w:vAlign w:val="bottom"/>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$ 29,491</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21,525</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7,966</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60,465</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58,679</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8" w:right="339" w:bottom="55"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2"/>
                <w:szCs w:val="22"/>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For the three months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5"/>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8"/>
              </w:rPr>
              <w:t>For the year</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ended May 31,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6"/>
              </w:rPr>
              <w:t>Change</w:t>
            </w:r>
          </w:p>
        </w:tc>
        <w:tc>
          <w:tcPr>
            <w:tcW w:w="120" w:type="dxa"/>
            <w:vAlign w:val="bottom"/>
          </w:tcPr>
          <w:p>
            <w:pPr>
              <w:spacing w:after="0"/>
              <w:rPr>
                <w:sz w:val="24"/>
                <w:szCs w:val="24"/>
                <w:color w:val="auto"/>
              </w:rPr>
            </w:pPr>
          </w:p>
        </w:tc>
        <w:tc>
          <w:tcPr>
            <w:tcW w:w="2280" w:type="dxa"/>
            <w:vAlign w:val="bottom"/>
            <w:gridSpan w:val="5"/>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ended May 31,</w:t>
            </w:r>
          </w:p>
        </w:tc>
        <w:tc>
          <w:tcPr>
            <w:tcW w:w="1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9"/>
              </w:rPr>
              <w:t>Change</w:t>
            </w:r>
          </w:p>
        </w:tc>
        <w:tc>
          <w:tcPr>
            <w:tcW w:w="0" w:type="dxa"/>
            <w:vAlign w:val="bottom"/>
          </w:tcPr>
          <w:p>
            <w:pPr>
              <w:spacing w:after="0"/>
              <w:rPr>
                <w:sz w:val="1"/>
                <w:szCs w:val="1"/>
                <w:color w:val="auto"/>
              </w:rPr>
            </w:pPr>
          </w:p>
        </w:tc>
      </w:tr>
      <w:tr>
        <w:trPr>
          <w:trHeight w:val="227"/>
        </w:trPr>
        <w:tc>
          <w:tcPr>
            <w:tcW w:w="28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1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rPr>
              <w:t>2023 vs. 2022</w:t>
            </w:r>
          </w:p>
        </w:tc>
        <w:tc>
          <w:tcPr>
            <w:tcW w:w="0" w:type="dxa"/>
            <w:vAlign w:val="bottom"/>
          </w:tcPr>
          <w:p>
            <w:pPr>
              <w:spacing w:after="0"/>
              <w:rPr>
                <w:sz w:val="1"/>
                <w:szCs w:val="1"/>
                <w:color w:val="auto"/>
              </w:rPr>
            </w:pPr>
          </w:p>
        </w:tc>
      </w:tr>
      <w:tr>
        <w:trPr>
          <w:trHeight w:val="211"/>
        </w:trPr>
        <w:tc>
          <w:tcPr>
            <w:tcW w:w="28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Net loss attributable to</w:t>
            </w: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stockholders of Tilray Brands,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Inc.</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$(31,747)</w:t>
            </w:r>
          </w:p>
        </w:tc>
        <w:tc>
          <w:tcPr>
            <w:tcW w:w="8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(138,713)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106,966</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(77)%</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(244,981)</w:t>
            </w:r>
          </w:p>
        </w:tc>
        <w:tc>
          <w:tcPr>
            <w:tcW w:w="12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(1,452,656)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1,207,675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Non-operating income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(expense), net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17,022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0,002%</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(29,067)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31,730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2,737</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126,913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130,149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7,252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(2,577)</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(7,826)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 in fair value of</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contingent consideration</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0,242%</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(16,645)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(1,947)%</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Impairments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 than temporary change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 fair value of convertible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notes receivable, attributable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 stockholders of Tilray</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Brands, Inc.</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(64,954)</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208,641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(179,618)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Inventory valuation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adjustments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Facility start-up and closure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costs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Litigation costs, net of</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recoveries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(1,653)</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(113)%</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8,756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(1,734)%</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8,315</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(561)%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6,336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Transaction costs (income),</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net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(3,094)</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13,849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859%</w:t>
            </w:r>
          </w:p>
        </w:tc>
        <w:tc>
          <w:tcPr>
            <w:tcW w:w="0" w:type="dxa"/>
            <w:vAlign w:val="bottom"/>
          </w:tcPr>
          <w:p>
            <w:pPr>
              <w:spacing w:after="0"/>
              <w:rPr>
                <w:sz w:val="1"/>
                <w:szCs w:val="1"/>
                <w:color w:val="auto"/>
              </w:rPr>
            </w:pPr>
          </w:p>
        </w:tc>
      </w:tr>
      <w:tr>
        <w:trPr>
          <w:trHeight w:val="265"/>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Adjusted net income (loss)</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$ 35,103</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(11,787)</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46,890</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(398)</w:t>
            </w:r>
            <w:r>
              <w:rPr>
                <w:rFonts w:ascii="Times New Roman" w:cs="Times New Roman" w:eastAsia="Times New Roman" w:hAnsi="Times New Roman"/>
                <w:sz w:val="22"/>
                <w:szCs w:val="22"/>
                <w:u w:val="single" w:color="auto"/>
                <w:color w:val="auto"/>
              </w:rPr>
              <w:t>%</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6,170</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446</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Adjusted net income (loss) per</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   0.04</w:t>
            </w:r>
          </w:p>
        </w:tc>
        <w:tc>
          <w:tcPr>
            <w:tcW w:w="80" w:type="dxa"/>
            <w:vAlign w:val="bottom"/>
          </w:tcPr>
          <w:p>
            <w:pPr>
              <w:spacing w:after="0"/>
              <w:rPr>
                <w:sz w:val="17"/>
                <w:szCs w:val="17"/>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02)</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06</w:t>
            </w:r>
          </w:p>
        </w:tc>
        <w:tc>
          <w:tcPr>
            <w:tcW w:w="10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2"/>
                <w:szCs w:val="22"/>
                <w:color w:val="auto"/>
              </w:rPr>
              <w:t>(321)</w:t>
            </w:r>
            <w:r>
              <w:rPr>
                <w:rFonts w:ascii="Times New Roman" w:cs="Times New Roman" w:eastAsia="Times New Roman" w:hAnsi="Times New Roman"/>
                <w:sz w:val="22"/>
                <w:szCs w:val="22"/>
                <w:u w:val="single" w:color="auto"/>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17"/>
                <w:szCs w:val="17"/>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share - basic and diluted</w:t>
            </w: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6"/>
        </w:trPr>
        <w:tc>
          <w:tcPr>
            <w:tcW w:w="49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Free Cash Flow</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2120" w:type="dxa"/>
            <w:vAlign w:val="bottom"/>
            <w:gridSpan w:val="5"/>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three months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5"/>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year</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 thousands of U.S.</w:t>
            </w: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ended May 31,</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6"/>
              </w:rPr>
              <w:t>Change</w:t>
            </w:r>
          </w:p>
        </w:tc>
        <w:tc>
          <w:tcPr>
            <w:tcW w:w="120" w:type="dxa"/>
            <w:vAlign w:val="bottom"/>
          </w:tcPr>
          <w:p>
            <w:pPr>
              <w:spacing w:after="0"/>
              <w:rPr>
                <w:sz w:val="24"/>
                <w:szCs w:val="24"/>
                <w:color w:val="auto"/>
              </w:rPr>
            </w:pPr>
          </w:p>
        </w:tc>
        <w:tc>
          <w:tcPr>
            <w:tcW w:w="2280" w:type="dxa"/>
            <w:vAlign w:val="bottom"/>
            <w:gridSpan w:val="5"/>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ended May 31,</w:t>
            </w:r>
          </w:p>
        </w:tc>
        <w:tc>
          <w:tcPr>
            <w:tcW w:w="1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9"/>
              </w:rPr>
              <w:t>Change</w:t>
            </w:r>
          </w:p>
        </w:tc>
        <w:tc>
          <w:tcPr>
            <w:tcW w:w="0" w:type="dxa"/>
            <w:vAlign w:val="bottom"/>
          </w:tcPr>
          <w:p>
            <w:pPr>
              <w:spacing w:after="0"/>
              <w:rPr>
                <w:sz w:val="1"/>
                <w:szCs w:val="1"/>
                <w:color w:val="auto"/>
              </w:rPr>
            </w:pPr>
          </w:p>
        </w:tc>
      </w:tr>
      <w:tr>
        <w:trPr>
          <w:trHeight w:val="227"/>
        </w:trPr>
        <w:tc>
          <w:tcPr>
            <w:tcW w:w="28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1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220"/>
              <w:spacing w:after="0"/>
              <w:rPr>
                <w:sz w:val="20"/>
                <w:szCs w:val="20"/>
                <w:color w:val="auto"/>
              </w:rPr>
            </w:pPr>
            <w:r>
              <w:rPr>
                <w:rFonts w:ascii="Times New Roman" w:cs="Times New Roman" w:eastAsia="Times New Roman" w:hAnsi="Times New Roman"/>
                <w:sz w:val="22"/>
                <w:szCs w:val="22"/>
                <w:b w:val="1"/>
                <w:bCs w:val="1"/>
                <w:color w:val="auto"/>
              </w:rPr>
              <w:t>2023 vs. 2022</w:t>
            </w:r>
          </w:p>
        </w:tc>
        <w:tc>
          <w:tcPr>
            <w:tcW w:w="0" w:type="dxa"/>
            <w:vAlign w:val="bottom"/>
          </w:tcPr>
          <w:p>
            <w:pPr>
              <w:spacing w:after="0"/>
              <w:rPr>
                <w:sz w:val="1"/>
                <w:szCs w:val="1"/>
                <w:color w:val="auto"/>
              </w:rPr>
            </w:pPr>
          </w:p>
        </w:tc>
      </w:tr>
      <w:tr>
        <w:trPr>
          <w:trHeight w:val="211"/>
        </w:trPr>
        <w:tc>
          <w:tcPr>
            <w:tcW w:w="280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Net cash provided by (used in)</w:t>
            </w: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operating activities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$ 30,707</w:t>
            </w:r>
          </w:p>
        </w:tc>
        <w:tc>
          <w:tcPr>
            <w:tcW w:w="8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43,598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(12,891)</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(30,905)</w:t>
            </w:r>
          </w:p>
        </w:tc>
        <w:tc>
          <w:tcPr>
            <w:tcW w:w="12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(38,811)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(491)%</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investments in capital</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and intangible assets, net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7,910</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(77)%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(4,244)</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65"/>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Free cash flow</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$ 28,340</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33,321</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(4,981)</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(51,645)</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(8,590)</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(43,055)</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501%</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 growth CAPEX</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00" w:type="dxa"/>
            <w:vAlign w:val="bottom"/>
            <w:vMerge w:val="continue"/>
          </w:tcPr>
          <w:p>
            <w:pPr>
              <w:spacing w:after="0"/>
              <w:rPr>
                <w:sz w:val="21"/>
                <w:szCs w:val="21"/>
                <w:color w:val="auto"/>
              </w:rPr>
            </w:pPr>
          </w:p>
        </w:tc>
        <w:tc>
          <w:tcPr>
            <w:tcW w:w="92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2,596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9,850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(7,254)</w:t>
            </w:r>
          </w:p>
        </w:tc>
        <w:tc>
          <w:tcPr>
            <w:tcW w:w="100" w:type="dxa"/>
            <w:vAlign w:val="bottom"/>
          </w:tcPr>
          <w:p>
            <w:pPr>
              <w:spacing w:after="0"/>
              <w:rPr>
                <w:sz w:val="21"/>
                <w:szCs w:val="21"/>
                <w:color w:val="auto"/>
              </w:rPr>
            </w:pPr>
          </w:p>
        </w:tc>
        <w:tc>
          <w:tcPr>
            <w:tcW w:w="7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(74)%</w:t>
            </w:r>
          </w:p>
        </w:tc>
        <w:tc>
          <w:tcPr>
            <w:tcW w:w="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9,850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6,393</w:t>
            </w:r>
          </w:p>
        </w:tc>
        <w:tc>
          <w:tcPr>
            <w:tcW w:w="8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65%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cash income taxes related</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to Aphria Diamond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(5,085)</w:t>
            </w:r>
          </w:p>
        </w:tc>
        <w:tc>
          <w:tcPr>
            <w:tcW w:w="1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2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 integration costs related</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to HEXO</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NM</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25,630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65"/>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Adjusted free cash flow</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$ 30,611</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48,256</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(17,645)</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6,561</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19,115</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(12,554)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w:t>
            </w:r>
            <w:r>
              <w:rPr>
                <w:rFonts w:ascii="Times New Roman" w:cs="Times New Roman" w:eastAsia="Times New Roman" w:hAnsi="Times New Roman"/>
                <w:sz w:val="22"/>
                <w:szCs w:val="22"/>
                <w:u w:val="single" w:color="auto"/>
                <w:color w:val="auto"/>
              </w:rPr>
              <w:t>%</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Key Operating Metrics</w:t>
            </w:r>
          </w:p>
        </w:tc>
        <w:tc>
          <w:tcPr>
            <w:tcW w:w="240" w:type="dxa"/>
            <w:vAlign w:val="bottom"/>
          </w:tcPr>
          <w:p>
            <w:pPr>
              <w:spacing w:after="0"/>
              <w:rPr>
                <w:sz w:val="24"/>
                <w:szCs w:val="24"/>
                <w:color w:val="auto"/>
              </w:rPr>
            </w:pPr>
          </w:p>
        </w:tc>
        <w:tc>
          <w:tcPr>
            <w:tcW w:w="260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27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For the year ended</w:t>
            </w:r>
          </w:p>
        </w:tc>
        <w:tc>
          <w:tcPr>
            <w:tcW w:w="0" w:type="dxa"/>
            <w:vAlign w:val="bottom"/>
          </w:tcPr>
          <w:p>
            <w:pPr>
              <w:spacing w:after="0"/>
              <w:rPr>
                <w:sz w:val="1"/>
                <w:szCs w:val="1"/>
                <w:color w:val="auto"/>
              </w:rPr>
            </w:pPr>
          </w:p>
        </w:tc>
      </w:tr>
      <w:tr>
        <w:trPr>
          <w:trHeight w:val="227"/>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vMerge w:val="continue"/>
          </w:tcPr>
          <w:p>
            <w:pPr>
              <w:spacing w:after="0"/>
              <w:rPr>
                <w:sz w:val="19"/>
                <w:szCs w:val="19"/>
                <w:color w:val="auto"/>
              </w:rPr>
            </w:pPr>
          </w:p>
        </w:tc>
        <w:tc>
          <w:tcPr>
            <w:tcW w:w="27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ended, May 31,</w:t>
            </w:r>
          </w:p>
        </w:tc>
        <w:tc>
          <w:tcPr>
            <w:tcW w:w="1760" w:type="dxa"/>
            <w:vAlign w:val="bottom"/>
            <w:gridSpan w:val="3"/>
          </w:tcPr>
          <w:p>
            <w:pPr>
              <w:jc w:val="center"/>
              <w:ind w:left="832"/>
              <w:spacing w:after="0"/>
              <w:rPr>
                <w:sz w:val="20"/>
                <w:szCs w:val="20"/>
                <w:color w:val="auto"/>
              </w:rPr>
            </w:pPr>
            <w:r>
              <w:rPr>
                <w:rFonts w:ascii="Times New Roman" w:cs="Times New Roman" w:eastAsia="Times New Roman" w:hAnsi="Times New Roman"/>
                <w:sz w:val="22"/>
                <w:szCs w:val="22"/>
                <w:b w:val="1"/>
                <w:bCs w:val="1"/>
                <w:color w:val="auto"/>
                <w:w w:val="97"/>
              </w:rPr>
              <w:t>May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20" w:type="dxa"/>
            <w:vAlign w:val="bottom"/>
          </w:tcPr>
          <w:p>
            <w:pPr>
              <w:spacing w:after="0"/>
              <w:rPr>
                <w:sz w:val="24"/>
                <w:szCs w:val="24"/>
                <w:color w:val="auto"/>
              </w:rPr>
            </w:pPr>
          </w:p>
        </w:tc>
        <w:tc>
          <w:tcPr>
            <w:tcW w:w="13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1"/>
        </w:trPr>
        <w:tc>
          <w:tcPr>
            <w:tcW w:w="56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beverage alcohol revenue</w:t>
            </w:r>
          </w:p>
        </w:tc>
        <w:tc>
          <w:tcPr>
            <w:tcW w:w="2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76,739</w:t>
            </w:r>
          </w:p>
        </w:tc>
        <w:tc>
          <w:tcPr>
            <w:tcW w:w="120" w:type="dxa"/>
            <w:vAlign w:val="bottom"/>
          </w:tcPr>
          <w:p>
            <w:pPr>
              <w:spacing w:after="0"/>
              <w:rPr>
                <w:sz w:val="21"/>
                <w:szCs w:val="21"/>
                <w:color w:val="auto"/>
              </w:rPr>
            </w:pPr>
          </w:p>
        </w:tc>
        <w:tc>
          <w:tcPr>
            <w:tcW w:w="26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32,404</w:t>
            </w:r>
          </w:p>
        </w:tc>
        <w:tc>
          <w:tcPr>
            <w:tcW w:w="120" w:type="dxa"/>
            <w:vAlign w:val="bottom"/>
          </w:tcPr>
          <w:p>
            <w:pPr>
              <w:spacing w:after="0"/>
              <w:rPr>
                <w:sz w:val="21"/>
                <w:szCs w:val="21"/>
                <w:color w:val="auto"/>
              </w:rPr>
            </w:pPr>
          </w:p>
        </w:tc>
        <w:tc>
          <w:tcPr>
            <w:tcW w:w="130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   202,094</w:t>
            </w:r>
          </w:p>
        </w:tc>
        <w:tc>
          <w:tcPr>
            <w:tcW w:w="120" w:type="dxa"/>
            <w:vAlign w:val="bottom"/>
          </w:tcPr>
          <w:p>
            <w:pPr>
              <w:spacing w:after="0"/>
              <w:rPr>
                <w:sz w:val="21"/>
                <w:szCs w:val="21"/>
                <w:color w:val="auto"/>
              </w:rPr>
            </w:pPr>
          </w:p>
        </w:tc>
        <w:tc>
          <w:tcPr>
            <w:tcW w:w="340" w:type="dxa"/>
            <w:vAlign w:val="bottom"/>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95,093</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Net cannabis revenue</w:t>
            </w:r>
          </w:p>
        </w:tc>
        <w:tc>
          <w:tcPr>
            <w:tcW w:w="24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71,919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64,413</w:t>
            </w:r>
          </w:p>
        </w:tc>
        <w:tc>
          <w:tcPr>
            <w:tcW w:w="1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272,798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220,430</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revenue</w:t>
            </w:r>
          </w:p>
        </w:tc>
        <w:tc>
          <w:tcPr>
            <w:tcW w:w="24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65,566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72,612</w:t>
            </w:r>
          </w:p>
        </w:tc>
        <w:tc>
          <w:tcPr>
            <w:tcW w:w="1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258,740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258,770</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Wellness revenue</w:t>
            </w:r>
          </w:p>
        </w:tc>
        <w:tc>
          <w:tcPr>
            <w:tcW w:w="24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15,658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14,759</w:t>
            </w:r>
          </w:p>
        </w:tc>
        <w:tc>
          <w:tcPr>
            <w:tcW w:w="12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55,310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52,831</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rPr>
              <w:t>Beverage alcohol costs</w:t>
            </w:r>
          </w:p>
        </w:tc>
        <w:tc>
          <w:tcPr>
            <w:tcW w:w="24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35,907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15,838</w:t>
            </w:r>
          </w:p>
        </w:tc>
        <w:tc>
          <w:tcPr>
            <w:tcW w:w="12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113,522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48,770</w:t>
            </w:r>
          </w:p>
        </w:tc>
        <w:tc>
          <w:tcPr>
            <w:tcW w:w="0" w:type="dxa"/>
            <w:vAlign w:val="bottom"/>
          </w:tcPr>
          <w:p>
            <w:pPr>
              <w:spacing w:after="0"/>
              <w:rPr>
                <w:sz w:val="1"/>
                <w:szCs w:val="1"/>
                <w:color w:val="auto"/>
              </w:rPr>
            </w:pPr>
          </w:p>
        </w:tc>
      </w:tr>
    </w:tbl>
    <w:p>
      <w:pPr>
        <w:sectPr>
          <w:pgSz w:w="11900" w:h="16838" w:orient="portrait"/>
          <w:cols w:equalWidth="0" w:num="1">
            <w:col w:w="11220"/>
          </w:cols>
          <w:pgMar w:left="340" w:top="368"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Cannabis costs</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43,087</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24,955</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182,594</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162,755</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costs</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57,750</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65,866</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230,596</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231,309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Wellness costs</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10,788</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10,366</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38,879</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37,330</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profit (excluding PPA step-up)</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82,526</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68,422</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235,581</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206,442</w:t>
            </w:r>
          </w:p>
        </w:tc>
      </w:tr>
      <w:tr>
        <w:trPr>
          <w:trHeight w:val="243"/>
        </w:trPr>
        <w:tc>
          <w:tcPr>
            <w:tcW w:w="5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Beverage alcohol adjusted gross margin (excluding PPA step-</w:t>
            </w:r>
          </w:p>
        </w:tc>
        <w:tc>
          <w:tcPr>
            <w:tcW w:w="1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up)</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53%</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55%</w:t>
            </w: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Cannabis adjusted gross margin (excluding PPA step-up)</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40%</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61%</w:t>
            </w: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gross margin</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w:t>
            </w: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Wellness gross margin</w:t>
            </w: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31%</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30%</w:t>
            </w: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29,491</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21,525</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60,465</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58,679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Cash and marketable securities as at the period ended:</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260,522</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448,529</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260,522</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448,529</w:t>
            </w:r>
          </w:p>
        </w:tc>
      </w:tr>
      <w:tr>
        <w:trPr>
          <w:trHeight w:val="282"/>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Working capital as at the year ended:</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378,540</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340,050</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378,540</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340,050</w:t>
            </w:r>
          </w:p>
        </w:tc>
      </w:tr>
    </w:tbl>
    <w:p>
      <w:pPr>
        <w:spacing w:after="0" w:line="1" w:lineRule="exact"/>
        <w:rPr>
          <w:sz w:val="20"/>
          <w:szCs w:val="20"/>
          <w:color w:val="auto"/>
        </w:rPr>
      </w:pPr>
    </w:p>
    <w:sectPr>
      <w:pgSz w:w="11900" w:h="16838" w:orient="portrait"/>
      <w:cols w:equalWidth="0" w:num="1">
        <w:col w:w="11200"/>
      </w:cols>
      <w:pgMar w:left="34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2024-07-29T15:39:56Z</dcterms:created>
  <dcterms:modified xsi:type="dcterms:W3CDTF">2024-07-29T15:39:56Z</dcterms:modified>
</cp:coreProperties>
</file>