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80" w:right="1760" w:hanging="3672"/>
        <w:spacing w:after="0" w:line="39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2023</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January 5, 2024, the registrant had 742,725,148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 ended November 30, 2023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by 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or expectations regarding our cost savings initiatives; our strategic initiatives, business strategy, supply chain, brand portfolio, product performance and expansion efforts; current or future macroeconomic trends; and our expectations regarding regulatory developments; future corporate acquisitions and strategic transactions; and our synergies, cash savings and efficiencies anticipated from the integration of our completed acquisitions and strategic transactions.</w:t>
      </w:r>
    </w:p>
    <w:p>
      <w:pPr>
        <w:spacing w:after="0" w:line="200" w:lineRule="exact"/>
        <w:rPr>
          <w:sz w:val="20"/>
          <w:szCs w:val="20"/>
          <w:color w:val="auto"/>
        </w:rPr>
      </w:pPr>
    </w:p>
    <w:p>
      <w:pPr>
        <w:spacing w:after="0" w:line="20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2023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TILRAY BRANDS, INC.</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of United States dollars, 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773,029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429,667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973,785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2,008,843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 equity investees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4,330,557</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4,307,259</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190,682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432,979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977,316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19)</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1,198,000,000 common shares authorized; 732,907,552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656,655,455 common shares issued and outstanding,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5,942,671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5,777,743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(2,536,040)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(2,415,507)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3,315,692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3,393,353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4,330,557</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4,307,259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09"/>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193,771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146,362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279,115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205,851</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91,496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78,386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7,583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48,354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(income)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(9,264)</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89,168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94,673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164,465</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(72,969)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(18,460)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(51,442)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(49,563)</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(131,931)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(46,183)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(127,429)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(49,008)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(69,463)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(120,533)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(142,945)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(84,889)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convertible notes receivable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(20,168)</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(105,057)</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(40,980)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(232,486)</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(43,814)</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(111,186)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(112,290)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(243,636)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11,150</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730,769,132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611,711,377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710,877,859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589,112,358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730,769,132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611,711,377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710,877,859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589,112,358</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4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1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532,674,887</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5,382,367</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(20,764)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(962,851)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42,561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4,441,366</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equity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32,481,149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129,593</w:t>
            </w:r>
          </w:p>
        </w:tc>
      </w:tr>
      <w:tr>
        <w:trPr>
          <w:trHeight w:val="18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purchase HEXO convertible note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33,314,412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107,272</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HTI Convertible Note - conversion feature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9,055</w:t>
            </w:r>
          </w:p>
        </w:tc>
      </w:tr>
      <w:tr>
        <w:trPr>
          <w:trHeight w:val="18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 Diamond Holdings</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settlement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5,064</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(1,189)</w:t>
            </w:r>
          </w:p>
        </w:tc>
      </w:tr>
      <w:tr>
        <w:trPr>
          <w:trHeight w:val="20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9,193</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non-controlling interests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(8,561)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(8,561)</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(73,482)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3,839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(128,611)</w:t>
            </w:r>
          </w:p>
        </w:tc>
      </w:tr>
      <w:tr>
        <w:trPr>
          <w:trHeight w:val="20"/>
        </w:trPr>
        <w:tc>
          <w:tcPr>
            <w:tcW w:w="3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600,954,939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5,641,348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(79,732)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(1,036,333)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37,839</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4,563,182</w:t>
            </w:r>
          </w:p>
        </w:tc>
      </w:tr>
      <w:tr>
        <w:trPr>
          <w:trHeight w:val="20"/>
        </w:trPr>
        <w:tc>
          <w:tcPr>
            <w:tcW w:w="3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purchase Montauk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6,422</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237,611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10,943</w:t>
            </w:r>
          </w:p>
        </w:tc>
      </w:tr>
      <w:tr>
        <w:trPr>
          <w:trHeight w:val="20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 Diamond Holdings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10,276,305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(32,280)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6,474</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(41,723)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(69,463)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7,311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(103,875)</w:t>
            </w:r>
          </w:p>
        </w:tc>
      </w:tr>
      <w:tr>
        <w:trPr>
          <w:trHeight w:val="20"/>
        </w:trPr>
        <w:tc>
          <w:tcPr>
            <w:tcW w:w="3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November 30,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613,181,559</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5,697,466</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(121,455)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(1,105,796)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4,483,146</w:t>
            </w:r>
          </w:p>
        </w:tc>
      </w:tr>
      <w:tr>
        <w:trPr>
          <w:trHeight w:val="183"/>
        </w:trPr>
        <w:tc>
          <w:tcPr>
            <w:tcW w:w="342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656,655,455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5,777,743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(46,610)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(2,415,507)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14,251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3,329,943</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HEXO 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39,705,962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65,162</w:t>
            </w:r>
          </w:p>
        </w:tc>
      </w:tr>
      <w:tr>
        <w:trPr>
          <w:trHeight w:val="18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 of contractual change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control severance incurred from HEXO</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 Diamond Holdings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dividend settlement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5,004,735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8,146</w:t>
            </w:r>
          </w:p>
        </w:tc>
      </w:tr>
      <w:tr>
        <w:trPr>
          <w:trHeight w:val="20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HTI convertible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17,148,541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(4,860)</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Equity component related to issuance of</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debt, net of issuance costs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r>
      <w:tr>
        <w:trPr>
          <w:trHeight w:val="20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8,257</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non-controlling interests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(7,891)</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(7,891)</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(71,525)</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15,822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(52,654)</w:t>
            </w:r>
          </w:p>
        </w:tc>
      </w:tr>
      <w:tr>
        <w:trPr>
          <w:trHeight w:val="20"/>
        </w:trPr>
        <w:tc>
          <w:tcPr>
            <w:tcW w:w="3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723,292,600</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5,909,895</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(43,561)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(2,487,032)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22,182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3,401,556</w:t>
            </w:r>
          </w:p>
        </w:tc>
      </w:tr>
      <w:tr>
        <w:trPr>
          <w:trHeight w:val="20"/>
        </w:trPr>
        <w:tc>
          <w:tcPr>
            <w:tcW w:w="3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3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HTI convertible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1,032,616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2,313</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 of litigation claims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from MediPharm Labs Inc</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3,477</w:t>
            </w:r>
          </w:p>
        </w:tc>
      </w:tr>
      <w:tr>
        <w:trPr>
          <w:trHeight w:val="19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 of TLRY 23</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20,458</w:t>
            </w: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 of equity component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of TLRY 23 convertible note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r>
      <w:tr>
        <w:trPr>
          <w:trHeight w:val="20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8,201</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(49,008)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2,834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(40,980)</w:t>
            </w:r>
          </w:p>
        </w:tc>
      </w:tr>
      <w:tr>
        <w:trPr>
          <w:trHeight w:val="20"/>
        </w:trPr>
        <w:tc>
          <w:tcPr>
            <w:tcW w:w="3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November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732,907,552</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5,942,671</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(38,367)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(2,536,040)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25,016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3,393,353</w:t>
            </w:r>
          </w:p>
        </w:tc>
      </w:tr>
      <w:tr>
        <w:trPr>
          <w:trHeight w:val="20"/>
        </w:trPr>
        <w:tc>
          <w:tcPr>
            <w:tcW w:w="3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7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ended November 30,</w:t>
            </w:r>
          </w:p>
        </w:tc>
      </w:tr>
      <w:tr>
        <w:trPr>
          <w:trHeight w:val="209"/>
        </w:trPr>
        <w:tc>
          <w:tcPr>
            <w:tcW w:w="7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(102,046)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(127,429)</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recovery</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(12,941)</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67,387</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10,372</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20,136</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long-term investments &amp; equity investments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derivative instruments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18,997</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6,690</w:t>
            </w:r>
          </w:p>
        </w:tc>
      </w:tr>
      <w:tr>
        <w:trPr>
          <w:trHeight w:val="216"/>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(7,780)</w:t>
            </w:r>
          </w:p>
        </w:tc>
      </w:tr>
      <w:tr>
        <w:trPr>
          <w:trHeight w:val="216"/>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w:t>
            </w:r>
          </w:p>
        </w:tc>
      </w:tr>
      <w:tr>
        <w:trPr>
          <w:trHeight w:val="216"/>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(1,941)</w:t>
            </w:r>
          </w:p>
        </w:tc>
      </w:tr>
      <w:tr>
        <w:trPr>
          <w:trHeight w:val="20"/>
        </w:trPr>
        <w:tc>
          <w:tcPr>
            <w:tcW w:w="7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(17,060)</w:t>
            </w: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8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 net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(7,537)</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(purchase) of marketable securities, net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(243,186)</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(24,372)</w:t>
            </w:r>
          </w:p>
        </w:tc>
      </w:tr>
      <w:tr>
        <w:trPr>
          <w:trHeight w:val="20"/>
        </w:trPr>
        <w:tc>
          <w:tcPr>
            <w:tcW w:w="7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(272,935)</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8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129,593</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effectively repurchased for employee withholding tax</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(10,420)</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(48,975)</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 bank indebtedness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(2,819)</w:t>
            </w:r>
          </w:p>
        </w:tc>
      </w:tr>
      <w:tr>
        <w:trPr>
          <w:trHeight w:val="20"/>
        </w:trPr>
        <w:tc>
          <w:tcPr>
            <w:tcW w:w="7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66,364</w:t>
            </w:r>
          </w:p>
        </w:tc>
      </w:tr>
      <w:tr>
        <w:trPr>
          <w:trHeight w:val="20"/>
        </w:trPr>
        <w:tc>
          <w:tcPr>
            <w:tcW w:w="7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r>
      <w:tr>
        <w:trPr>
          <w:trHeight w:val="20"/>
        </w:trPr>
        <w:tc>
          <w:tcPr>
            <w:tcW w:w="7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(225,691)</w:t>
            </w:r>
          </w:p>
        </w:tc>
      </w:tr>
      <w:tr>
        <w:trPr>
          <w:trHeight w:val="210"/>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8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190,218</w:t>
            </w:r>
          </w:p>
        </w:tc>
        <w:tc>
          <w:tcPr>
            <w:tcW w:w="10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the statement of cash flows cash and cash equivalents is $1,576 of restricted cash as of</w:t>
            </w:r>
          </w:p>
        </w:tc>
        <w:tc>
          <w:tcPr>
            <w:tcW w:w="408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color w:val="auto"/>
              </w:rPr>
              <w:t>November 30, 2023, $nil as of May 31, 2023.</w:t>
            </w:r>
          </w:p>
        </w:tc>
      </w:tr>
      <w:tr>
        <w:trPr>
          <w:trHeight w:val="432"/>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1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interim consolidated financial statements (the “financial statements”) reflect the accounts of the Company for the quarterly period ended November 30, 2023.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2023 (the “Annual Report”). These unaudited condensed interim consolidated financial statements reflect all adjustments, which, in the opinion of management, are necessary for a fair presentation of the results for the interim periods presented. Interim results are not necessarily indicative of results for a full year.</w:t>
      </w:r>
    </w:p>
    <w:p>
      <w:pPr>
        <w:spacing w:after="0" w:line="19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These condensed interim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unaudited condensed interim consolidated financial statements, notes and tables have been rounded to the nearest thousand, except par values and per share amounts, unless otherwise indicated.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items of the comparative figures have been changed to conform to the presentation adopted in the current period.</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subsidiaries are included in the condensed interim consolidated financial statements from the date that control commences until the date that control ceases. A complete list of our subsidiaries that existed prior to our most recent year end is included in the Annual Report, except for the entities acquired within Note 7 (Business acquisitions), during the period ended November 30, 2023.</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classify term deposits and other investments that have maturities of greater than three months but less than one year as marketable securities. The fair value of marketable securities is based on quoted market prices for publicly traded securities. Marketable securities are carried at fair value with changes in fair value recorded in the statement of net loss and comprehensive loss, within the line, “Non-operating income (expense)”.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classify cash that is legally or contractually restricted as to withdrawal or usage, as restricted cash. As of November 30, 2023, the Company reported $1,576 restricted cash related to letters of credit and collateral from the acquisition of HEXO Corp. as described in Note 7 (Business acquisitions).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classify capital assets that are available and which are probable for immediate sale in their present condition, which the Company has approved the action or plan to sell, as assets held for sale. As of November 30, 2023, the Company reported $736 assets held for sale related to Kirkland lake property from the acquisition of HEXO Corp. as described in Note 7 (Business acquisitions). Assets held for sale are to be measured at the lower of carrying amount and the fair value less costs to sell. Disposition of assets held for sale are recorded in the statement of net loss and comprehensive loss, within the line, “Non-operating income (expense)”.</w:t>
      </w:r>
    </w:p>
    <w:p>
      <w:pPr>
        <w:spacing w:after="0" w:line="1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When there are changes in circumstances that were previously considered unlikely to occur, and it is decided not to proceed with a sale, an asset that was previously classified as assets held for sale is reclassified as held and used. The asset is then remeasured at the lower of its carrying amount before being classified as held for sale less the amortization that would have occurred and the fair value on the date the decision not to proceed with a sale was made. Changes in the carrying amount are recorded in the statement of net loss and comprehensive loss.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of entities over which the Company does not have a controlling financial interest or significant influence are classified as an equity investment and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is less than carrying values. Changes in value are recorded in the statement of net loss and comprehensive loss, within the line, “Non-operating income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adjusted for the Company’s share of undistributed earnings or losses, and impairment, if any, within “Interest in equity investees” on the balance sheets. The Company assesses investments in equity method investments when events or circumstances indicate that the carrying amount of the investment may be impaired. If it is determined that the current fair value of an equity method investment is less than the carrying value of the investment, the Company will assess if the shortfall is other than temporary (OTTI). Evidence of a loss in value might include, but would not necessarily be limited to, absence of an ability to recover the carrying amount of the investment or inability of the equity investee to sustain an earnings capacity that would justify the carrying amount of the investment. Once a determination is made that an OTTI exists, the investment is written down to its fair value in accordance with ASC 820 at the reporting date, which establishes a new cost basis.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Convertible notes receivable include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through performance obligation, is transferred/provided to the customer in an amount that reflects the consideration we expect to be entitled to in exchange for the performance obligations.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accrued liabilities on the consolidated balance sheets, with the liability subsequently reduced when the taxes are remitted to the tax authority.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transaction price for the sale of goods or services, the Company considers the effects of variable consideration and the existence of significant financing components, if any.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enter into certain contracts for the sale of goods or services, which provide customers with rights of return, volume discounts, bonuses for volume/quality achievement, and/or sales allowances. In addition, the Company may provide in certain circumstances, a retrospective price reduction to a customer based primarily on inventory movement. The inclusion of these items may give rise to variable consideration. The Company uses the expected value method to estimate the variable consideration because this method provides the most accurate estimation of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12, 2022, the Company and HEXO Corp. ("HEXO") entered into various commercial transaction agreements, as described in Note 26 (Segment reporting), which included an advisory services arrangement. The fees associated with the advisory services arrangement were recognized as revenue when such services were provided to HEXO. Any payments that were received for such services in advance of performance were recognized as a contract liability. On June 22, 2023, the Company completed the acquisition of HEXO, as described in Note 7 (Business acquisitions), simultaneously terminating the advisory services arrangement and other commercial transactions.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Transaction (income) costs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costs net of any gains directly attributable to business acquisitions and classifies these items as transaction (income) costs. These items include among other things, legal fees to complete the acquisition, financial advisor and due diligence costs, and transaction related compensation. These items are recognized as incurred.</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13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months ended November 30, 2023 and November 30, 2022, the dilutive potential common share equivalents outstanding consisted of the following: 20,939,082 and 16,884,493 common shares from RSUs, 6,280,065 and 4,674,512 common shares from share options, 6,209,000 and 6,209,000 common shares for warrants and 77,181,260 and 23,981,704 common shares for convertible debentures, respectively.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 - Joint Venture Formations</w:t>
      </w:r>
      <w:r>
        <w:rPr>
          <w:rFonts w:ascii="Times New Roman" w:cs="Times New Roman" w:eastAsia="Times New Roman" w:hAnsi="Times New Roman"/>
          <w:sz w:val="18"/>
          <w:szCs w:val="18"/>
          <w:color w:val="auto"/>
        </w:rPr>
        <w:t xml:space="preserve"> (Subtopic 805-60) Recognition and Initial Measurement (“ASU 2023-05”), which is intended to address the accounting for contributions made to a joint venture. ASU 2023-05 is effective for the Company beginning June 1, 2026. This update will be applied prospectively on or after the effective date of the amendments. The Company is currently evaluating the effect of adopting this ASU.</w:t>
      </w:r>
    </w:p>
    <w:p>
      <w:pPr>
        <w:spacing w:after="0" w:line="180"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which amends the disclosure or presentation requirements related to various subtopics in the FASB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182" w:lineRule="exact"/>
        <w:rPr>
          <w:sz w:val="20"/>
          <w:szCs w:val="20"/>
          <w:color w:val="auto"/>
        </w:rPr>
      </w:pPr>
    </w:p>
    <w:p>
      <w:pPr>
        <w:jc w:val="both"/>
        <w:ind w:right="540" w:firstLine="486"/>
        <w:spacing w:after="0" w:line="290"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which requires public entities to disclose information about their reportable segments’ significant expenses on an interim and annual basis. ASU 2023-07 is effective for the Company beginning the year ended May 31, 2025. The Company is currently evaluating the effect of adopting this ASU.</w:t>
      </w:r>
    </w:p>
    <w:p>
      <w:pPr>
        <w:spacing w:after="0" w:line="15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rate reconciliation and provide additional information for reconciling items that meet a quantitative threshold on an annual basis. ASU 2023-09 is effective for the Company beginning the year ended June 01, 2024. The Company is currently evaluating the effect of adopting this ASU.</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(Subtopic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2021-08”), which is intended to improve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by addressing diversity in practice and inconsistency. The Company adopted the ASU 2021-08 beginning June 1, 2023, however, it did not have any impact on our condensed interim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23"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Plants</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14,908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89,801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trim</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inventory</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27,837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3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252,702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200,551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00" w:type="dxa"/>
            <w:vAlign w:val="bottom"/>
            <w:vMerge w:val="continue"/>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46,385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344,593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344,627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319,749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185,422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788,724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576,485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(173,637)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(146,818)</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500" w:type="dxa"/>
            <w:vAlign w:val="bottom"/>
          </w:tcPr>
          <w:p>
            <w:pPr>
              <w:spacing w:after="0"/>
              <w:rPr>
                <w:sz w:val="24"/>
                <w:szCs w:val="24"/>
                <w:color w:val="auto"/>
              </w:rPr>
            </w:pPr>
          </w:p>
        </w:tc>
        <w:tc>
          <w:tcPr>
            <w:tcW w:w="350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Capital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57,056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Right of use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right-of-use asset</w:t>
            </w:r>
          </w:p>
        </w:tc>
        <w:tc>
          <w:tcPr>
            <w:tcW w:w="4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70,607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197"/>
        </w:trPr>
        <w:tc>
          <w:tcPr>
            <w:tcW w:w="38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4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Accrued lease obligations -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Accrued lease obligations - current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Accrued lease obligations - non-current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Accrued lease obligations - non-current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 associated with lease liabilities as of November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(49,202)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614,062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366,793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1,599,018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1,576,717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(229,755)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(415,844)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953,419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Included in licenses, permits &amp; applications was $184,858 of indefinite-lived intangible assets as of November 30, 2023, compared to $181,093 as of May 31, 2023.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November 30,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six months)</w:t>
            </w:r>
          </w:p>
        </w:tc>
        <w:tc>
          <w:tcPr>
            <w:tcW w:w="6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73,722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73,722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73,722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73,722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436,812</w:t>
            </w:r>
          </w:p>
        </w:tc>
        <w:tc>
          <w:tcPr>
            <w:tcW w:w="100" w:type="dxa"/>
            <w:vAlign w:val="bottom"/>
          </w:tcPr>
          <w:p>
            <w:pPr>
              <w:spacing w:after="0"/>
              <w:rPr>
                <w:sz w:val="18"/>
                <w:szCs w:val="18"/>
                <w:color w:val="auto"/>
              </w:rPr>
            </w:pPr>
          </w:p>
        </w:tc>
      </w:tr>
      <w:tr>
        <w:trPr>
          <w:trHeight w:val="24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768,561</w:t>
            </w:r>
          </w:p>
        </w:tc>
      </w:tr>
      <w:tr>
        <w:trPr>
          <w:trHeight w:val="413"/>
        </w:trPr>
        <w:tc>
          <w:tcPr>
            <w:tcW w:w="3840" w:type="dxa"/>
            <w:vAlign w:val="bottom"/>
            <w:tcBorders>
              <w:top w:val="single" w:sz="8" w:color="CCEEFF"/>
            </w:tcBorders>
          </w:tcPr>
          <w:p>
            <w:pPr>
              <w:spacing w:after="0"/>
              <w:rPr>
                <w:sz w:val="24"/>
                <w:szCs w:val="24"/>
                <w:color w:val="auto"/>
              </w:rPr>
            </w:pPr>
          </w:p>
        </w:tc>
        <w:tc>
          <w:tcPr>
            <w:tcW w:w="584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5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068"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2,640,669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2,640,669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77,470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(842,431)</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Montauk Brewing Company, Inc.</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7, 2022, Tilray acquired Montauk Brewing Company, Inc. (“Montauk”), a leading craft brewer based in Montauk, New York, which expanded our distribution network with a strong brand in the tri-state region of the U.S. In consideration for the acquisition of Montauk, and after giving effect to post-closing adjustments, the Company paid an aggregate purchase price equal to $35,123, which was comprised of $ 28,701 in cash and the remainder through the issuance of 1,708,521 shares of Tilray's common stock (having a value of $6,422 at closing). In the event that Montauk achieves certain volume and/or EBITDA targets on or before December 31, 2025, the stockholders of Montauk shall be eligible to receive additional contingent cash consideration of up to $18,000. The Company determined that the closing date fair value of this contingent consideration was $10,245 based on the inputs disclosed in Note 25 (Fair value measurements).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table below summarizes fair value of the assets acquired and the liabilities assumed at the effective acquisition date.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28,701</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6,422</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10,245</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18,540</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13,650</w:t>
            </w:r>
          </w:p>
        </w:tc>
      </w:tr>
      <w:tr>
        <w:trPr>
          <w:trHeight w:val="216"/>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55,549</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4,851</w:t>
            </w:r>
          </w:p>
        </w:tc>
      </w:tr>
      <w:tr>
        <w:trPr>
          <w:trHeight w:val="216"/>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tcPr>
          <w:p>
            <w:pPr>
              <w:spacing w:after="0"/>
              <w:rPr>
                <w:sz w:val="18"/>
                <w:szCs w:val="18"/>
                <w:color w:val="auto"/>
              </w:rPr>
            </w:pPr>
          </w:p>
        </w:tc>
      </w:tr>
      <w:tr>
        <w:trPr>
          <w:trHeight w:val="250"/>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left="160" w:firstLine="486"/>
        <w:spacing w:after="0" w:line="258" w:lineRule="auto"/>
        <w:rPr>
          <w:sz w:val="20"/>
          <w:szCs w:val="20"/>
          <w:color w:val="auto"/>
        </w:rPr>
      </w:pPr>
      <w:r>
        <w:rPr>
          <w:rFonts w:ascii="Times New Roman" w:cs="Times New Roman" w:eastAsia="Times New Roman" w:hAnsi="Times New Roman"/>
          <w:sz w:val="18"/>
          <w:szCs w:val="18"/>
          <w:color w:val="auto"/>
        </w:rPr>
        <w:t>In the event that the Montauk acquisition had occurred on June 1, 2022, the Company would have had additional net revenue of approximately $3,100 and $9,000 for the three and six months ended November 30, 2022 and net loss and comprehensive net loss would have increased by approximately $600 and $500 for the three and six months ended November 30, 2022, primarily as a result of amortization of the intangible assets acquired. This unaudited pro forma financial information does not reflect the realization of any expected ongoing synergies relating to the integration of Montauk.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HEXO Corp.</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22, 2023, Tilray acquired HEXO, a cannabis company in Canada (the “HEXO Acquisition”) for the purpose of expanding the Company’s revenue base, production capabilities around certain form factors and growth opportunities with the Redecan brand. In consideration for the HEXO Acquisition, the Company paid a total purchase price equivalent of $93,882, which consisted of stock consideration of $63,927, settlement of convertible notes receivable of $28,720, the fair value of HEXO stock-based compensation of $1,188 and the assumption of warrants of $47. In connection with the HEXO Acquisition, each outstanding HEXO common share was exchanged for 0.4352 of a share of Tilray common stock and each outstanding HEXO preferred share was exchanged for 0.7805 of a share of Tilray common stock. In the aggregate, the Company issued 39,705,962 shares of Tilray common stock, at a share price of $1.61 per share, in connection with the HEXO Acquisition. The Company intends to sell HEXO's Kirkland lake property and has recorded the value of the associated capital assets as an asset held for sale.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HEXO Acquisition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7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63,927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convertible notes receivable</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Warrants assumed</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HEXO stock-based compensation</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7,855</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25,947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70,634</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 equity investee</w:t>
            </w:r>
          </w:p>
        </w:tc>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138,399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Pr>
          <w:p>
            <w:pPr>
              <w:spacing w:after="0"/>
              <w:rPr>
                <w:sz w:val="18"/>
                <w:szCs w:val="18"/>
                <w:color w:val="auto"/>
              </w:rPr>
            </w:pPr>
          </w:p>
        </w:tc>
      </w:tr>
      <w:tr>
        <w:trPr>
          <w:trHeight w:val="25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Included in accounts payable and accrued liabilities was $12,253 of litigation settlement accruals as of June 22, 2023.</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the HEXO Acquisition had occurred on June 1, 2022, the Company would have had, on an unaudited proforma basis, additional net revenue of approximately $nil and $7,000 for the three and six months period ended November 30, 2023 and $20,000 and $40,000 for the three and six months period ended November 30, 2022, respectively, and its net loss and comprehensive net loss would have increased by approximately $nil and $1,800 for the three and six months period ended November 30, 2023, and $30,000 and $60,000 for the three and six months period ended November 30, 2022, respectively. This unaudited pro forma financial information does not reflect the realization of any expected ongoing synergies relating to the integration of HEXO.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Truss Beverage Co.</w:t>
      </w:r>
    </w:p>
    <w:p>
      <w:pPr>
        <w:spacing w:after="0" w:line="227"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On August 3, 2023, Tilray acquired the remaining 57.5% equity interest in Truss Beverage Co. ("Truss"), a cannabis beverage company, from Molson Coors Canada ("Molson"). This purchase represents the equity portion of Truss that had not been previously acquired as part of the HEXO Acquisition. The consideration paid by Tilray consisted of $74 (CAD$100) in cash and contingent consideration fair valued at $4,181. Tilray initially planned to divest Truss' assets and recorded the value of the associated capital assets and lease obligations as an asset held for sale. Tilray has agreed to pay Molson as contingent consideration an amount equal to 57.5% of any proceeds from any divesture, net of any costs and expenses associated with the disposition. During the period ended November 30, 2023, due to a change in circumstance in the Company's ability to sell these assets, they were subsequently reclassified as capital assets as the Company has made alternative plans for their utilization. The asset was then remeasured at the lower of its carrying amount before being classified as held for sale less the amortization that would have occurred and the fair value on the date the decision not to proceed with a sale was made. Changes in the carrying amount were recorded in the statement of net loss and comprehensive loss as amortization in cost of goods sold.</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7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investees</w:t>
            </w:r>
          </w:p>
        </w:tc>
        <w:tc>
          <w:tcPr>
            <w:tcW w:w="3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6,739</w:t>
            </w:r>
          </w:p>
        </w:tc>
      </w:tr>
    </w:tbl>
    <w:p>
      <w:pPr>
        <w:sectPr>
          <w:pgSz w:w="11900" w:h="16900" w:orient="portrait"/>
          <w:cols w:equalWidth="0" w:num="1">
            <w:col w:w="11240"/>
          </w:cols>
          <w:pgMar w:left="320" w:top="605"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13,684</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5,408</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8"/>
                <w:szCs w:val="18"/>
                <w:color w:val="auto"/>
              </w:rPr>
            </w:pPr>
          </w:p>
        </w:tc>
      </w:tr>
      <w:tr>
        <w:trPr>
          <w:trHeight w:val="249"/>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that the Truss acquisition had occurred on June 1, 2022 the Company would have had, on an unaudited proforma basis, additional net revenue of approximately $nil and $3,000 for the three and six months period ended November 30, 2023 and $3,300 and $6,300 for the three and six months period ended November 30, 2022, respectively, and its net loss and comprehensive net loss would have increased by approximately $nil and $700 for the three and six months period ended November 30, 2023, and $500 and $1,200 for the three and six months period ended November 30, 2022, respectively. This unaudited pro forma financial information does not reflect the realization of any expected ongoing synergies relating to the integration of Truss.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29, 2023, Tilray acquired a portfolio of craft brands, assets and businesses comprising eight beer and beverage brands from Anheuser-Busch Companies, LLC, ("AB") including breweries and brewpubs associated with them (the “Craft Acquisition”). The acquired businesses/brands include Shock Top, Breckenridge Brewery, Blue Point Brewing Company, 10 Barrel Brewing Company, Redhook Brewery, Widmer Brothers Brewing, Square Mile Cider Company, and HiBall Energy. The Company paid a total purchase price equivalent of $83,658 in cash, net of a preliminary working capital adjustment at closing of $1,342, which is subject to a final working capital adjustment. As described in Note 12 (Long-term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$20,000 was borrowed under the 420 Delayed Draw Term Loan Agreement to fund part of the purchase price paid for the Craft Acquisition.</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Craft Acquisition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 - term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that the Craft Acquisition had occurred on June 1, 2022, the Company would have had, on an unaudited proforma basis, additional revenue of approximately $14,000 and $55,000 for the three and six months period ended November 30, 2023 and $42,000 and $85,000 for the three and six months period ended November 30, 2022, respectively, and its net loss and comprehensive net loss would have increased by approximately $2,000 and $5,000 for the three and six months period ended November 30, 2023, and $1,400 and $900 for the three and six months period ended November 30, 2022, respectively. This unaudited pro forma financial information does not reflect the realization of any expected ongoing synergies relating to the integration of the Craft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Convertible notes receivable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HEXO Convertible Note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100" w:type="dxa"/>
            <w:vAlign w:val="bottom"/>
            <w:tcBorders>
              <w:bottom w:val="single" w:sz="8" w:color="CCEEFF"/>
            </w:tcBorders>
            <w:shd w:val="clear" w:color="auto" w:fill="CCEEFF"/>
          </w:tcPr>
          <w:p>
            <w:pPr>
              <w:spacing w:after="0"/>
              <w:rPr>
                <w:sz w:val="21"/>
                <w:szCs w:val="21"/>
                <w:color w:val="auto"/>
              </w:rPr>
            </w:pPr>
          </w:p>
        </w:tc>
      </w:tr>
    </w:tbl>
    <w:p>
      <w:pPr>
        <w:sectPr>
          <w:pgSz w:w="11900" w:h="16838" w:orient="portrait"/>
          <w:cols w:equalWidth="0" w:num="1">
            <w:col w:w="11240"/>
          </w:cols>
          <w:pgMar w:left="320" w:top="120"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HEXO Convertible Note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June 22, 2023, the Company completed the HEXO Acquisition as described in Note 7 (Business acquisitions). Concurrently with the closing of the HEXO Acquisition, the HEXO convertible note was converted into shares of HEXO.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MedMen Convertible Note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with any accrued interest being added to the outstanding principal amount. The outstanding principal amount, together with accrued interest is to be paid on August 17, 2028, the maturity date of the MedMen Convertible Note. SH Acquisition was also granted “top-up” rights enabling it (and its limited partners) to maintain its percentage ownership (on an “as-converted” basis) in the event that MedMen issues equity securities. SH Acquisition’s ability to convert the MedMen Convertible Note and exercise the Warrants is dependent upon U.S. federal legalization of cannabis or Tilray’s waiver of such requirement as well as any additional regulatory approvals.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MedMen Convertible Note was based upon the fair value of the collateral assets net of disposal costs. In the prior year, the Company used the Black-Scholes model using the following assumptions: the risk-free rate of 3.50%; expected life of the convertible note; volatility of 70% based on comparable companies; forfeiture rate of nil; dividend yield of nil; probability of legalization between 0% and 60%; and, the exercise price of the respective conversion feature.</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did not derive any revenue or cash from MedMen's operations, and fully complies with all limitations imposed by applicable U.S. law and regulations in connection with its ownership of the MedMen Convertible Note. In addition, the Company did not recognize any interest income on the MedMen Convertible Note for the three and six months ended November 30, 2023, which would have increased its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 term investments</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8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3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413"/>
        </w:trPr>
        <w:tc>
          <w:tcPr>
            <w:tcW w:w="482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10.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November 30, 2023, the Company has not drawn on the line of credit. The operating line of credit is secured by a security interest on that certain real property located at 265 Talbot St. West, Leamington, Ontario.</w:t>
      </w:r>
    </w:p>
    <w:p>
      <w:pPr>
        <w:spacing w:after="0" w:line="176" w:lineRule="exact"/>
        <w:rPr>
          <w:sz w:val="20"/>
          <w:szCs w:val="20"/>
          <w:color w:val="auto"/>
        </w:rPr>
      </w:pPr>
    </w:p>
    <w:p>
      <w:pPr>
        <w:jc w:val="both"/>
        <w:ind w:firstLine="494"/>
        <w:spacing w:after="0" w:line="261" w:lineRule="auto"/>
        <w:tabs>
          <w:tab w:leader="none" w:pos="7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for €7,000 and €500 each, which bear interest at Euro Short-Term Rate ("ESTR") plus 2.50% and Euro Interbank Offered Rate ("EURIBOR") plus 4.00%, respectively. As of November 30, 2023, a total of €7,438 ($8,181) was drawn down from the available credit of €7,500. The operating line of credit for €7,000 are secured by an interest in the inventory of CC Pharma GmbH as well as the Densborn facility and underlying real property. The operating line of credit for €500 is unsecured.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Four Twenty Corporation (“420”), a subsidiary of the Company, has a revolving credit facility of $30,000, which bears interest at SOFR plus an applicable margin. As of November 30, 2023, the Company has drawn $12,000 on the revolving line of credit. The revolving credit facility is secured by all of Montauk, the Craft Acquisition's assets and 420's assets and includes a corporate guarantee by a subsidiary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liabilities</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88,363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70,819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48,394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expense accrual</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190,682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Long-term debt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Credit facility - C$66,000 - Canadian prime interest rate plus an applicable margin, 3-year term, with a 10-</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amortization, repayable in blended monthly payments, due in November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10,959</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2.15%,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€250 plus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due in December 2023</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€1,200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4.26%,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€100 plus interest, due in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€94 plus interest, due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 interest, due in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2028</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$57 including interest, due in October 2030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to $1,750 due in June 2028</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182,092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quarter ended August 31, 2023, Four Twenty Corporation ("420"), a wholly-owned subsidiary of the Company, repaid its $100,000 term loan and entered  into a new secured credit agreement, which comprised of: (i) a $70,000 term loan facility, bearing interest at SOFR plus an applicable margin and having a maturity date of June 30, 2028 (the "420 Term Loan"), and (ii) a $20,000 delayed draw term loan facility, issued on the same terms as the $70,000 term loan facility (the "420 Delayed Draw Term Loan" and, together with the 420 Term Loan the "420 Secured Credit Agreement"). The 420 Term Loan was fully drawn on June 30, 2023. The 420 Delayed Draw Term Loan was fully drawn on September 29, 2023 to fund part of the purchase price for the Craft Acquisition as described in Note 7 (Business acquisitions). Under the terms of the 420 Secured Credit Agreement, the Company pledged all of Sweetwater, Breckenridge, Montauk and the Craft Acquisition's assets and the related equity interests, and Tilray Brands, Inc. provided a limited guarantee, as well as requiring the lenders approval to transfer assets to Tilray Brands, Inc.</w:t>
      </w:r>
    </w:p>
    <w:p>
      <w:pPr>
        <w:spacing w:after="0" w:line="19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As of November 30, 2023, 420 was not in compliance with the leverage ratio covenant under the 420 Secured Credit Agreement, but obtained a waiver from the lender on January 5,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Convertible debentures payable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50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("TLRY 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123,691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100,476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HTI Convertible Note</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47,834</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("APHA 24")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128,399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("TLRY 23")</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126,544</w:t>
            </w:r>
          </w:p>
        </w:tc>
        <w:tc>
          <w:tcPr>
            <w:tcW w:w="100" w:type="dxa"/>
            <w:vAlign w:val="bottom"/>
          </w:tcPr>
          <w:p>
            <w:pPr>
              <w:spacing w:after="0"/>
              <w:rPr>
                <w:sz w:val="18"/>
                <w:szCs w:val="18"/>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252,090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395,422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174,378</w:t>
            </w:r>
          </w:p>
        </w:tc>
        <w:tc>
          <w:tcPr>
            <w:tcW w:w="100" w:type="dxa"/>
            <w:vAlign w:val="bottom"/>
          </w:tcPr>
          <w:p>
            <w:pPr>
              <w:spacing w:after="0"/>
              <w:rPr>
                <w:sz w:val="18"/>
                <w:szCs w:val="18"/>
                <w:color w:val="auto"/>
              </w:rPr>
            </w:pPr>
          </w:p>
        </w:tc>
      </w:tr>
      <w:tr>
        <w:trPr>
          <w:trHeight w:val="24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123,691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221,044</w:t>
            </w:r>
          </w:p>
        </w:tc>
      </w:tr>
      <w:tr>
        <w:trPr>
          <w:trHeight w:val="413"/>
        </w:trPr>
        <w:tc>
          <w:tcPr>
            <w:tcW w:w="8020" w:type="dxa"/>
            <w:vAlign w:val="bottom"/>
            <w:tcBorders>
              <w:top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TLRY 27 Notes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50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debenture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(49,524)</w:t>
            </w:r>
          </w:p>
        </w:tc>
      </w:tr>
      <w:tr>
        <w:trPr>
          <w:trHeight w:val="250"/>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23 and APHA 24,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will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 conversion price of approximately $2.66 per share. The conversion rate and conversion price will be subject to adjustment upon the occurrence of certain events.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2023, the Company recognized interest expense of $2,423 and $4,485 and accretion of amortized discount interest of $2,829 and $5,624. For the same periods in the prior year there was no interest or accretion of amortized discount.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HTI Convertible Note</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Contractual debenture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2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(2,166)</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12, 2022, the Company issued a $50,000 convertible promissory note to HTI ("HTI Convertible Note"), bearing a 4% interest rate payable on a quarterly basis and having a maturity date of September 1, 2023. On August 31, 2023, the Company settled in full the HTI Convertible Note through the issuance of shares as described in Note 15 (Stockholders'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APHA 24 Notes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(213,260)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(213,260)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(16,172)</w:t>
            </w: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120,568</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846" w:right="339" w:bottom="1" w:gutter="0" w:footer="0" w:header="0"/>
        </w:sectPr>
      </w:pPr>
    </w:p>
    <w:bookmarkStart w:id="21" w:name="page22"/>
    <w:bookmarkEnd w:id="21"/>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APHA 24 convertible debentures, were entered into in April 2019, in the principal amount of $350,000, bear interest at a rate of 5.25% per annum, payable semi-annually in arrears on June 1 and December 1 of each year, and mature on June 1, 2024, unless earlier converted (the APHA 24 Notes"). The APHA 24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23 and TLRY 27,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w:t>
      </w:r>
    </w:p>
    <w:p>
      <w:pPr>
        <w:spacing w:after="0" w:line="18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Holders of the APHA 24 Notes may convert all or any portion of such note, in multiples of $1 principal amount, at their option at any time between December 1, 2023 to the maturity date of June 1, 2024. The initial conversion which the Company may settle in cash, or common shares of Tilray, or a combination thereof, at Tilray's election, is equivalent to an initial conversion price of approximately $11.20 per common share, subject to adjustments in certain events.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may redeem for cash all or part of the APHA 24,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w:t>
      </w:r>
      <w:r>
        <w:rPr>
          <w:rFonts w:ascii="Times New Roman" w:cs="Times New Roman" w:eastAsia="Times New Roman" w:hAnsi="Times New Roman"/>
          <w:sz w:val="18"/>
          <w:szCs w:val="18"/>
          <w:i w:val="1"/>
          <w:iCs w:val="1"/>
          <w:color w:val="auto"/>
        </w:rPr>
        <w:t>825 Fair Value Measurements</w:t>
      </w:r>
      <w:r>
        <w:rPr>
          <w:rFonts w:ascii="Times New Roman" w:cs="Times New Roman" w:eastAsia="Times New Roman" w:hAnsi="Times New Roman"/>
          <w:sz w:val="18"/>
          <w:szCs w:val="18"/>
          <w:color w:val="auto"/>
        </w:rPr>
        <w:t xml:space="preserve"> for the APHA 24. The APHA 24 was initially recognized at fair value on the balance sheet. All subsequent changes in fair value, excluding the impact of the change in fair value related to instrument-specific credit risk are recorded in non-operating income. The changes in fair value related to instrument-specific credit risk is recorded through other comprehensive income (loss).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plans to purchase or exchange some or all of its APHA 24 Notes, in open market purchases, privately negotiated transactions or otherwise prior to their maturity in June 2024. Such purchases or exchanges, if any, will depend on prevailing market conditions, contractual restrictions and other factors. See Note 27 (Subsequent Events) for additional details.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overall change in fair value of APHA 24 during the six months ended November 30, 2023 decreased by $7,831 ( November 30, 2022 – $6,542 of fair value changes), this was comprised of $6,041 of fair value changes and a foreign exchange loss of $1,790.</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$136,740 principal outstanding as at November 30, 2023 and May 31, 2023.</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2023,the Company recognized total interest expense of $1,795 and $3,589, respectively and total interest expense of $3,393 and $6,786, respectively for the same period in the prior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TLRY 23 Notes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Contractual debenture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277,856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paid</w:t>
            </w:r>
          </w:p>
        </w:tc>
        <w:tc>
          <w:tcPr>
            <w:tcW w:w="12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(150,526)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126,544</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TLRY 23 Notes bore interest at a rate of 5.00% per annum, payable semi-annually in arrears on April 1 and October 1 of each year. On September 12, 2023, the Company repurchased $20,000 of its TLRY 23 Notes for cancellation by issuing 7,000,000 shares and paying $610 of cash to settle both principal and accrued interest. Upon repurchase of the TLRY 23 Notes, a portion of the settlement consideration was allocated to the equity component of the instrument and was recognized as a $1,672 reduction of additional paid-in capital in the Consolidated Statements of Changes in Equity. Additionally, this repurchase resulted in a loss of $1,062 which was recorded in other non-operating (losses) gains, net as shown in Note 24 (Non-operating income (expense)).</w:t>
      </w:r>
    </w:p>
    <w:p>
      <w:pPr>
        <w:spacing w:after="0" w:line="18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After cancellation, the outstanding principal balance of the TLRY 23 Notes was $107,330. On October 2, 2023, the Company repaid the remaining principal of the TLRY 23 Notes in cash upon maturity.</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2023, the Company recognized total interest expense of $1,592 and $2,122, respectively and total interest expense of $2,373 and $3,746, respectively for the same period in the prior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14. Warrant liability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November 30, 2023 and May 31, 2023, there were 6,209,000 warrants outstanding, with an original exercise price of $5.95 per warrant, expiring March 17, 2025. Each warrant is exercisable for one common share of the Company.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six months ended November 30, 2023, the Company issued shares which triggered the anti-dilution price protection feature lowering the exercise price to $1.61.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warrants outstanding at November 30, 2023 at $0.607 per warrant using the Black Scholes pricing model (Level 3) with the following assumptions: Risk-free interest rate of 4.4%, expected volatility of 50%, expected term of 1.30 years, strike price of $1.61 and fair value of common stock of $1.81.</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Expected volatility is based on both historical and implied volatility of the Company’s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November 30, 2023, the Company had 1,198,000,000 common shares and 10,000,000 preferred shares authorized to be issued, with 732,907,552 common shares and nil preferred shares issued and outstanding. Historically, the Company has issued shares of its common stock as consideration for business acquisitions, including the settlement of convertible notes, the settlement of litigation claims, in connection with public offerings and as payment of dividends to non-controlling interests for profit distributions.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November 30, 2023, the Company issued the following common shares:</w:t>
      </w:r>
    </w:p>
    <w:p>
      <w:pPr>
        <w:spacing w:after="0" w:line="223"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39,705,962 shares in connection with the HEXO Acquisition, see Note </w:t>
      </w:r>
      <w:r>
        <w:rPr>
          <w:rFonts w:ascii="Times New Roman" w:cs="Times New Roman" w:eastAsia="Times New Roman" w:hAnsi="Times New Roman"/>
          <w:sz w:val="18"/>
          <w:szCs w:val="18"/>
          <w:i w:val="1"/>
          <w:iCs w:val="1"/>
          <w:color w:val="auto"/>
        </w:rPr>
        <w:t>7</w:t>
      </w:r>
      <w:r>
        <w:rPr>
          <w:rFonts w:ascii="Times New Roman" w:cs="Times New Roman" w:eastAsia="Times New Roman" w:hAnsi="Times New Roman"/>
          <w:sz w:val="18"/>
          <w:szCs w:val="18"/>
          <w:color w:val="auto"/>
        </w:rPr>
        <w:t xml:space="preserve"> (Business acquisitions).</w:t>
      </w:r>
    </w:p>
    <w:p>
      <w:pPr>
        <w:spacing w:after="0" w:line="29" w:lineRule="exact"/>
        <w:rPr>
          <w:rFonts w:ascii="Times New Roman" w:cs="Times New Roman" w:eastAsia="Times New Roman" w:hAnsi="Times New Roman"/>
          <w:sz w:val="18"/>
          <w:szCs w:val="18"/>
          <w:color w:val="auto"/>
        </w:rPr>
      </w:pPr>
    </w:p>
    <w:p>
      <w:pPr>
        <w:ind w:left="980" w:right="16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865,426 shares to settle a contractual change of control severance obligations in the aggregate amount of $1,500 incurred in connection with the HEXO Acquisition.</w:t>
      </w: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5,004,735 shares to settle dividends payable to the non-controlling shareholders of Aphria Diamond in the amount of $8,146.</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17,148,541 shares for the settlement of the HTI Convertible Note payable see Note </w:t>
      </w:r>
      <w:r>
        <w:rPr>
          <w:rFonts w:ascii="Times New Roman" w:cs="Times New Roman" w:eastAsia="Times New Roman" w:hAnsi="Times New Roman"/>
          <w:sz w:val="18"/>
          <w:szCs w:val="18"/>
          <w:i w:val="1"/>
          <w:iCs w:val="1"/>
          <w:color w:val="auto"/>
        </w:rPr>
        <w:t>13</w:t>
      </w:r>
      <w:r>
        <w:rPr>
          <w:rFonts w:ascii="Times New Roman" w:cs="Times New Roman" w:eastAsia="Times New Roman" w:hAnsi="Times New Roman"/>
          <w:sz w:val="18"/>
          <w:szCs w:val="18"/>
          <w:color w:val="auto"/>
        </w:rPr>
        <w:t xml:space="preserve"> (Convertible debentures payable).</w:t>
      </w:r>
    </w:p>
    <w:p>
      <w:pPr>
        <w:spacing w:after="0" w:line="9"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1,032,616 shares to HTI Investments MA LLC pursuant to the terms of a $50.0 million convertible promissory note originally issued by Tilray to HTI on July 12, 2022 and which was settled at maturity as previously disclosed.</w:t>
      </w: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1,573,152 shares to settle HEXO-based litigation judgement obtained by MediPharm Labs Inc. in 2022.</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to repurchase $20,000 of its TLRY 23 Notes for cancellation.</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3,921,665 shares in connection with the exercise of previously awarded stock-based compensation awards.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stock-based compensation plans as disclosed in our Annual Financial Statements. For the three and six months ended November 30, 2023, the total stock-based compensation was $ 8,201 and $ 16,458. For the three and six months ended November 30, 2022, total stock based compensation was $ 10,943 and $ 20,136 respectively.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November 30, 2023 the Company granted 11,559,549 time-based RSUs, and 7,566,146 performance-based RSUs ( November 30, 2022 - 6,004,995 time-based RSUs and 2,634,744 performance based RSUs). The 7,566,146 performance based RSUs issued during the quarter had performance conditions not yet finalized. The Company's total stock-based compensation expense recognized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r>
      <w:tr>
        <w:trPr>
          <w:trHeight w:val="210"/>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19,512</w:t>
            </w:r>
          </w:p>
        </w:tc>
      </w:tr>
      <w:tr>
        <w:trPr>
          <w:trHeight w:val="20"/>
        </w:trPr>
        <w:tc>
          <w:tcPr>
            <w:tcW w:w="3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8,201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20,136</w:t>
            </w:r>
          </w:p>
        </w:tc>
      </w:tr>
      <w:tr>
        <w:trPr>
          <w:trHeight w:val="412"/>
        </w:trPr>
        <w:tc>
          <w:tcPr>
            <w:tcW w:w="326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 (loss)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includes the following components: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 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(56,443)</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(58,968)</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(77,702)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(79,732)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(24,080)</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(41,723)</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(95,345)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(121,455)</w:t>
            </w:r>
          </w:p>
        </w:tc>
      </w:tr>
      <w:tr>
        <w:trPr>
          <w:trHeight w:val="196"/>
        </w:trPr>
        <w:tc>
          <w:tcPr>
            <w:tcW w:w="6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3,049</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2023</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(43,561)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5,194</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5,194</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2023</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(38,367)</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Non-controlling interests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information relating to the Company’s subsidiaries, SH Acquisition (68%), CC Pharma Nordic ApS (75%), Aphria Diamond (51%), and ColCanna S.A.S. (90%) before intercompany eliminations.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in which there is a non-controlling interest as of November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131,023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131,292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131,726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209,987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(135,732)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(52,488)</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83,811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153,059</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there is a non-controlling interest as of May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128,027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135,085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213,073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(150,417)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(54,625)</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136,058</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six months ended November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57,078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32,803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24,275</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24,740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24,892</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12,093</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6,554</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6,554</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18,656</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six months ended November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65,545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(7,006)</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39,039</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56,265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88,769</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7,006</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26,398</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(56,265)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(23,224)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(11,321)</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(12,548)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(35,772)</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12,156</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6,056</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11,150</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5, 2024, Aphria Inc. (“Aphria”), a wholly-owned subsidiary of the Company, entered into an Amended and Restated Wholesale Cannabis Supply Agreement (the “Supply Agreement”) with 1974568 Ontario Limited (“Aphria Diamond”), Aphria’s joint venture with Double Diamond Holdings Ltd. The Supply Agreement amends and restates the existing supply agreement, effective as of September 1, 2023, and amends certain terms relating to pricing and product classes. Due to the terms stipulated in the Supply Agreement, the reduced transfer price will lead to a decrease in income attributable to non-controlling interest over the duration of the agreement. If this agreement had been effective June 1, 2023, the Company would have recognized approximately $15,000 in additional net income attributed to the Stockholders of Tilray Brands,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reported income tax (recovery) expense of $(3,380) and $3,884 for the three and six months ended November 30, 2023, and income tax recovery of $(11,713) and $ (4,502) for the three and six months ended November 30, 2022. The income tax benefit in the current period varies from the US statutory income tax rate and prior period primarily due to the geographical mix of earnings and losses with no tax benefit resulting from valuation allowances in certain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payments on long-term debt, refer to Note 12 (Long-term debt), convertible notes, refer to Note 13 (Convertible debentures payable),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183,238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309,240</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136,740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550,272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184,139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104,992</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legal proceedings since our Annual Report on Form 10-K for the fiscal year ended May 31, 2023, except with respect to certain aspects of the legal proceedings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 Suits and Stockholder Derivative Suits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Authentic Brands Group Related Class Action (New York, United States)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SDNY entered an order appointing Saul Kassin as Lead Plaintiff and The Rosen Law Firm, P.A. as Lead Counsel. Lead Plaintiff filed an amended complaint on October 5, 2020, which asserts the same Sections 10(b) and 20(a) claims against the same defendants on largely the same theory, and includes new allegations that Tilray’s reported inventory, cost of sales, and gross margins in its financial reports during the class period were false and misleading because Tilray improperly recorded unsellable “trim” as inventory and understated the cost of sales for its products.</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amended complaint in the Kasilingam litigation without prejudice. On December 3, 2021, the lead plaintiff filed a second amended complaint alleging similar claims against Tilray and Brendan Kennedy. The defendants moved to dismiss the second amended complaint on February 2, 2022. On September 28, 2022, the Court granted in part and denied in part the defendants’ motion to dismiss the second amended complaint. On October 12, 2022, the Company filed a motion for reconsideration and/or interlocutory appeal of this Court decision.</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21, 2023, the U.S. District Court granted Tilray’s motion for reconsideration and dismissed the second amended complaint with leave to amend one final time. On September 27, 2023, plaintiff filed a third amended complaint. Tilray continues to believe that all of the underlying claims in the amended complaint are without merit and should be dismissed with prejudice.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420 Investments Ltd. Litigation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February 21, 2020, 420 Investments Ltd., as Plaintiff (“420 Investments”), filed a lawsuit against Tilray Brands, Inc. and High Park Shops Inc. as Defendants, in Calgary, Alberta in the Court of Queen’s Bench of Alberta. In August 2019, Tilray and High Park entered into an Arrangement Agreement with 420 Investments and others (the “Agreement”). Pursuant to the Agreement, High Park was to acquire the securities of 420 Investments. In February 2020, Tilray and High Park gave notice of termination of the Agreement. 420 Investments alleges that the termination was unlawful and without merit and further alleges that the Defendants had no legal basis to terminate. 420 Investments alleges that the Defendants did not meet their contractual and good faith obligations under the Agreement. 420 Investment seeks damages in the stated amount of C$110,000, plus C$20,000 in aggravated damages. The Tilray and High Park Statement of Defense and counterclaim were both filed on March 20, 2020. 420 Investment’s Statement of Defense to our counterclaim was filed on April 20, 2020. Respectively, 420 Investments and Tilray / High Park served each other with their Affidavits of Records on August 25, 2020 and November 30, 2020. Tilray and High Park cross-examined the litigation representative of 420 Investments. The Company denies the Plaintiff’s allegations and intends to continue to vigorously defend this litigation matter, although there can be no assurance as to its outcome.</w:t>
      </w:r>
    </w:p>
    <w:p>
      <w:pPr>
        <w:sectPr>
          <w:pgSz w:w="11900" w:h="16838" w:orient="portrait"/>
          <w:cols w:equalWidth="0" w:num="1">
            <w:col w:w="11240"/>
          </w:cols>
          <w:pgMar w:left="320" w:top="603" w:right="339" w:bottom="1440" w:gutter="0" w:footer="0" w:header="0"/>
        </w:sectPr>
      </w:pP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Tilray and High Park filed an Application for Summary Judgment to collect an unpaid C$7,000 bridge loan to 420 Investments on August 28, 2019, relating to the subject transaction. That debt was repayable in March 2020, but was never repaid. application is pending and a decision from the Court is expected on Tilray’s Application for Summary Judgment in the calendar year of 2024.</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made The</w:t>
      </w:r>
    </w:p>
    <w:p>
      <w:pPr>
        <w:spacing w:after="0" w:line="373" w:lineRule="exact"/>
        <w:rPr>
          <w:sz w:val="20"/>
          <w:szCs w:val="20"/>
          <w:color w:val="auto"/>
        </w:rPr>
      </w:pPr>
    </w:p>
    <w:p>
      <w:pPr>
        <w:sectPr>
          <w:pgSz w:w="11900" w:h="16838" w:orient="portrait"/>
          <w:cols w:equalWidth="0" w:num="2">
            <w:col w:w="10800" w:space="40"/>
            <w:col w:w="400"/>
          </w:cols>
          <w:pgMar w:left="320" w:top="603" w:right="3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Docklight Litigation Settlement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November 5, 2021 Docklight Brands, Inc. (“Docklight”) filed a complaint against the Company and its wholly-owned subsidiary, High Park Holdings, Ltd. in Superior Court of the State of Washington, King County. Docklight claimed breach of contract against High Park arising from a 2018 license agreement pursuant to which Docklight licensed certain Bob Marley-related brands to High Park (as amended in 2020 and 2021, the “High Park License”). In addition, Docklight brought a negligent misrepresentation claim against Tilray, alleging that certain individuals at Tilray or Aphria had made false statements to Docklight in order to induce Docklight to waive Docklight’s alleged right to terminate the High Park License for change-of-control on the basis of the 2021 Tilray-Aphria Arrangement Agreement. Effective October 10, 2023, the parties entered into a settlement agreement pursuant to which the Company paid an aggregate amount equal to $3,000 to Docklight in exchange for mutual releases and a dismissal of the pending Docklight litigation claims.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MediPharm / HEXO Litigation Settlement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July 2022, MediPharm Labs Inc. (“MediPharm) and Peter Hwang obtained a judgement for damages against HEXO Inc. in an amount equal to CAD $9,800, together with costs and interest, in connection with HEXO’s alleged failure to pay for certain products. Subsequent to Tilray’s acquisition of HEXO, on October 2, 2023, MediPharm, HEXO and Tilray reached a settlement of the MediPharm judgment. Specifically, the terms of the settlement consisted of the following: (i) CAD $3,000 cash payment to MediPharm; (ii) issuance to MediPharm of a product supply credit for CAD $1,000 for the purchase of Tilray cannabis products at market pricing; (iii) Tilray acquired all of the outstanding shares of a MediPharm subsidiary in exchange for the issuance by Tilray of 1,573,152 Tilray common shares; (iv) payment of CAD $210 to Peter Hwang; and (v) dismissal of the MediPharm judgment and mutual releases of all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described in Note 11 (Accounts payable and accrued liabilities), the total litigation expense accrual included in accrued liabilities as of November 30, 2023 was $25,338 to cover various ongoing litigation matters that are probable and estimable ( May 31, 2023 - $25,000). During the six months ended November 30, 2023, the Company assumed $12,253 of litigation accruals from the acquisition of HEXO, several of which were settled in the period as described above. The Company did not assume any litigation accruals from the Craft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20. Net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reports its net revenue in four reporting segments: cannabis, distribution, beverage alcohol and wellness.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 is comprised of:</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24"/>
                <w:szCs w:val="24"/>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November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142,385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(27,442)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(16,798)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(53,993)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(33,917)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108,468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alcohol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45,268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Beverage alcohol excise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67,223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193,771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370,720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297,347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46"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Cost of goods sold</w:t>
      </w:r>
    </w:p>
    <w:p>
      <w:pPr>
        <w:spacing w:after="0" w:line="22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Cost of goods sold is comprised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Beverage alcohol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240" w:type="dxa"/>
            <w:vAlign w:val="bottom"/>
          </w:tcPr>
          <w:p>
            <w:pPr>
              <w:spacing w:after="0"/>
              <w:rPr>
                <w:sz w:val="20"/>
                <w:szCs w:val="20"/>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r>
      <w:tr>
        <w:trPr>
          <w:trHeight w:val="191"/>
        </w:trPr>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46,472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28,577</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96,989</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57,438</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30,513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41,779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22,269</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60,147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121,615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107,479</w:t>
            </w:r>
          </w:p>
        </w:tc>
      </w:tr>
      <w:tr>
        <w:trPr>
          <w:trHeight w:val="234"/>
        </w:trPr>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18,732</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18,665</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146,362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101,254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279,115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205,851</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46" w:right="3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22. General and administrative expenses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are comprised of:</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43,313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78,386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23. Restructuring charges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restructuring and exit costs associated with the integration efforts of these non-recurring transactions. The Company recognized $2,655 and $3,570 of restructuring charges for the three and six months ended November 30, 2023, compared to $8,064 and $8,064 for prior year comparative periods. The Company approves detailed restructuring initiative plans at the executive level and recognizes these expenses in the period in which the plan has been committed to. All amounts incurred as of November 30 2023, have been paid.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Within the Cannabis reporting unit, three restructuring plans have been initiated as follows; HEXO acquisition related charges which is expected to take place 24 months from the acquisition date, Truss acquisition related charges which is expected to take place 18 months from the acquisition date and the Canadian business cost reduction plan, which concluded during the quarter. In the six month period ended November 30, 2023, the following expenses were recognized, $1,221 of employee termination benefits for the HEXO acquisition plan, $1,586 of restructuring charges related to the costs of exiting the facility until the new business has resumed for the Truss acquisition plan and $281 of employee termination benefits for the Canadian business cost reduction plan.</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Within the Distribution reporting unit, the Company executed a cost optimization plan during the three months ended November 30, 2023. It is expected that this plan will be completed within the current fiscal year. In the six month period ended November 30, 2023, the Company recognized $482 related to employee termination benefits in association with executing this plan.</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prior period three and six months ended November 30, 2022, the Company recognized $8,064 and $8,064 which was comprised of $1,599 of exit cost and $2,758 for inventory adjustments from the termination of our producer partnership in Uruguay due to a breach of the underlying contract in our International cannabis business. Additionally, amounts related to the Tilray-Aphria Arrangement Agreement for the closure of our Canadian cannabis facility in Enniskillen of $1,512 million were incurred. The Company also incurred $2,195 million of write-offs from the exit of our medical device reprocessing business in our distribution reporting segment. These exit costs were completed in the prior year quarter ended November 30, 2022, and did not have on going impacts in the six months ended November 30, 2023.</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24. Non-operating income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Non-operating income (expense) is comprised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24"/>
                <w:szCs w:val="24"/>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November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(6,175)</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(51,442)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Included in other non-operating (losses) gains, net for the three and six months ended November 30, 2023, are losses of $(967) and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$(1,182) resulting from the downside protection share issuance relating to the HTI note, as described in Note 15 (Stockholders' equity) and the gain on the settlement of TLRY 23 Convertible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classified its financial instruments as described in Note 3 Significant accounting policies in our Annual Financial Statements.</w:t>
      </w:r>
    </w:p>
    <w:p>
      <w:pPr>
        <w:spacing w:after="0" w:line="225"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At November 30, 2023 and May 31, 2023 the Company had long-term debt of $4,472 and $3,280, respectively, and the principal portion of convertible debentures payable of $309,240 and $464,070, respectively,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2023 and May 31, 2023 and indicates the fair value hierarchy of the valuation techniques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143,373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143,373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116,418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(128,399)</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261,367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(72,690)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188,677</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206,632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241,897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241,897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103,401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(27,107)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449,585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(40,440)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410,233</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notes receivable and long-term investments are recorded at fair value. The estimated fair value is determined using the Black Scholes option pricing model, probability of legalization and is classified as Level 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Convertible debentures payable are recorded at fair value when elected or required under US GAAP. Specifically, the APHA 24 instrument's estimated fair value is determined using the Black-Scholes option pricing model and is classified as Level 3.</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contingent consideration from the acquisitions of SweetWater, Montauk, and Truss due in December 2023, December 2025, and upon the triggering event if met, respectively and are payable in cash, is determined by discounting future expected cash outflows at a discount rate in the range of 5% - 11.4%, and probability of achievement of 25% and 90%. The unobservable inputs into the future expected cash outflows result in a fair value measurement classified as Level 3. During the six months ended November 30, 2023, a decrease in fair value of $10,584, inclusive of changes in foreign exchange, was recognized and was comprised of a decrease of fair value of $13,218 for the contingent consideration from the Sweetwater acquisition as a result of a lower probability of achieving the incentive targets which was offset by an increase in fair value of $2,411 for the contingent consideration from the Montauk acquisition as a result of a higher probability of achieving the incentive targets. Lastly, the addition of $4,181 of contingent consideration liability was assumed as part of the Truss acquisition and an increase in fair value of $223 as a result of foreign exchange.</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(7,831)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November 30,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(128,399)</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APHA Convertible debentures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 - 11%</w:t>
            </w:r>
          </w:p>
        </w:tc>
        <w:tc>
          <w:tcPr>
            <w:tcW w:w="10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achievement</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25% - 90%</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Segment reporting</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reportable segments: (1) cannabis operations, which encompasses the production, distribution, sale, co-manufacturing and advisory services of both medical and adult-use cannabis, (2) beverage alcohol operations, which encompasses the production, marketing and sale of beverage and beverage alcohol products, (3) distribution operations, which encompasses the purchase and resale of pharmaceuticals products to wholesale and pharmacy customers, and (4) wellness products, which encompasses hemp foods and hemp-based cannabidiol (“CBD”) consumer products. This structure is in line with how our Chief Operating Decision Maker (“CODM”) assesses our performance and allocates resources.</w:t>
      </w:r>
    </w:p>
    <w:p>
      <w:pPr>
        <w:spacing w:after="0" w:line="18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67,114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46,472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57,438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20,642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4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67,223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60,147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107,479</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Beverage alcohol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4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46,505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30,513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22,269</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15,992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4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12,929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24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72,048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240" w:type="dxa"/>
            <w:vAlign w:val="bottom"/>
          </w:tcPr>
          <w:p>
            <w:pPr>
              <w:spacing w:after="0"/>
              <w:rPr>
                <w:sz w:val="18"/>
                <w:szCs w:val="18"/>
                <w:color w:val="auto"/>
              </w:rPr>
            </w:pPr>
          </w:p>
        </w:tc>
        <w:tc>
          <w:tcPr>
            <w:tcW w:w="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11,931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(27,442)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(33,917)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67,114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12, 2022, Tilray acquired the HEXO Convertible Note from HTI and also entered into a strategic alliance with HEXO Corp. (“HEXO”) as discussed in Note 8 (Convertible notes receivable) and Note 13 (Convertible debentures payable). In addition, the Company and HEXO entered into various commercial transaction agreements. On June 22, 2023, the Company completed the HEXO Acquisition as described in Note 7 (Business acquisitions), and thus these commercial arrangements were terminated and HEXO's financial results were consolidated in the current period results.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Included in revenue from Canadian adult-use cannabis is $nil and $1,500 of advisory services revenue for the three and six months ended November 30, 2023, from the aforementioned HEXO commercial transaction agreements, compared to $7,882 and $15,635 of advisory services revenue in the prior comparative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Geographic net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114,619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3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75,292</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154,996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128,756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3,860</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193,771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144,136</w:t>
            </w:r>
          </w:p>
        </w:tc>
        <w:tc>
          <w:tcPr>
            <w:tcW w:w="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370,720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297,347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506,151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319,173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107,131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615,087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429,667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and six months ended November 30, 2023 and 2022, there were no major customers representing a material contribution to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Subsequent Events</w:t>
      </w:r>
    </w:p>
    <w:p>
      <w:pPr>
        <w:spacing w:after="0" w:line="229" w:lineRule="exact"/>
        <w:rPr>
          <w:sz w:val="20"/>
          <w:szCs w:val="20"/>
          <w:color w:val="auto"/>
        </w:rPr>
      </w:pPr>
    </w:p>
    <w:p>
      <w:pPr>
        <w:ind w:left="460" w:right="340" w:firstLine="36"/>
        <w:spacing w:after="0" w:line="282" w:lineRule="auto"/>
        <w:rPr>
          <w:sz w:val="20"/>
          <w:szCs w:val="20"/>
          <w:color w:val="auto"/>
        </w:rPr>
      </w:pPr>
      <w:r>
        <w:rPr>
          <w:rFonts w:ascii="Times New Roman" w:cs="Times New Roman" w:eastAsia="Times New Roman" w:hAnsi="Times New Roman"/>
          <w:sz w:val="18"/>
          <w:szCs w:val="18"/>
          <w:color w:val="auto"/>
        </w:rPr>
        <w:t>On December 15, 2023 and December 21, 2023, the Company exchanged $18,500 aggregate principal of its APHA 24 Notes for cancellation by issuing 9,601,538 shares.</w:t>
      </w:r>
    </w:p>
    <w:p>
      <w:pPr>
        <w:spacing w:after="0" w:line="16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 January 5, 2024, the Company obtained a Waiver from its lender as 420 was not in compliance with the leverage ratio covenant under the 420 Secured Credit Agreement. See “420 Credit Agreement” discussed in Part II, Item 5. Other Information.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5, 2024, Aphria Inc. (“Aphria”), a wholly-owned subsidiary of the Company, entered into an Amended and Restated Wholesale Cannabis Supply Agreement (the “Supply Agreement”) with 1974568 Ontario Limited (“Aphria Diamond”), Aphria’s joint venture with Double Diamond Holdings Ltd. The Supply Agreement amends and restates the existing supply agreement, effective as of September 1, 2023, and amends certain terms relating to pricing and product classes. See “Aphria Diamond Amended Supply Agreement” discussed in Part II, Item 5. Other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in conjunction with the Condensed Interim Consolidated Financial Statements and the related Notes thereto for the period ended November 30, 2023 contained in this Quarterly Report on Form 10-Q and the Audited Consolidated Financial Statements and the related Notes thereto contained in our Annual Report on Form 10-K for the fiscal year ended May 31, 2023,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global cannabis-lifestyle and consumer packaged goods company headquartered in Leamington and New York, with operations in Canada, the United States, Europe, Australia, and Latin America that is changing people’s lives for the better – one person at a time – by inspiring and empowering a worldwide community to live their very best life, enhanced by moments of connection and wellbeing. Tilray’s mission is to be the most responsible, trusted and market leading cannabis consumer products company in the world with a portfolio of innovative, high-quality and beloved brands that address the needs of the consumers, customers and patients we serve.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market share in the industries in which we compete, achieve industry-leading, profitable growth and build sustainable, long-term shareholder value. In order to ensure the long-term sustainable growth of our Company, we continue to focus on developing strong capabilities in consumer insights, drive category management leadership and assess growth opportunities with the introduction of new products and entries into new geographies. In addition, we are relentlessly focused on managing our cost of goods and expenses in order to maintain our strong financial position.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at a rapid pace during the early periods following the federal legalization of adult-use cannabis. Through analysis of the current market conditions, the following key trends have emerged and are anticipated to influence the near-term future in the industry:</w:t>
      </w:r>
    </w:p>
    <w:p>
      <w:pPr>
        <w:spacing w:after="0" w:line="174" w:lineRule="exact"/>
        <w:rPr>
          <w:sz w:val="20"/>
          <w:szCs w:val="20"/>
          <w:color w:val="auto"/>
        </w:rPr>
      </w:pPr>
    </w:p>
    <w:p>
      <w:pPr>
        <w:jc w:val="both"/>
        <w:ind w:left="820" w:hanging="326"/>
        <w:spacing w:after="0" w:line="25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Tilray continues to maintain its market leadership position in Canada. However, during the quarter, we experienced a marginal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in market share in Canada from 13.4% to 12.5% from the immediately preceding quarter, as reported by Hifyre data for all provinces excluding Quebec where Weedcrawler was deemed more accurate. While our market share has increased from the prior year comparison as a result of the strategic acquisitions of HEXO and Truss, the current period decrease reflects the intricacies of integrating products from strategic acquisitions like HEXO and Truss into our distribution channels. Challenges during this integration, including issues with SKU-specific gaps due to facility transitions, impacted our performance. However, we anticipate a rebound in market share for the latter half of our third quarter as we address these issues and integrate our processes.</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Historical price compression persists in the market, intensified by fierce competition among the approximately 1,000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Producers in Canada. Despite increased sales volume, year-over-year price compression has adversely impacted revenue by approximately $3.6 million and $6.7 million for the three and six months ended November 30, 2023, influencing both cannabis gross margin and the bottom line. The fixed impact of excise per gram, notwithstanding the decline in average selling prices, further compounds these challenges, prompting ongoing industry lobbying efforts.</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difference in recognizing synergized operating results</w:t>
      </w:r>
      <w:r>
        <w:rPr>
          <w:rFonts w:ascii="Times New Roman" w:cs="Times New Roman" w:eastAsia="Times New Roman" w:hAnsi="Times New Roman"/>
          <w:sz w:val="18"/>
          <w:szCs w:val="18"/>
          <w:color w:val="auto"/>
        </w:rPr>
        <w:t>. As we continue to acquire businesses such as HEXO and Truss, a large part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involves removing legacy costs from these businesses as part of our acquisition strategy. Once we have completed our full $27 million synergy plan for HEXO and integrated Truss's operations, we expect our operating results to be more profitable. Concurrently, we are actively evaluating our facilities, optimizing for efficiency, and implementing cost reduction measures to ensure our value chain operates at peak efficiency.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identified trends have had impacts on the current period results of operations and are discussed in greater detail in the respective sections.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market updates: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cannabis industry in Europe is in its early stages of development whereby countries within Europe are at different stages of legalization of medical and adult-use cannabis as some countries have expressed a clear political ambition to legalize adult-use cannabis (Germany, Portugal, Luxembourg and Czech Republic), some are engaging in an experiment for adult-use (Germany, Netherlands and Switzerland) and some are debating regulations for cannabinoid-based medicine (France and Spain). In Europe, we believe that, despite continuing recessionary economic conditions and the Russian conflict with Ukraine, cannabis legalization (both medicinal and adult-use) will continue to gain traction albeit more slowly than originally expected. We also continue to believe that Tilray remains uniquely positioned to maintain and gain significant market share in these markets with its infrastructure and its investments, which is comprised of two EU-GMP cultivation facilities within Europe located in Portugal and Germany, our distribution network and our demonstrated commitment to the availability, quality and safety of our cannabinoid-based medical products. Today, Germany remains the largest medical cannabis market in Europe.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state of cannabis legalization within Europe:</w:t>
      </w:r>
    </w:p>
    <w:p>
      <w:pPr>
        <w:spacing w:after="0" w:line="22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In late October 2022, the German government published key details of its plan to legalize and regulate adult-use cannabis, including what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Minister Karl Lauterbach described as “complete” cultivation within the country.</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Recently, Mr. Lauterbach advised that the proposal had been revised and that the new plan is a two-part model, which appears to be designed in order to legalize cannabis as broadly as possibly without running afoul of European Union rules. On July 6, 2023, it was announced that the draft regulations pertaining to decriminalization, home cultivation and non-commercial “cultivation associations” (i.e., social clubs) (the "Pillar One Regulations") had been finalized by the health ministry and was ready to be delivered to the German parliament. Due to lack of internal alignment by the SPD party, the Pillar One Regulations, which were initially expected to be introduced to the German parliament in the fourth quarter of calendar year 2023, now will not be brought until early in the calendar year of 2024. It is expected that the Pillar One Regulations will be passed in January 2024, with the new law coming into effect in the first quarter of calendar year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Pillar One Regulations addressing decriminalization, home cultivation and non-commercial “cultivation associations”, it also contains provisions which provide for broad medical cannabis reform, to which there appears to be broad consensus. These provisions include the reclassification of medical cannabis as a non-narcotic, thereby increasing the accessibility of medical cannabis to patients and the abolishment of the tender procedure for in-country cultivation in favor of a permit procedure.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to see the cornerstone framework for the Pillar Two Regulations governing the model projects in January 2024.</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to provide consistent and sustainable cannabis products for the adult-use market whether only in-country cultivation is permitted or whether imports are also allowed given our Aphria RX facility located in Germany and our EU-GMP-certified production facility in Portugal, as well as our distribution platform, which provides us with access to 13,000 pharmacies in Germany. Tilray is also well-positioned to continue to service the medical cannabis market and we believe that the reclassification of medical cannabis as a non-narcotic and the adoption of a permit procedure for in-country cultivation provides Tilray with a larger market opportunity.</w:t>
      </w:r>
    </w:p>
    <w:p>
      <w:pPr>
        <w:spacing w:after="0" w:line="18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In October 2021, Switzerland announced its intention to legalize cannabis by allowing production, cultivation, trade, and consumption,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meantime, it is commencing pilot projects in various cities, which permits selected participants to purchase cannabis for adult-use in various pharmacies in order to conduct studies on the cannabis market and its impact on Swiss society. It is the first trial for the legal distribution of adult-use cannabis containing THC in Europe. To date, Switzerland has granted several cities, including Basel, Bern, Biel/Bienne, Lucerne, Geneva, and Zurich, the opportunity to start their cannabis pilot projects. Zurich, which has recently been reported to lack cannabis consumers, is currently seeking 400 eligible individuals to participate.</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The Spanish Congress' Health Committee has recently approved a Medical Cannabis Report that paves the way for a government-sponsored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 on medical cannabis. The Report explicitly opens the door to standardized preparations other than the drugs already approved, highlighting their advantages in relation to safety, security and stability; as well as the possibility to prescribe medical cannabis in community pharmacies and not only in hospitals, favoring the access to the patients that may need it.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France launched a two-year pilot experiment to supply approximately 3,000 patients with medical cannabis. To date, 2,300 patients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enrolled in the experiment, which has been extended for another year and is now ending March 2024 in order to collect more data and to adopt a legal framework. The first results of the experimentation are positive. Several independent agencies have produced reports that show the effectiveness of medical cannabis, especially in situations of chronic pain.</w:t>
      </w:r>
    </w:p>
    <w:p>
      <w:pPr>
        <w:spacing w:after="0" w:line="18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Czech Republic. </w:t>
      </w:r>
      <w:r>
        <w:rPr>
          <w:rFonts w:ascii="Times New Roman" w:cs="Times New Roman" w:eastAsia="Times New Roman" w:hAnsi="Times New Roman"/>
          <w:sz w:val="18"/>
          <w:szCs w:val="18"/>
          <w:color w:val="auto"/>
        </w:rPr>
        <w:t>The Czech Republic has discussed plans to launch a fully regulated adult-use cannabis market and is reviewing in the context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regulations.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Malta</w:t>
      </w:r>
      <w:r>
        <w:rPr>
          <w:rFonts w:ascii="Times New Roman" w:cs="Times New Roman" w:eastAsia="Times New Roman" w:hAnsi="Times New Roman"/>
          <w:sz w:val="18"/>
          <w:szCs w:val="18"/>
          <w:color w:val="auto"/>
        </w:rPr>
        <w:t>. In 2021, became the first country in the European Union to legalize personal possession of the drug and permit private “cannabis clubs,”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members can grow and share the drug.</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Netherlands. </w:t>
      </w:r>
      <w:r>
        <w:rPr>
          <w:rFonts w:ascii="Times New Roman" w:cs="Times New Roman" w:eastAsia="Times New Roman" w:hAnsi="Times New Roman"/>
          <w:sz w:val="18"/>
          <w:szCs w:val="18"/>
          <w:color w:val="auto"/>
        </w:rPr>
        <w:t>The Netherlands launched a pilot program involving the cultivation of cannabis for adult-use. The purpose of the experiment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and how controlled cannabis can be legally supplied to coffeeshops and what the effects of this would be. During the experiment, legally produced cannabis will be sold in coffeeshops in 10 municipalities. Coffeeshops in these municipalities may only sell legally produced cannabis. The term of the experiment is set for four years.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alcohol market trends:</w:t>
      </w:r>
    </w:p>
    <w:p>
      <w:pPr>
        <w:spacing w:after="0" w:line="229" w:lineRule="exact"/>
        <w:rPr>
          <w:sz w:val="20"/>
          <w:szCs w:val="20"/>
          <w:color w:val="auto"/>
        </w:rPr>
      </w:pPr>
    </w:p>
    <w:p>
      <w:pPr>
        <w:jc w:val="both"/>
        <w:ind w:firstLine="486"/>
        <w:spacing w:after="0" w:line="235" w:lineRule="auto"/>
        <w:rPr>
          <w:sz w:val="20"/>
          <w:szCs w:val="20"/>
          <w:color w:val="auto"/>
        </w:rPr>
      </w:pPr>
      <w:r>
        <w:rPr>
          <w:rFonts w:ascii="Times New Roman" w:cs="Times New Roman" w:eastAsia="Times New Roman" w:hAnsi="Times New Roman"/>
          <w:sz w:val="18"/>
          <w:szCs w:val="18"/>
          <w:color w:val="auto"/>
        </w:rPr>
        <w:t>The beverage alcohol category, while more established, continues to shift with changes in consumer trends for the craft industry. Specifically, based on IRI data, for the 13 weeks ended November 30, 2023, the US beer trends softened slightly as the industry increased 1.6%, while craft beer decreased 1.6%, a slight decline from the immediately preceding quarter, which is consistent with the historical seasonality of craft beer. Craft beer still maintains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largest segment within total beer, generating over $1.1B in retail sales. Sweetwater revenues in the quarter ending August 31, 2023, and November 30, 2023, were both 1% higher than the comparable quarters of the prior year. SweetWater is expected to maintain growth nationally during the remainder of the 2024 fiscal year through programming and product innovation launches. Early results from the launch of SweetWater’s latest innovation, Gummies, are encouraging, with the brand quickly becoming a top 3 offering in activated markets. Additionally, Montauk, which was acquired on November 7, 2022, finished the period with a 5.9% growth based on IRI data for the aforementioned period, through sustained success in home markets</w:t>
      </w:r>
    </w:p>
    <w:p>
      <w:pPr>
        <w:sectPr>
          <w:pgSz w:w="11900" w:h="16838" w:orient="portrait"/>
          <w:cols w:equalWidth="0" w:num="1">
            <w:col w:w="11240"/>
          </w:cols>
          <w:pgMar w:left="320" w:top="580" w:right="339" w:bottom="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and new market expansion. The Company anticipates continued growth through focused innovation, targeted marketing efforts, and gains in distribution across the portfolio of brands. The Company has also seen positive trends across the newly acquired brands portfolio from the Acquisition of the Beverage Alcohol Business Portfolio, which are included in our results from October 1, 2023.</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Breckenridge Distillery is a leader in the bourbon industry and continues to gain market share in both the vodka and gin markets. A primary growth objective is to continue expansion of market share across the United States, including expanding the national chain's footprint, to maintain a double-digit annual top-line growth. To ensure continued growth in the future, the company is focused on expanding the marketing strategy, highlighting its quality products. Recent media coverage includes coverage of newly released products, the expanded Denver Broncos Sponsorship, and recognition of the world class restaurant located at the distillery. The overall whiskey market remains positive, but the growing tequila and RTD cocktail markets have slowed. The Company expects its spirits business to continue to grow with innovative new product offerings and continued expansion in the US market.​</w:t>
      </w: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Manitoba Harvest’s branded hemp business continued to expand its U.S. and Canadian leading market share position this quarter with consumption up in both the Natural and Conventional Channels, with the brands top five customers all seeing growth. For the remainder of the year, the Company will look to expand the Happy Flower™ brand with retail distribution into key markets, focusing on U.S. states with established CBD permissibility and sales momentum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the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costs as we combine acquired companies and continue to achieve synergies, which is offset by income generated in connection with the execution of these transactions. For the three and six months ended November 30, 2023, we incurred $1.1 million and $9.6 million of transaction expenses, discussed further below.</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acquisition strategy has had a material impact on the Company’s results in the current quarter and we expect will continue into future periods, generating accretive impacts for our stockholders. A summary of their impacts are as follows:</w:t>
      </w:r>
    </w:p>
    <w:p>
      <w:pPr>
        <w:spacing w:after="0" w:line="158"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HEXO acquisition:</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June 22, 2023, Tilray acquired HEXO Corp. (“HEXO”) as discussed in Note 7 (Business acquisitions). With the HEXO Acquisition, Tilray initially expected to achieve additional cost savings of $27 million on an annualized pre-tax basis and has subsequently increased this target to between $30 to $ 35 million. These synergies will be realized across production, sales, marketing, distribution, and corporate savings, with incremental upside resulting from consolidating packaging, procurement, freight, and logistics. This builds on Tilray’s substantial progress optimizing its Canadian cannabis operations discussed below. During the three and six months ended November 30, 2023, we have achieved $22.0 million of our synergy plan on an annualized run-rate basis, of which $14.0 million represented actual cost savings during the period. As discussed in our trends section, these cost savings initiatives take time to implement, resulting in related benefits being realized over time.</w:t>
      </w:r>
    </w:p>
    <w:p>
      <w:pPr>
        <w:spacing w:after="0" w:line="185"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Craft beverage acquisition:</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29, 2023, Tilray acquired a portfolio of craft beer brands, assets and businesses comprising eight beer and beverage brands from Anheuser-Busch Companies, LLC, including breweries and brewpubs associated with them (the “Craft Acquisition”). The acquired businesses include Shock Top, Breckenridge Brewery, Blue Point Brewing Company, 10 Barrel Brewing Company, Redhook Brewery, Widmer Brothers Brewing, Square Mile Cider Company, and HiBall Energy. The details of the acquisition are as described in Note 7 (Business acquisitions). The Craft Acquisition, is expected to be transformational to our beverage alcohol strategy elevating the Company to the 5th largest U.S. Craft Beer market share position from our previous 9th place market share position.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further believes the Craft transaction will be accretive to our Adjusted EBITDA, driven by a range of strategic benefits, including:</w:t>
      </w:r>
    </w:p>
    <w:p>
      <w:pPr>
        <w:spacing w:after="0" w:line="225" w:lineRule="exact"/>
        <w:rPr>
          <w:sz w:val="20"/>
          <w:szCs w:val="20"/>
          <w:color w:val="auto"/>
        </w:rPr>
      </w:pPr>
    </w:p>
    <w:p>
      <w:pPr>
        <w:ind w:left="980" w:right="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established brand portfolio with a devoted consumer base, coupled with growth potential through integration and expanded capabilities in both alcoholic and non-alcoholic beverages.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encompasses four production facilities and eight brewpub locations, further solidifying our operational presence.</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reinforced nationwide distribution footprint, propelling Tilray's beer sales volume from four million cases to twelve million, thereby tripling its market reach on a pro forma basis.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left="500"/>
        <w:spacing w:after="0"/>
        <w:rPr>
          <w:sz w:val="20"/>
          <w:szCs w:val="20"/>
          <w:color w:val="auto"/>
        </w:rPr>
      </w:pPr>
      <w:r>
        <w:rPr>
          <w:rFonts w:ascii="Times New Roman" w:cs="Times New Roman" w:eastAsia="Times New Roman" w:hAnsi="Times New Roman"/>
          <w:sz w:val="18"/>
          <w:szCs w:val="18"/>
          <w:color w:val="auto"/>
        </w:rPr>
        <w:t>In addition to acquisitions completed above, the Company has also completed the following cost saving strategies during the quarter:</w:t>
      </w:r>
    </w:p>
    <w:p>
      <w:pPr>
        <w:spacing w:after="0" w:line="221"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Cannabis business cost reduction plan:</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fourth quarter of our fiscal year ended May 31, 2022, the Company launched a $30 million cost optimization plan of our existing cannabis business to solidify our position as an industry leading low-cost producer. To date as of November 30, 2023, we have achieved $22.3 million against the plan. The Company now considers this plan fulfilled, owing to a strategic shift in our Cannabis beverage strategy. The Company's original targets involved repurposing our beverage facility; however, this initiative was altered following the Truss acquisition, which required additional capacity from our existing infrastructure.</w:t>
      </w:r>
    </w:p>
    <w:p>
      <w:pPr>
        <w:spacing w:after="0" w:line="179"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Cannabis business cost reduction plan:</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our fiscal year ended May 31 2023, the Company launched an $8.0 million cost optimization plan for our international cannabis business to adapt to changing market dynamics and slower than anticipated legalization in Europe. In the current period ended November 30, 2023, the Company achieved an annualized run-rate basis of $7.6 million of cost savings. The Company concluded this savings plan as of November 30, 2023. The Company concluded this savings plan as of November 30, 2023. The remaining portion of the savings target was tied to an assumed temporary decrease in demand. However, the assumed temporary reduction did not occur rather demand for our European cannabis products increased, rendering the cost savings associated with that part of the plan unnecessary.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can also be affected by economic, political, legislative, regulatory, legal actions, the global volatility and general market disruption resulting from geopolitical tensions, such as Russia's incursion into Ukraine. Economic conditions, such as recessionary trends, inflation, supply chain disruptions, interest and monetary exchange rates, and government fiscal policies, and the recent banking credit crises, can have a significant effect on operations. Accordingly, we could be affected by civil, criminal, environmental, regulatory or administrative actions, claims or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193,771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144,136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49,635</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297,347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146,362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101,254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45,108</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279,115</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205,851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73,264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42,882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4,527</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5,435</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83,829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9,669</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(2,086)</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14,442</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19,340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17,743</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15,783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(10,807)</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89,168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94,673</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(5,505)</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167,726</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164,465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(8,625)</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(3,107)</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(5,518)</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(18,460)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(7,520)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Non-operating (expense)</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(18,450)</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19,271</w:t>
            </w:r>
          </w:p>
        </w:tc>
        <w:tc>
          <w:tcPr>
            <w:tcW w:w="1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(51,442)</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47,861</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(49,563)</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(73,348)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23,785</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(98,162)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(131,931)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(11,713)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15,452</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(102,046)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(127,429)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 to:</w:t>
      </w:r>
    </w:p>
    <w:p>
      <w:pPr>
        <w:spacing w:after="0" w:line="162" w:lineRule="exact"/>
        <w:rPr>
          <w:sz w:val="20"/>
          <w:szCs w:val="20"/>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allocation (“PPA”) fair value step up) for each reporting segment (Cannabis, Beverage alcohol,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purchase price allocation (“PPA”) fair value step up) for each reporting segment (Cannabis, Beverage alcohol, Distribution and Wellness) as applicable,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these non-GAAP financial measures should be considered in addition to,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Measures to the most directly comparable GAAP financial measures, as well as a discussion of our adjusted gross margin, adjusted gross profit and adjusted EBITDA measures and the calculation of such measures.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three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following operating metrics and non-GAAP measures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20" w:type="dxa"/>
            <w:vAlign w:val="bottom"/>
          </w:tcPr>
          <w:p>
            <w:pPr>
              <w:spacing w:after="0"/>
              <w:rPr>
                <w:sz w:val="20"/>
                <w:szCs w:val="20"/>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ended November 30,</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67,114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49,898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137,447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108,468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67,223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60,188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136,380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120,773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46,505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21,395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70,667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42,049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12,929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12,655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26,226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26,057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46,472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28,577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96,989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57,438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30,513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11,420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41,779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22,269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60,147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52,495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121,615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107,479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9,230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18,732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18,665</w:t>
            </w: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gross profit (excluding PPA step-up)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52,110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43,989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101,412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93,710</w:t>
            </w: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Cannabis adjusted gross margin (excluding PPA step-up)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Beverage alcohol adjusted gross margin (excluding PPA step-up)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10,086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11,008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20,820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23,839</w:t>
            </w: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Cash and marketable securities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as at the period ended: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259,791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433,504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259,791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433,504</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247,041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388,200</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247,041</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388,200</w:t>
            </w:r>
          </w:p>
        </w:tc>
      </w:tr>
    </w:tbl>
    <w:p>
      <w:pPr>
        <w:spacing w:after="0" w:line="177" w:lineRule="exact"/>
        <w:rPr>
          <w:sz w:val="20"/>
          <w:szCs w:val="20"/>
          <w:color w:val="auto"/>
        </w:rPr>
      </w:pPr>
    </w:p>
    <w:p>
      <w:pPr>
        <w:jc w:val="both"/>
        <w:ind w:firstLine="8"/>
        <w:spacing w:after="0"/>
        <w:tabs>
          <w:tab w:leader="none" w:pos="212" w:val="left"/>
        </w:tabs>
        <w:numPr>
          <w:ilvl w:val="0"/>
          <w:numId w:val="12"/>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 xml:space="preserve">Adjusted EBITDA, adjusted gross profit (excluding PPA step-up) and adjusted gross margin (excluding PPA step-up) for each of our segments, and cash and marketable securities are non-GAAP financial measures.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Use of Non-GAAP Measures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above for a reconciliation of these Non-GAAP Measures to our most comparable GAAP measure.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reporting segments revenue is comprised of revenues from our cannabis, distribution, beverage alcohol, and wellness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38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137,447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28,979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67,223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60,188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136,380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120,773</w:t>
            </w:r>
          </w:p>
        </w:tc>
        <w:tc>
          <w:tcPr>
            <w:tcW w:w="12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15,607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138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70,667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28,618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26,226</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26,057</w:t>
            </w:r>
          </w:p>
        </w:tc>
        <w:tc>
          <w:tcPr>
            <w:tcW w:w="12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38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370,720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297,347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73,373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2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color w:val="auto"/>
        </w:rPr>
        <w:t>Our reporting segments revenue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20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77"/>
              </w:rPr>
              <w:t>vs.</w:t>
            </w: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67,361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17,463</w:t>
            </w:r>
          </w:p>
        </w:tc>
        <w:tc>
          <w:tcPr>
            <w:tcW w:w="12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138,750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108,468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30,282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4,314</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10,681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25,110</w:t>
            </w:r>
          </w:p>
        </w:tc>
        <w:tc>
          <w:tcPr>
            <w:tcW w:w="12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28,618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191,372</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47,236</w:t>
            </w:r>
          </w:p>
        </w:tc>
        <w:tc>
          <w:tcPr>
            <w:tcW w:w="12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367,334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297,347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69,987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Our geographic revenue is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9"/>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ended November 30,</w:t>
            </w:r>
          </w:p>
        </w:tc>
        <w:tc>
          <w:tcPr>
            <w:tcW w:w="2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gridSpan w:val="2"/>
          </w:tcPr>
          <w:p>
            <w:pPr>
              <w:spacing w:after="0"/>
              <w:rPr>
                <w:sz w:val="20"/>
                <w:szCs w:val="20"/>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8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80" w:type="dxa"/>
            <w:vAlign w:val="bottom"/>
            <w:gridSpan w:val="2"/>
            <w:vMerge w:val="restart"/>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38,408</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20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(2,604)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49,635</w:t>
            </w:r>
          </w:p>
        </w:tc>
        <w:tc>
          <w:tcPr>
            <w:tcW w:w="12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370,720</w:t>
            </w:r>
          </w:p>
        </w:tc>
        <w:tc>
          <w:tcPr>
            <w:tcW w:w="16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297,347</w:t>
            </w:r>
          </w:p>
        </w:tc>
        <w:tc>
          <w:tcPr>
            <w:tcW w:w="16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73,373</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geographic revenue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0"/>
                <w:szCs w:val="20"/>
                <w:color w:val="auto"/>
              </w:rPr>
            </w:pPr>
          </w:p>
        </w:tc>
        <w:tc>
          <w:tcPr>
            <w:tcW w:w="10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77"/>
              </w:rPr>
              <w:t>vs.</w:t>
            </w: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115,429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210,643</w:t>
            </w:r>
          </w:p>
        </w:tc>
        <w:tc>
          <w:tcPr>
            <w:tcW w:w="300" w:type="dxa"/>
            <w:vAlign w:val="bottom"/>
            <w:tcBorders>
              <w:lef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158,403</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52,240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70,129</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62,715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145,245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16,489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5,210</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11,446</w:t>
            </w:r>
          </w:p>
        </w:tc>
        <w:tc>
          <w:tcPr>
            <w:tcW w:w="300" w:type="dxa"/>
            <w:vAlign w:val="bottom"/>
            <w:tcBorders>
              <w:lef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191,372</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144,136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367,334</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297,347</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69,987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7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Our geographic capital assets are as follows: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300" w:type="dxa"/>
            <w:vAlign w:val="bottom"/>
          </w:tcPr>
          <w:p>
            <w:pPr>
              <w:spacing w:after="0"/>
              <w:rPr>
                <w:sz w:val="24"/>
                <w:szCs w:val="24"/>
                <w:color w:val="auto"/>
              </w:rPr>
            </w:pPr>
          </w:p>
        </w:tc>
        <w:tc>
          <w:tcPr>
            <w:tcW w:w="12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4"/>
                <w:szCs w:val="24"/>
                <w:color w:val="auto"/>
              </w:rPr>
            </w:pP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6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506,151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319,173</w:t>
            </w:r>
          </w:p>
        </w:tc>
        <w:tc>
          <w:tcPr>
            <w:tcW w:w="1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105,325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(1,806)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615,087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160" w:type="dxa"/>
            <w:vAlign w:val="bottom"/>
          </w:tcPr>
          <w:p>
            <w:pPr>
              <w:spacing w:after="0"/>
              <w:rPr>
                <w:sz w:val="18"/>
                <w:szCs w:val="18"/>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185,420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9"/>
              </w:rPr>
              <w:t>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2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Cannabis revenue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is as follows: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72,048</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52,390</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19,658</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143,243</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110,745</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32,498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8,956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11,931</w:t>
            </w:r>
          </w:p>
        </w:tc>
        <w:tc>
          <w:tcPr>
            <w:tcW w:w="180" w:type="dxa"/>
            <w:vAlign w:val="bottom"/>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7,705</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4,226</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26,183</w:t>
            </w:r>
          </w:p>
        </w:tc>
        <w:tc>
          <w:tcPr>
            <w:tcW w:w="180" w:type="dxa"/>
            <w:vAlign w:val="bottom"/>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18,127</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8,056</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94,556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66,696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27,860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142,385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49,055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(27,442)</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(16,798)</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(10,644)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(53,993)</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(33,917)</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(20,076)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17,216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137,447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28,979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 adult-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use cannabis</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73,021</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52,390</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20,631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146,132</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110,745</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35,387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4,338</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9,168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11,442</w:t>
            </w:r>
          </w:p>
        </w:tc>
        <w:tc>
          <w:tcPr>
            <w:tcW w:w="240" w:type="dxa"/>
            <w:vAlign w:val="bottom"/>
          </w:tcPr>
          <w:p>
            <w:pPr>
              <w:spacing w:after="0"/>
              <w:rPr>
                <w:sz w:val="17"/>
                <w:szCs w:val="17"/>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7,705</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3,737</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25,219</w:t>
            </w:r>
          </w:p>
        </w:tc>
        <w:tc>
          <w:tcPr>
            <w:tcW w:w="24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18,127</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7,092</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95,178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28,482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193,834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142,385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51,449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(27,817)</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(16,798)</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(11,019)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(55,084)</w:t>
            </w: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(33,917)</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(21,167)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67,361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17,463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138,750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30,282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right="400" w:hanging="434"/>
        <w:spacing w:after="0" w:line="236" w:lineRule="auto"/>
        <w:tabs>
          <w:tab w:leader="none" w:pos="82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45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Revenue from Canadian medical cannabis decreased to $6.3 million and $12.4 million for the three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November 30, 2023, compared to revenue of $6.4 million and $12.9 million for the prior year same period. On a constant currency basis revenue from Canadian medical cannabis was $6.4 million and $12.7 million for the three and six months ended November 30, 2023, compared to revenue of $6.4 million and $12.9 million for the prior year same periods. While revenue was relatively consistent period over period and on a constant currency basis for the three month period, the six month slight decrease in revenue from medical cannabis continues to be driven by increased competition from the adult-use recreational market and its related price compression impacting the medical cannabis market.</w:t>
      </w:r>
    </w:p>
    <w:p>
      <w:pPr>
        <w:spacing w:after="0" w:line="18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and six months ended November 30, 2023, our revenue from Canadian adult-use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increased to $72.0 million and $143.2 million, compared to revenue of $52.4 million and $110.7 million and for the prior year same period. Further, the prior year revenue includes advisory fees in the amount of $7.9 million and $15.6 million for the three and six months ended November 30, 2022, compared to $nil and $1.5 million for the three and six months ended November 30, 2023. Excluding these advisory service fees, revenue increased by $27.4 million and $46.6 million for the three and six months ended November 30, 2023. The increase in adult-use revenue was driven by continuous launches of new product innovations from our existing brand portfolios as well as the increased revenue from the acquisition of HEXO on June 22, 2023, and Truss on August 3, 2023. Additionally, excluding the decline in the Canadian dollar, on a constant currency basis, our revenue from Canadian adult-use cannabis increased to $73.0 million and $146.1 million for the three and six months ended November 30, 2023.</w:t>
      </w:r>
    </w:p>
    <w:p>
      <w:pPr>
        <w:spacing w:after="0" w:line="18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increased to $4.3 million and $9.6 million for the three and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30, 2023, compared to revenue of $0.2 million and $0.6 million for the prior year same period. On a constant currency basis, revenue from wholesale cannabis increased to $$4.3 million and $9.8 million for the three and six months ended November 30, 2023 compared to revenue of $0.2 million and $0.6 million. The Company continues to believe that wholesale cannabis revenue will remain subject to quarter-to-quarter variability and is based on opportunistic sales. The wholesale transactions that occurred in the current year periods aided with our liquidity initiatives to increase our cash flow from operations despite having unfavorable impacts on our gross margin and EBITDA of $(0.2) million and $(2.9) million for the three and six months ended November 30, 2023.</w:t>
      </w:r>
    </w:p>
    <w:p>
      <w:pPr>
        <w:spacing w:after="0" w:line="18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increased to $11.9 million and $26.2 million for the three and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30, 2023, compared to revenue of $7.7 million and $18.1 million for the prior year same period. Given the increase of the Euro against the U.S. Dollar when compared to the prior year quarter, on a constant currency basis, revenue from international cannabis was $11.4 million and $25.2 million compared to $7.7 million and $18.1 million in the prior year same period for the three and six months ended November 30, 2023. The increase in the period is largely driven by expansion into emerging international medical markets. Additionally, in the prior period the Company recognized a one-time return adjustment of $3.1 million related to a former customer in Israel that commenced bankruptcy proceedings.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Revenue from Distribution operations increased to $67.2 million and $136.4 million for the three and six months ended November 30, 2023, compared to revenue of $60.2 million and $120.8 million for the prior year same period. Revenue was positively impacted during the three month period from the increase of the Euro against the U.S. Dollar in the quarter, which when the impacts are eliminated on a constant currency basis, revenue was $64.5 million and $131.5 million for the three and six months ended November 30, 2023. The increase in the period was driven by increased production capacity achieved through out-sourcing to third party production facilities as well as leveraging our own internal production and improved procurement processes, which has allowed CC Pharma to improve its product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Beverage alcohol revenue</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Revenue from our Beverage alcohol operations increased to $46.5 million and $70.7 million for the three and six months ended November 30, 2023, compared to revenue of $21.4 million and $42.0 million for the prior year same period. The increase in the three and six month periods relate primarily to our acquisitions of the newly acquired Craft Acquisition brands and Montauk which occurred on September 29, 2023 and November 7, 2022, respectively, and is not reflected in the full prior year comparative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Wellness revenue from Manitoba Harvest was relatively consistent at $12.9 million and $26.2 million for the three and six months ended November 30, 2023 compared to $12.7 million and $26.1 million from the prior year same period. On a constant currency basis for the three and six months ended November 30, 2023, Wellness revenue increased to $13.0 million and $26.5 million from $12.7 and $26.1 million. Overall, sales remained relatively consistent period over period with the increase being driven by a promotional sale at a large bulk retailer.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gross profit and gross margin for the three and six months ended November 30, 2023 and 2022,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22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22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ended November 30,</w:t>
            </w:r>
          </w:p>
        </w:tc>
        <w:tc>
          <w:tcPr>
            <w:tcW w:w="11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4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ended November 30,</w:t>
            </w:r>
          </w:p>
        </w:tc>
        <w:tc>
          <w:tcPr>
            <w:tcW w:w="11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2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Cannabis</w:t>
            </w:r>
          </w:p>
        </w:tc>
        <w:tc>
          <w:tcPr>
            <w:tcW w:w="8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vs.</w:t>
            </w:r>
          </w:p>
        </w:tc>
        <w:tc>
          <w:tcPr>
            <w:tcW w:w="8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3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vs.</w:t>
            </w:r>
          </w:p>
        </w:tc>
        <w:tc>
          <w:tcPr>
            <w:tcW w:w="8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87"/>
              </w:rPr>
              <w:t>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67,114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49,898</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108,468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28,979</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28,577</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17,895</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96,989</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57,438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39,551</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20,642</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(679)</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51,030</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(10,572)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Purchase price accounting step-</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240" w:type="dxa"/>
            <w:vAlign w:val="bottom"/>
            <w:vMerge w:val="restart"/>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3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3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8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profit (1)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21,321</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47,912</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51,030</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(3,118)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 (1)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1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3"/>
        </w:trPr>
        <w:tc>
          <w:tcPr>
            <w:tcW w:w="2200" w:type="dxa"/>
            <w:vAlign w:val="bottom"/>
            <w:tcBorders>
              <w:top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67,223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60,188</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120,773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15,607</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52,495</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121,615</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107,479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14,136</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(617)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13,294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Beverage alcohol</w:t>
            </w: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46,505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21,395</w:t>
            </w:r>
          </w:p>
        </w:tc>
        <w:tc>
          <w:tcPr>
            <w:tcW w:w="24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25,110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70,667</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42,049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28,618</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19,093</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22,269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9,975</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28,888</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19,780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1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Purchase price accounting step-</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24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30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24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2,214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300" w:type="dxa"/>
            <w:vAlign w:val="bottom"/>
          </w:tcPr>
          <w:p>
            <w:pPr>
              <w:spacing w:after="0"/>
              <w:rPr>
                <w:sz w:val="14"/>
                <w:szCs w:val="14"/>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8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profit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21,994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margin (1)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Wellness</w:t>
            </w: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12,929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26,226</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26,057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18,665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24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(194)</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7,392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3"/>
        </w:trPr>
        <w:tc>
          <w:tcPr>
            <w:tcW w:w="2200" w:type="dxa"/>
            <w:vAlign w:val="bottom"/>
            <w:tcBorders>
              <w:top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193,771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144,136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49,635</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370,720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297,347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73,373</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146,362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101,254</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45,108</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279,115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205,851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73,264</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91,496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Purchase price accounting step-</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240" w:type="dxa"/>
            <w:vAlign w:val="bottom"/>
            <w:vMerge w:val="restart"/>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3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325%</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2,214</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3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8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 xml:space="preserve">Adjusted gross profit </w:t>
            </w:r>
            <w:r>
              <w:rPr>
                <w:rFonts w:ascii="Times New Roman" w:cs="Times New Roman" w:eastAsia="Times New Roman" w:hAnsi="Times New Roman"/>
                <w:sz w:val="22"/>
                <w:szCs w:val="22"/>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101,412</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93,710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 (1)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1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7" w:lineRule="auto"/>
        <w:tabs>
          <w:tab w:leader="none" w:pos="7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decreased during the three and six months ended November 30, 2023 to 31% and 29% from 43% and 47%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same period. Excluding the impact of the non-cash fair value purchase price accounting step-up, adjusted gross margin during the three and six months ended November 30, 2023 decreased to 35% and 35% from 43% and 47% when comparing the same prior year period. A portion of the decrease is a result of the termination of the HEXO advisory services agreement which contributed $nil and $1.5 million of gross profit in the current year compared to $7.9 and $15.6 million in the prior year, which if excluded would decrease adjusted gross margin to 32% and 38% for the three and six months ended November 30, 2022. Further, in the prior year second quarter the Company's international cannabis revenue section recognized a one-time return that reduced our top line revenue as well as a one-time inventory disposals incurred as exit costs from Israel for a combined impact of reducing gross profit by $1.4 million. Lastly, significant wholesale transactions with negative gross profit of $(0.2) and $(2.9) million, were entered into to optimize our inventory levels and prioritize the generation of positive operating cash flow. Combining the aforementioned factors, adjusted gross cannabis margin would have been 37% and 38% compared 33% and 38% in the prior period comparative period.</w:t>
      </w:r>
    </w:p>
    <w:p>
      <w:pPr>
        <w:spacing w:after="0" w:line="185"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of 11% and 11% for the three and six months ended November 30, 2023 decreased from 13% and 11%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the prior year. While consistent for the six month period comparison, the decrease in the gross margin for the three month period is attributed to product mix.</w:t>
      </w:r>
    </w:p>
    <w:p>
      <w:pPr>
        <w:spacing w:after="0" w:line="17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Beverage alcohol gross margin: </w:t>
      </w:r>
      <w:r>
        <w:rPr>
          <w:rFonts w:ascii="Times New Roman" w:cs="Times New Roman" w:eastAsia="Times New Roman" w:hAnsi="Times New Roman"/>
          <w:sz w:val="18"/>
          <w:szCs w:val="18"/>
          <w:color w:val="auto"/>
        </w:rPr>
        <w:t>Gross margin of 34% and 41% for the three and six months ended November 30, 2023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47% and 47% from the same period in the prior year. Adjusted gross margin of 38% and 44% for the three and six months ended November 30, 2023 decreased from 52% and 52% from the same periods in the prior year. The decrease in the adjusted beverage alcohol gross margin was a result of the newly acquired Craft Acquisition brands, which currently have lower margins than our historical business, primarily due to the current under utilization of the breweries we acquired.</w:t>
      </w:r>
    </w:p>
    <w:p>
      <w:pPr>
        <w:spacing w:after="0" w:line="183"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of 29% and 29% for the three and six months ended November 30, 2023 decreased from 31% and 28%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the prior year. The decrease in the three month period was a result of a change in sales mix towards more bulk retail sales which have a lower margin. Wellness gross margin stayed consistent during the six month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5,443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9,669</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(2,086)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19,340</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8,535</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15,783</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1,960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(10,807)</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(11,018)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(5,409)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(2,458)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(5,505)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164,465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3,261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share-based compensation, selling, amortization, marketing and promotion, research and development, change in fair value of contingent consideration, impairments, litigation costs, net of recoveries, restructuring costs and transaction (income) costs. These costs decreased by ($5.5) and increased by $3.2 million to $89.2 and $167.7 million for the three and six months ended November 30, 2023 as compared to $94.7 and $164.5 million for the same period of the prior year. These changes period over period are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2023, the changes in general and administrative costs when compared to the prior year same periods are described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7,383</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13,212</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3,021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10,151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10,943</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(2,742)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20,136</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sale of capital</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general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43,313</w:t>
            </w:r>
          </w:p>
        </w:tc>
        <w:tc>
          <w:tcPr>
            <w:tcW w:w="2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20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5,435</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83,829</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78,386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5,443</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4"/>
        </w:trPr>
        <w:tc>
          <w:tcPr>
            <w:tcW w:w="2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administrative costs</w:t>
            </w: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Executive compensation increased by 9% and 6% in the three and six months ended November 30, 2023. Executive compensation has remained generally consistent period over period.</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Office and general increased by 9% and 23% during the three and six months ended November 30, 2023. The increase for the three month period is a result of the acquisition of the newly acquired beverage alcohol business portfolio, Montauk and HEXO, which did not occur in the prior period.</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Salaries and wages increased by 56% and 17% during the three and six months ended November 30, 2023. The increase is primarily due to the inclusion of newly acquired beverage alcohol business portfolio, Montauk and HEXO employees, which were not in the prior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of $8.2 and $16.5 million for the three and six months ended November 30, 2023 compared to $10.9 and $20.1 million for the same period in the prior year. The balance is based on the time-based vesting schedules and varies according to the assumptions used in the vesting model. During the quarter, as a result of a change in the probability of achievement of stock price targets for certain grants issued in 2021, as well as an increased forfeiture rate, stock based compensation decreased period over period.</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Insurance expenses decreased by 8% and increased by 17% for the three and six months ended November 30, 2023 to $2.5 and $6.3 million from $2.7 and $5.4 million for the same period in the prior year. The decrease for the three months ended November 30, 2023, was driven by the Company's decision to self-insure certain of its property risks. The increase for the six months ended November 30, 2023, was driven by the expanded polices required for our newly acquired beverage alcohol business portfolio, HEXO and Montauk entities.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Rent expenses increased by 113% and 52% for the three and six months ended November 30, 2023 to $1.6 and $2.4 million from $0.7 and $1.6 million for the same period in the prior year. This increase was driven by the expanded polices required for our newly acquired beverage alcohol business portfolio, HEXO and Montauk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November 30, 2023, the Company incurred selling costs of $7.6 and $14.4 million or 3.9% and 3.9% of net revenue as compared to $9.7 and $19.3 million and 6.7% and 6.5% of net revenue in the prior year period.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decrease in the three month period was related to the renegotiation of terms in one of our distributor relationships resulting in reduced variable fees. This impact was also emphasized in the three month period as a portion of our selling fees related to our Canadian adult-use cannabis with fixed components and did not increase with the increase in our revenue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$21.9 and $44.1 million for the three and six months ended November 30, 2023 compared to $24.0 and $48.4 million in the prior year period. The decreased amortization in the period is a result of the reduced intangible asset levels, as a result of prior year impairments.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November 30, 2023, the Company incurred marketing and promotion costs of $9.2 and $17.7 million as compared to $8.5 and $15.8 million for the prior year period. The increase is due to the acquisition of the newly acquired beverage alcohol business portfolio, HEXO and Montauk.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$0.1 and $0.1 million during the three and six months ended November 30, 2023 compared to $0.2 and $0.3 million in the prior year period. These relate to external costs associated with the development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25 (Fair value measurements). The Company currently has three contingent consideration liabilities of $3.0 million, $13.3 million and $4.4 million for the Sweetwater, Montauk, and Truss acquisitions, respectively, as of November 30, 2023 compared to $16.2 million, $10.9 million and $nil respectively as of May 31, 2023. The decrease in fair value of $10.8 million was driven by the lowered probability of achieving the incentive targets, primarily relating to Sweetwater, which was offset by an increase related to the increased probability of achieving the contingent consideration from the Montauk acquisition as well as the newly acquired contingent consideration from the Truss acquisition.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November 30, 2023, the Company recorded $3.0 and $5.1 million of litigation settlements costs, net of favorable recoveries, and the third party fees associated with defending these claims, compared to an expense of $2.8 and $3.3 million for the prior period comparative. The increase is related to period to period variability as litigation is non-recurring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our acquisition strategy and strategic transactions, the Company has incurred non-recurring restructuring and exit costs associated with the integration efforts of these transactions. For the three and six months ended November 30, 2023, the Company incurred $2.7 and $3.6 million of restructuring costs compared to $8.1 and $8.1 million for the prior period comparative.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approves detailed restructuring initiative plans at the executive level and recognizes these expenses in the period in which the plan has been committed to. The detailed breakdown of the restructuring plans in place, inclusive of their expected timeline for completion, for the three and six months ended November 30, 2023, is as follows:</w:t>
      </w:r>
    </w:p>
    <w:p>
      <w:pPr>
        <w:spacing w:after="0" w:line="174" w:lineRule="exact"/>
        <w:rPr>
          <w:sz w:val="20"/>
          <w:szCs w:val="20"/>
          <w:color w:val="auto"/>
        </w:rPr>
      </w:pPr>
    </w:p>
    <w:p>
      <w:pPr>
        <w:jc w:val="both"/>
        <w:ind w:left="160" w:firstLine="486"/>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HEXO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our announced synergy program of $27 million in relation to the HEXO acquisition, we expect our HEXO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plan to span the first 24 months following the acquisition. In the current six-month period, we recognized $1.2 million related to employee termination benefits in relation to the conversion of our Masson facility from cannabis to produce and the optimization of our Redecan facilities.</w:t>
      </w:r>
    </w:p>
    <w:p>
      <w:pPr>
        <w:spacing w:after="0" w:line="173" w:lineRule="exact"/>
        <w:rPr>
          <w:sz w:val="20"/>
          <w:szCs w:val="20"/>
          <w:color w:val="auto"/>
        </w:rPr>
      </w:pPr>
    </w:p>
    <w:p>
      <w:pPr>
        <w:jc w:val="both"/>
        <w:ind w:left="160" w:right="20" w:firstLine="486"/>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Truss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relation to the acquisition of Truss, the Company has decided to repurpose the facility for the production of non-cannabis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beverages. The Company expects the timeline of completion of this program to be 18 months from date of acquisition. In the current six-month period, we recognized $1.6 million of restructuring charges related to the costs of exiting the facility until the new business has resumed.</w:t>
      </w:r>
    </w:p>
    <w:p>
      <w:pPr>
        <w:spacing w:after="0" w:line="173" w:lineRule="exact"/>
        <w:rPr>
          <w:sz w:val="20"/>
          <w:szCs w:val="20"/>
          <w:color w:val="auto"/>
        </w:rPr>
      </w:pPr>
    </w:p>
    <w:p>
      <w:pPr>
        <w:jc w:val="both"/>
        <w:ind w:left="160" w:firstLine="48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Canadian Business Cost Reduction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referenced in our Canadian cannabis cost optimization plan for $30 million,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reducing costs, which was completed during the three months ended November 30, 2023. In the current six-month period, we recognized $0.3 million of restructuring charges related to the relocation of our Broken Coast facility from Duncan to Nanaimo, BC, and the employee termination benefits associated with the transition of packaging finished goods to the Aphria One location.</w:t>
      </w:r>
    </w:p>
    <w:p>
      <w:pPr>
        <w:spacing w:after="0" w:line="180" w:lineRule="exact"/>
        <w:rPr>
          <w:sz w:val="20"/>
          <w:szCs w:val="20"/>
          <w:color w:val="auto"/>
        </w:rPr>
      </w:pPr>
    </w:p>
    <w:p>
      <w:pPr>
        <w:jc w:val="both"/>
        <w:ind w:left="160" w:firstLine="48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Distribution Cost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executed a cost optimization plan during the quarter to reduce costs within the distribution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$1.5 million annually. It is expected that this plan will be completed within the fiscal year, however the Company continues to evaluate this segment for further cost optimizations and production efficiencies. In the current six-month period, we recognized $0.5 million related to employee termination benefits in association with executing this plan.</w:t>
      </w:r>
    </w:p>
    <w:p>
      <w:pPr>
        <w:spacing w:after="0" w:line="182" w:lineRule="exact"/>
        <w:rPr>
          <w:sz w:val="20"/>
          <w:szCs w:val="20"/>
          <w:color w:val="auto"/>
        </w:rPr>
      </w:pPr>
    </w:p>
    <w:p>
      <w:pPr>
        <w:jc w:val="both"/>
        <w:ind w:left="160" w:firstLine="486"/>
        <w:spacing w:after="0" w:line="256" w:lineRule="auto"/>
        <w:rPr>
          <w:sz w:val="20"/>
          <w:szCs w:val="20"/>
          <w:color w:val="auto"/>
        </w:rPr>
      </w:pPr>
      <w:r>
        <w:rPr>
          <w:rFonts w:ascii="Times New Roman" w:cs="Times New Roman" w:eastAsia="Times New Roman" w:hAnsi="Times New Roman"/>
          <w:sz w:val="18"/>
          <w:szCs w:val="18"/>
          <w:color w:val="auto"/>
        </w:rPr>
        <w:t>For the prior period three and six months ended November 30, 2022, the Company recognized $8.1 and $8.1 million of restructuring charges. This was comprised of $1.6 million of exit cost and $2.8 million for inventory adjustments from the termination of our producer partnership in Uruguay due to a breach of the underlying contract in our International cannabis business. Additionally, amounts related to the Tilray-Aphria Arrangement Agreement for the closure of our Canadian cannabis facility in Enniskillen of $1.5 million were incurred. The Company also incurred $2.2 million of write-offs from the exit of our medical device reprocessing business in our distribution reporting segment. These exit costs were non-recurring in nature and did not have on going impacts in the current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(income) costs, which includes acquisition related income and expenses, related legal, financial advisor and due diligence cost and expenses and transaction related compensation. The three and six months ended November 30, 2023 decrease of 69% and 204% from the prior year period is related to the following items:</w:t>
      </w:r>
    </w:p>
    <w:p>
      <w:pPr>
        <w:spacing w:after="0" w:line="176" w:lineRule="exact"/>
        <w:rPr>
          <w:sz w:val="20"/>
          <w:szCs w:val="20"/>
          <w:color w:val="auto"/>
        </w:rPr>
      </w:pPr>
    </w:p>
    <w:p>
      <w:pPr>
        <w:ind w:left="820" w:right="320" w:hanging="326"/>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period included costs associated with completing the HEXO Acquisition on June 22, 2023, including, but not limited to, due diligence fees of $2.4 million, discretionary incentive compensation payments of $5.8 million, transaction income from the loan amendment agreement of $(6.0) million, and HEXO director and office runoff insurance of $5.1 million;</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acquisition of the beverage alcohol business portfolio;</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from outstanding government rebates of $(1.1) million claims not previously recognized as assets associated with the Aphria and Tilray Arrangement Agreement;</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year period comparative, we recognized transaction income for a change in fair value of $(18.3) million on the HTI Share Consideration’s purchase price derivative as a result of an increase in our share price on the shares paid for the HEXO convertible note receivable in the previous year. This did not recur in the current period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Non-operating (expense) income is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191"/>
        </w:trPr>
        <w:tc>
          <w:tcPr>
            <w:tcW w:w="2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 payable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8,804</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14,541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6,247</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6,210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16,784%</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1,055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90"/>
        </w:trPr>
        <w:tc>
          <w:tcPr>
            <w:tcW w:w="22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576" w:right="3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(6,100)</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1"/>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non-operating income</w:t>
            </w:r>
          </w:p>
        </w:tc>
        <w:tc>
          <w:tcPr>
            <w:tcW w:w="100" w:type="dxa"/>
            <w:vAlign w:val="bottom"/>
            <w:vMerge w:val="restart"/>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(18,450)</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19,271</w:t>
            </w:r>
          </w:p>
        </w:tc>
        <w:tc>
          <w:tcPr>
            <w:tcW w:w="16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(104)% $</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(3,581)</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(51,442)</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47,861</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1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54" w:name="page55"/>
    <w:bookmarkEnd w:id="54"/>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November 30, 2023, the Company recognized a change in fair value of its convertible debentures payable of ($3.9) million and ($6.0) million compared to ($12.7) million and ($20.6) million in the prior year same periods. The change is driven primarily by the changes in the Company’s share price, the change in the trading price of the convertible debentures payable. Additionally, for the three and six months ended November 30, 2023, the Company recognized a change in fair value of its warrants, resulting in a gain of $6.2 million and a loss ($2.0) million compared to gains of $0.0 million and $1.6 million also as a result of the change in our share price and the exercise price of the instrument. For the three and six months ended November 30, 2023, the Company recognized a loss of ($1.0) million and a gain of $5.2 million, resulting from the changes in foreign exchange rates during the period, compared to a gain of $0.9 million and a loss of ($24.7) million for the prior year same periods, largely associated with the recovery of the Euro. Lastly, included in other non-operating (losses) gains, net for the three and six months ended November 30, 2023 was the downside protection share issuance relating to the HTI Note settlement, as described in Note 15 (Stockholders' equity) offset by a $1.1 million gain from the repurchase of the TLRY 23 convertible note.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purchase price accounting step-up on inventory, stock-based compensation, restructuring costs, transaction (income) costs, litigation costs net of recoveries, change in fair value of contingent consideration, unrealized currency gains and losses and other adjustments.</w:t>
      </w:r>
    </w:p>
    <w:p>
      <w:pPr>
        <w:spacing w:after="0" w:line="183"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included lease expenses for leases that were treated differently under IFRS 16 and ASC 842 in the calculation of adjusted EBITDA, aiming to align our definition with industry peers reporting under IFRS. The decision to include these lease expenses in the Company's definition of adjusted EBITDA was based on our efforts to maintain comparability with peers. However, as the Company has continued to diversify, particularly with strategic acquisitions such as the newly acquired beverage alcohol business portfolio, this comparison is no longer relevant, accordingly, we are no longer including this adjustment.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Had the Company continued to include lease expenses that were treated differently under IFRS 16 and ASC 842 , the impact to adjusted EBITDA would have been $1.1 million and $1.8 million for the three and six months ended November 30, 2023. In comparison, under the previous reconciliation, the impact to adjusted EBITDA would have been $0.7 million and $1.4 million for the three and six months ended November 30, 2022.</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and six months ended November 30, 2023, adjusted EBITDA decreased to $10.1 million and $20.8 million compared to $11.0 and $23.8 million from the prior year same period. The decrease was primarily driven by the aforementioned negative impacts to our cannabis gross margin.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(127,429)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25,383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(11,713)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5,518</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18,460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Non-operating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18,450</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51,442</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10,943</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(2,742)</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16,458</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(10,807)</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price accounting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step-up</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9,807</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Facility start-up and closure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(2,458)</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9,596</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6" w:name="page57"/>
    <w:bookmarkEnd w:id="56"/>
    <w:p>
      <w:pPr>
        <w:ind w:left="50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820" w:right="14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right="66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52" w:lineRule="exact"/>
        <w:rPr>
          <w:rFonts w:ascii="Times New Roman" w:cs="Times New Roman" w:eastAsia="Times New Roman" w:hAnsi="Times New Roman"/>
          <w:sz w:val="18"/>
          <w:szCs w:val="18"/>
          <w:color w:val="auto"/>
        </w:rPr>
      </w:pPr>
    </w:p>
    <w:p>
      <w:pPr>
        <w:jc w:val="both"/>
        <w:ind w:left="820" w:right="140" w:hanging="326"/>
        <w:spacing w:after="0" w:line="312"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(income) costs,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39"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includes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right="400" w:hanging="326"/>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purchase price accounting valuation step-up) and adjusted gross margin is our Gross margin (adjusted to exclude purchase price accounting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a short and long term outlook.</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Some of these actions may be less accretive to our adjusted EBITDA in the short term, however we believe that they will be required for our liquidity aspirations in the near term future. Additionally, the Company continues to invest our excess cash in the short-term in marketable securities which are comprised of U.S. treasury bills and term deposits with major Canadian banks.</w:t>
      </w:r>
    </w:p>
    <w:p>
      <w:pPr>
        <w:spacing w:after="0" w:line="18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Subsequent to the period ended November 30, 2023, the Company exchanged $18.5 million principal of APHA 24 Notes prior to their maturity, demonstrating our commitment to optimizing our capital structure and enhancing financial flexibility. We intend to continue to opportunistically purchase or exchange additional APHA 24 Notes prior to their underlying maturity date in June 2024. We believe this demonstrates and reinforces our commitment to optimizing our capital structure and enhancing financial flexibility.</w:t>
      </w:r>
    </w:p>
    <w:p>
      <w:pPr>
        <w:spacing w:after="0" w:line="180"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will be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 November 30,</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cash provided by (used</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(59,618)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(29,191)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 investing activities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81,497</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(271,398)</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352,895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55,207</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(272,935)</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328,142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(used in) provided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financing activities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(85,366)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(57,256)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(28,110)</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(71,348)</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66,364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(137,712)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on cash of foreign</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1,075</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2,769</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179,132</w:t>
            </w:r>
          </w:p>
        </w:tc>
        <w:tc>
          <w:tcPr>
            <w:tcW w:w="1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490,643</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(311,511)</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206,632</w:t>
            </w:r>
          </w:p>
        </w:tc>
        <w:tc>
          <w:tcPr>
            <w:tcW w:w="16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415,909</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(209,277)</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144,949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190,218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(45,269)</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144,949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190,218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(45,269)</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4"/>
        </w:trPr>
        <w:tc>
          <w:tcPr>
            <w:tcW w:w="2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116,418</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243,286</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(126,868)</w:t>
            </w:r>
          </w:p>
        </w:tc>
        <w:tc>
          <w:tcPr>
            <w:tcW w:w="12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116,418</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243,286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(126,868)</w:t>
            </w:r>
          </w:p>
        </w:tc>
        <w:tc>
          <w:tcPr>
            <w:tcW w:w="1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cash</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(1,576)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(1,576)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Cash and marketable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259,791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433,504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(173,713)</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259,791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433,504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(173,713)</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securities(1)</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8" w:lineRule="auto"/>
        <w:tabs>
          <w:tab w:leader="none" w:pos="7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net cash provided by (used in) operating activities was ($30.4) million and ($46.3) million for three and six months ended November 30, 2023 compared to $29.2 million and ($17.1) million for the prior year same period. This increase in cash used in the three month period was primarily related to the settlement of pre-acquisition liabilities assumed from the HEXO acquisition. Additionally, the prior period included the cash collection of the $18.3 million purchase price derivative from HTI as noted in the transaction cost section above, which did not recur in the current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net cash provided by (used in) investing activities was $81.5 million and $55.2 million for three and six months ended November 30, 2023 compared to ($271.4) million and ($272.9) million for the prior year same period, and is a result of the sale of marketable securities in the current periods compared to investing in marketable securities in the prior periods as well as the cash used in the acquisition of various businesses, Note 7 (Business acquisitions).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cash (used in) provided by financing activities was ($85.4) million and ($71.3) million for three and six months ended November 30, 2023 compared to ($57.3) million and $66.4 million for the prior year same period. In the current period, cash was provided by funds from the overallotment of TLRY 27 Notes and other long term debt offset by the repurchase of convertible notes and long-term debt, while in the comparative period a larger amount of cash was provided by the ATM capital raise and smaller amounts of repurchased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27 </w:t>
      </w:r>
      <w:r>
        <w:rPr>
          <w:rFonts w:ascii="Times New Roman" w:cs="Times New Roman" w:eastAsia="Times New Roman" w:hAnsi="Times New Roman"/>
          <w:sz w:val="18"/>
          <w:szCs w:val="18"/>
          <w:i w:val="1"/>
          <w:i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from those addressed in the Company’s Annual Report on Form 10-K for the fiscal year ended May 31, 2023 during the six months ended November 30, 2023. See the information set forth in Part II, Item 7A, Quantitative and Qualitative Disclosures About Market Risk, of the Company’s Annual Report on Form 10-K for the fiscal year ended May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November 30, 2023,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our recently acquired businesses including: (i) HEXO Corp., acquired June 22, 2023;, (ii) Truss Beverage Co. acquired August 3, 2023; and (iii) the portfolio of craft beer brands, assets and businesses comprising eight beer and beverage brands, acquired on September 29, 2023. These acquired businesses represented 2.3%, 0.6% and 3.2% of our consolidated assets and 5.9%, 1.3%, and 3.2% of our consolidated net revenues respectively as of and for the six months ended November 30,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160" w:firstLine="450"/>
        <w:spacing w:after="0" w:line="25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HEXO Corp. on June 22, 2023, Truss Beverage Co., on August 3, 2023 and the eight beer and beverage brands on September 29, 2023. The Company is in the process of reviewing the internal control structure of HEXO Corp., Truss Beverage Co., and the eight beer and beverage brands and if necessary, will make appropriate changes as it integrates them into the Company’s overall internal control over financial reporting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2023 includes a discussion of our legal proceedings. There have been no material changes from the legal proceedings described in our Form 10-K, except with respect to the matters disclosed and incorporated herein by reference to Note 19 (Commitments and contingencies), in the Notes to the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2023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acquired.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HEXO’s operations and realizing the expected benefits of the HEXO arrangement.</w:t>
      </w:r>
    </w:p>
    <w:p>
      <w:pPr>
        <w:spacing w:after="0" w:line="252"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ind w:left="820" w:right="6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61"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52"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and Montauk each face substantial competition in the beer industry or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right="66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820" w:right="80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48" w:lineRule="exact"/>
        <w:rPr>
          <w:sz w:val="20"/>
          <w:szCs w:val="20"/>
          <w:color w:val="auto"/>
        </w:rPr>
      </w:pPr>
    </w:p>
    <w:p>
      <w:pPr>
        <w:ind w:left="1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achieving the expected benefits, including revenue and sales growth, of acquiring certain craft beer operations (the “Craft Acquisition”).</w:t>
      </w:r>
    </w:p>
    <w:p>
      <w:pPr>
        <w:spacing w:after="0" w:line="159" w:lineRule="exact"/>
        <w:rPr>
          <w:sz w:val="20"/>
          <w:szCs w:val="20"/>
          <w:color w:val="auto"/>
        </w:rPr>
      </w:pPr>
    </w:p>
    <w:p>
      <w:pPr>
        <w:ind w:firstLine="531"/>
        <w:spacing w:after="0" w:line="282" w:lineRule="auto"/>
        <w:rPr>
          <w:sz w:val="20"/>
          <w:szCs w:val="20"/>
          <w:color w:val="auto"/>
        </w:rPr>
      </w:pPr>
      <w:r>
        <w:rPr>
          <w:rFonts w:ascii="Times New Roman" w:cs="Times New Roman" w:eastAsia="Times New Roman" w:hAnsi="Times New Roman"/>
          <w:sz w:val="18"/>
          <w:szCs w:val="18"/>
          <w:color w:val="auto"/>
        </w:rPr>
        <w:t> The Craft Acquisitions were completed on September 29, 2023. Efforts to achieve expected benefits of the Craft Acquisitions may require substantial resources and divert management attention. Challenges associated with achieving such benefits may include those related to sales and marketing</w:t>
      </w:r>
    </w:p>
    <w:p>
      <w:pPr>
        <w:sectPr>
          <w:pgSz w:w="11900" w:h="16838" w:orient="portrait"/>
          <w:cols w:equalWidth="0" w:num="1">
            <w:col w:w="11240"/>
          </w:cols>
          <w:pgMar w:left="320" w:top="576" w:right="339" w:bottom="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18"/>
          <w:szCs w:val="18"/>
          <w:color w:val="auto"/>
        </w:rPr>
        <w:t>efforts across our expanded product portfolio, operational efficiency and production optimization, and effectively integrating the Craft Acquisitions into Tilray. If we are unable to successfully integrate certain aspects of the operations of the Craft Acquisitions or experience delays, we may incur unanticipated liabilities and be unable to fully realize the potential benefit of the revenue growth, synergies and other anticipated benefits resulting from the arrangement, and our business, results of operations and financial condition could be adversely affected. Some of these factors are outside our control, and any of them could delay or increase the cost of our efforts.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left="160" w:right="180" w:firstLine="324"/>
        <w:spacing w:after="0" w:line="282" w:lineRule="auto"/>
        <w:rPr>
          <w:sz w:val="20"/>
          <w:szCs w:val="20"/>
          <w:color w:val="auto"/>
        </w:rPr>
      </w:pPr>
      <w:r>
        <w:rPr>
          <w:rFonts w:ascii="Times New Roman" w:cs="Times New Roman" w:eastAsia="Times New Roman" w:hAnsi="Times New Roman"/>
          <w:sz w:val="18"/>
          <w:szCs w:val="18"/>
          <w:color w:val="auto"/>
        </w:rPr>
        <w:t>On September 12, 2023, Tilray repurchased $20,000 of its TLRY 23 Notes for cancellation by issuing 7,000,000 shares and paying $610 of cash to settle both principal and accrued interest. After cancellation, the outstanding principal balance of the TLRY 23 Notes was $107,331.</w:t>
      </w:r>
    </w:p>
    <w:p>
      <w:pPr>
        <w:spacing w:after="0" w:line="162" w:lineRule="exact"/>
        <w:rPr>
          <w:sz w:val="20"/>
          <w:szCs w:val="20"/>
          <w:color w:val="auto"/>
        </w:rPr>
      </w:pPr>
    </w:p>
    <w:p>
      <w:pPr>
        <w:ind w:left="180" w:right="20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2023, Tilray issued 1,032,616 shares of its common stock to HTI Investments MA LLC pursuant to the terms of a $50.0 million convertible promissory note originally issued by Tilray to HTI on July 12, 2022 and which was settled at maturity on August 31, 2023 as previously disclosed.</w:t>
      </w:r>
    </w:p>
    <w:p>
      <w:pPr>
        <w:spacing w:after="0" w:line="176" w:lineRule="exact"/>
        <w:rPr>
          <w:sz w:val="20"/>
          <w:szCs w:val="20"/>
          <w:color w:val="auto"/>
        </w:rPr>
      </w:pPr>
    </w:p>
    <w:p>
      <w:pPr>
        <w:jc w:val="both"/>
        <w:ind w:left="180" w:right="400" w:firstLine="324"/>
        <w:spacing w:after="0" w:line="266" w:lineRule="auto"/>
        <w:rPr>
          <w:sz w:val="20"/>
          <w:szCs w:val="20"/>
          <w:color w:val="auto"/>
        </w:rPr>
      </w:pPr>
      <w:r>
        <w:rPr>
          <w:rFonts w:ascii="Times New Roman" w:cs="Times New Roman" w:eastAsia="Times New Roman" w:hAnsi="Times New Roman"/>
          <w:sz w:val="18"/>
          <w:szCs w:val="18"/>
          <w:color w:val="auto"/>
        </w:rPr>
        <w:t>On October 4, 2023, Tilray entered into an arrangement with MediPharm Labs Inc. (“MediPharm”) to acquire 100% ownership of 1000652011 Ontario Inc.. As consideration for such acquisition, Tilray issued 1,371,157 shares of its common stock to Medipharm. On October 13, 2023, Tilray issued an additional 201,995 shares of its common stock to MediPharm to satisfy certain obligations under the acquisition arrangement.</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of the foregoing issuances of Tilray’s common stock was made in reliance on the exemption provided by Section 4(a)(2) of the Securities Act of 1933, as amended, for the offer and sale of securities not involving a public offering. No underwriter participated in the offer and sale of the shares issued pursuant to the foregoing issuances, and no commission or other remuneration was paid or given directly or indirectly in connection therewith. Additionally, each of the foregoing issuance of Tilray's common stock was reported on a Form 8-K filed by the Company with the U.S.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420 Credit Agreement</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5, 2024, the Company’s wholly-owned subsidiary, Four Twenty Corporation (the “Borrower”), entered into a Waiver (the “Waiver”) to that certain Credit Agreement dated as of June 30, 2023 (the “420 Credit Agreement”) by and among the Borrower, Bank of America, N.A., in its capacity as Administrative Agent (in such capacity, the “Administrative Agent”), and certain other guarantors and lenders thereto. The Waiver provides for a waiver of a potential event of default relating to the “Consolidated Leverage Ratio” financial covenant contained in the 420 Credit Agreement. The foregoing description of the Waiver does not purport to be complete and is qualified in its entirety by the full text of the Waiver, which is being filed as Exhibit 10.2 to this quarterly report on Form 10-Q for the quarter ended November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Aphria Diamond Amended Supply Agreement</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5, 2024, Aphria Inc. (“Aphria”), a wholly-owned subsidiary of the Company, entered into an Amended and Restated Wholesale Cannabis Supply Agreement (the “Supply Agreement”) with 1974568 Ontario Limited (“Aphria Diamond”), Aphria’s joint venture with Double Diamond Holdings Ltd.</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Supply Agreement amends and restates the existing supply agreement, effective as of September 1, 2023, and amends certain terms relating to pricing and product classes. Pursuant to the Supply Agreement, Aphria will purchase cannabis products on a non-exclusive basis from Aphria Diamond grown at Aphria Diamond’s Leamington, Ontario cannabis cultivation facility (the “Aphria Diamond Facility”) and will supply Aphria Diamond with rooted cuttings to be used for cultivation of cannabis products at the Aphria Diamond Facility. Aphria Diamond agrees to exclusively supply cannabis products to Aphria, subject to limited exceptions to allocate un-utilized cultivation capacity at the Aphria Diamond Facility. The foregoing summary of the Supply Agreement does not purport to be complete and is qualified in its entirety by reference to the Supply Agreement, a copy of which is attached hereto as Exhibit 10.1 and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8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Fourth Amended and Restated Certificate of Incorporation of Tilray Brands, Inc., dated as of November 30, 2023.</w:t>
            </w:r>
          </w:p>
        </w:tc>
        <w:tc>
          <w:tcPr>
            <w:tcW w:w="2120" w:type="dxa"/>
            <w:vAlign w:val="bottom"/>
            <w:gridSpan w:val="4"/>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Fourth Amended and Restated Wholesale Cannabis Supply Agreement, dated as of January 5, 2024, by and between 1974568 Ontario Limited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and Aphria Inc.</w:t>
            </w:r>
          </w:p>
        </w:tc>
        <w:tc>
          <w:tcPr>
            <w:tcW w:w="914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Waiver to Credit Agreement, dated as of January 5, 2024, by and between Four Twenty Corporation, Bank of America, N.A., and the</w:t>
            </w:r>
          </w:p>
        </w:tc>
        <w:tc>
          <w:tcPr>
            <w:tcW w:w="74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Guarantors and Lenders party thereto.</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00" w:type="dxa"/>
            <w:vAlign w:val="bottom"/>
            <w:gridSpan w:val="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7300" w:type="dxa"/>
            <w:vAlign w:val="bottom"/>
            <w:gridSpan w:val="5"/>
          </w:tcPr>
          <w:p>
            <w:pPr>
              <w:jc w:val="right"/>
              <w:ind w:right="3400"/>
              <w:spacing w:after="0"/>
              <w:rPr>
                <w:sz w:val="20"/>
                <w:szCs w:val="20"/>
                <w:color w:val="auto"/>
              </w:rPr>
            </w:pPr>
            <w:r>
              <w:rPr>
                <w:rFonts w:ascii="Times New Roman" w:cs="Times New Roman" w:eastAsia="Times New Roman" w:hAnsi="Times New Roman"/>
                <w:sz w:val="18"/>
                <w:szCs w:val="18"/>
                <w:color w:val="auto"/>
              </w:rPr>
              <w:t>56</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November 30, 2023, formatted</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57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EXHIBIT 3.1</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November 30, 2023</w:t>
      </w:r>
    </w:p>
    <w:p>
      <w:pPr>
        <w:spacing w:after="0" w:line="203" w:lineRule="exact"/>
        <w:rPr>
          <w:sz w:val="20"/>
          <w:szCs w:val="20"/>
          <w:color w:val="auto"/>
        </w:rPr>
      </w:pPr>
    </w:p>
    <w:p>
      <w:pPr>
        <w:ind w:left="160" w:right="40" w:firstLine="360"/>
        <w:spacing w:after="0" w:line="286" w:lineRule="auto"/>
        <w:rPr>
          <w:sz w:val="20"/>
          <w:szCs w:val="20"/>
          <w:color w:val="auto"/>
        </w:rPr>
      </w:pPr>
      <w:r>
        <w:rPr>
          <w:rFonts w:ascii="Times New Roman" w:cs="Times New Roman" w:eastAsia="Times New Roman" w:hAnsi="Times New Roman"/>
          <w:sz w:val="18"/>
          <w:szCs w:val="18"/>
          <w:color w:val="auto"/>
        </w:rPr>
        <w:t>The undersigned, for the purposes of amending and restating the certificate of incorporation of Tilray Brands,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that:</w:t>
      </w:r>
    </w:p>
    <w:p>
      <w:pPr>
        <w:spacing w:after="0" w:line="155" w:lineRule="exact"/>
        <w:rPr>
          <w:sz w:val="20"/>
          <w:szCs w:val="20"/>
          <w:color w:val="auto"/>
        </w:rPr>
      </w:pPr>
    </w:p>
    <w:p>
      <w:pPr>
        <w:ind w:left="160" w:right="4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present name of the Corporation is Tilray Brands, Inc. The Corporation was originally incorporated under the name “Tilray, Inc.,”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of 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with the Secretary of State of the State of Delaware on January 24, 2018, thereby causing the Corporation to become organized and existing under and by virtue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0" w:right="1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amended and restated certificate of incorporation of the Corporation (the “</w:t>
      </w:r>
      <w:r>
        <w:rPr>
          <w:rFonts w:ascii="Times New Roman" w:cs="Times New Roman" w:eastAsia="Times New Roman" w:hAnsi="Times New Roman"/>
          <w:sz w:val="18"/>
          <w:szCs w:val="18"/>
          <w:b w:val="1"/>
          <w:bCs w:val="1"/>
          <w:i w:val="1"/>
          <w:iCs w:val="1"/>
          <w:color w:val="auto"/>
        </w:rPr>
        <w:t>First Amended and Restated Certificate</w:t>
      </w:r>
      <w:r>
        <w:rPr>
          <w:rFonts w:ascii="Times New Roman" w:cs="Times New Roman" w:eastAsia="Times New Roman" w:hAnsi="Times New Roman"/>
          <w:sz w:val="18"/>
          <w:szCs w:val="18"/>
          <w:color w:val="auto"/>
        </w:rPr>
        <w:t>”), which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in its entirety the Original Certificate, was filed with the Secretary of State of the State of Delaware on July 23, 2018.</w:t>
      </w:r>
    </w:p>
    <w:p>
      <w:pPr>
        <w:spacing w:after="0" w:line="155" w:lineRule="exact"/>
        <w:rPr>
          <w:sz w:val="20"/>
          <w:szCs w:val="20"/>
          <w:color w:val="auto"/>
        </w:rPr>
      </w:pPr>
    </w:p>
    <w:p>
      <w:pPr>
        <w:ind w:left="160" w:right="5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The amended and restated certificate of incorporation of the Corporation (the “</w:t>
      </w:r>
      <w:r>
        <w:rPr>
          <w:rFonts w:ascii="Times New Roman" w:cs="Times New Roman" w:eastAsia="Times New Roman" w:hAnsi="Times New Roman"/>
          <w:sz w:val="18"/>
          <w:szCs w:val="18"/>
          <w:b w:val="1"/>
          <w:bCs w:val="1"/>
          <w:i w:val="1"/>
          <w:iCs w:val="1"/>
          <w:color w:val="auto"/>
        </w:rPr>
        <w:t>Second Amended and Restated Certificate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in its entirety the First Amended and Restated Certificate, was filed with the Secretary of State of the State of Delaware on December 12, 2019.</w:t>
      </w:r>
    </w:p>
    <w:p>
      <w:pPr>
        <w:spacing w:after="0" w:line="171" w:lineRule="exact"/>
        <w:rPr>
          <w:sz w:val="20"/>
          <w:szCs w:val="20"/>
          <w:color w:val="auto"/>
        </w:rPr>
      </w:pPr>
    </w:p>
    <w:p>
      <w:pPr>
        <w:ind w:left="160" w:right="620"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FOUR: </w:t>
      </w:r>
      <w:r>
        <w:rPr>
          <w:rFonts w:ascii="Times New Roman" w:cs="Times New Roman" w:eastAsia="Times New Roman" w:hAnsi="Times New Roman"/>
          <w:sz w:val="17"/>
          <w:szCs w:val="17"/>
          <w:color w:val="auto"/>
        </w:rPr>
        <w:t>The certificate of retirement of Class 1 common stock of the Corporation (the “</w:t>
      </w:r>
      <w:r>
        <w:rPr>
          <w:rFonts w:ascii="Times New Roman" w:cs="Times New Roman" w:eastAsia="Times New Roman" w:hAnsi="Times New Roman"/>
          <w:sz w:val="17"/>
          <w:szCs w:val="17"/>
          <w:b w:val="1"/>
          <w:bCs w:val="1"/>
          <w:i w:val="1"/>
          <w:iCs w:val="1"/>
          <w:color w:val="auto"/>
        </w:rPr>
        <w:t>Certificate of Retirement</w:t>
      </w:r>
      <w:r>
        <w:rPr>
          <w:rFonts w:ascii="Times New Roman" w:cs="Times New Roman" w:eastAsia="Times New Roman" w:hAnsi="Times New Roman"/>
          <w:sz w:val="17"/>
          <w:szCs w:val="17"/>
          <w:color w:val="auto"/>
        </w:rPr>
        <w:t>”), which amended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Second Amended and Restated Certificate, was filed with the Secretary of State of the State of Delaware on October 1, 2020.</w:t>
      </w:r>
    </w:p>
    <w:p>
      <w:pPr>
        <w:spacing w:after="0" w:line="132" w:lineRule="exact"/>
        <w:rPr>
          <w:sz w:val="20"/>
          <w:szCs w:val="20"/>
          <w:color w:val="auto"/>
        </w:rPr>
      </w:pPr>
    </w:p>
    <w:p>
      <w:pPr>
        <w:ind w:left="160" w:right="4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FIVE: </w:t>
      </w:r>
      <w:r>
        <w:rPr>
          <w:rFonts w:ascii="Times New Roman" w:cs="Times New Roman" w:eastAsia="Times New Roman" w:hAnsi="Times New Roman"/>
          <w:sz w:val="18"/>
          <w:szCs w:val="18"/>
          <w:color w:val="auto"/>
        </w:rPr>
        <w:t>The certificate of amendment (the “</w:t>
      </w:r>
      <w:r>
        <w:rPr>
          <w:rFonts w:ascii="Times New Roman" w:cs="Times New Roman" w:eastAsia="Times New Roman" w:hAnsi="Times New Roman"/>
          <w:sz w:val="18"/>
          <w:szCs w:val="18"/>
          <w:b w:val="1"/>
          <w:bCs w:val="1"/>
          <w:i w:val="1"/>
          <w:iCs w:val="1"/>
          <w:color w:val="auto"/>
        </w:rPr>
        <w:t>First Certificate of Amendment</w:t>
      </w:r>
      <w:r>
        <w:rPr>
          <w:rFonts w:ascii="Times New Roman" w:cs="Times New Roman" w:eastAsia="Times New Roman" w:hAnsi="Times New Roman"/>
          <w:sz w:val="18"/>
          <w:szCs w:val="18"/>
          <w:color w:val="auto"/>
        </w:rPr>
        <w:t>”), which amended certain provisions of the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was filed with the Secretary of State of the State of Delaware on September 10, 2021.</w:t>
      </w:r>
    </w:p>
    <w:p>
      <w:pPr>
        <w:spacing w:after="0" w:line="155" w:lineRule="exact"/>
        <w:rPr>
          <w:sz w:val="20"/>
          <w:szCs w:val="20"/>
          <w:color w:val="auto"/>
        </w:rPr>
      </w:pPr>
    </w:p>
    <w:p>
      <w:pPr>
        <w:ind w:left="160" w:right="80"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 </w:t>
      </w:r>
      <w:r>
        <w:rPr>
          <w:rFonts w:ascii="Times New Roman" w:cs="Times New Roman" w:eastAsia="Times New Roman" w:hAnsi="Times New Roman"/>
          <w:sz w:val="18"/>
          <w:szCs w:val="18"/>
          <w:color w:val="auto"/>
        </w:rPr>
        <w:t>The second certificate of amendment (the “</w:t>
      </w:r>
      <w:r>
        <w:rPr>
          <w:rFonts w:ascii="Times New Roman" w:cs="Times New Roman" w:eastAsia="Times New Roman" w:hAnsi="Times New Roman"/>
          <w:sz w:val="18"/>
          <w:szCs w:val="18"/>
          <w:b w:val="1"/>
          <w:bCs w:val="1"/>
          <w:i w:val="1"/>
          <w:iCs w:val="1"/>
          <w:color w:val="auto"/>
        </w:rPr>
        <w:t>Second Certificate of Amendment</w:t>
      </w:r>
      <w:r>
        <w:rPr>
          <w:rFonts w:ascii="Times New Roman" w:cs="Times New Roman" w:eastAsia="Times New Roman" w:hAnsi="Times New Roman"/>
          <w:sz w:val="18"/>
          <w:szCs w:val="18"/>
          <w:color w:val="auto"/>
        </w:rPr>
        <w:t>”), which amended certain provisions of the Second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Certificate, was filed with the Secretary of State of the State of Delaware on January 10, 2022, and a Certificate of Designation of Series A Preferred Stock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21, 2023.</w:t>
      </w:r>
    </w:p>
    <w:p>
      <w:pPr>
        <w:spacing w:after="0" w:line="179" w:lineRule="exact"/>
        <w:rPr>
          <w:sz w:val="20"/>
          <w:szCs w:val="20"/>
          <w:color w:val="auto"/>
        </w:rPr>
      </w:pPr>
    </w:p>
    <w:p>
      <w:pPr>
        <w:ind w:left="160" w:right="1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SEVEN</w:t>
      </w:r>
      <w:r>
        <w:rPr>
          <w:rFonts w:ascii="Times New Roman" w:cs="Times New Roman" w:eastAsia="Times New Roman" w:hAnsi="Times New Roman"/>
          <w:sz w:val="18"/>
          <w:szCs w:val="18"/>
          <w:color w:val="auto"/>
        </w:rPr>
        <w:t>: The third amended and restated certificate of incorporation (the “</w:t>
      </w:r>
      <w:r>
        <w:rPr>
          <w:rFonts w:ascii="Times New Roman" w:cs="Times New Roman" w:eastAsia="Times New Roman" w:hAnsi="Times New Roman"/>
          <w:sz w:val="18"/>
          <w:szCs w:val="18"/>
          <w:b w:val="1"/>
          <w:bCs w:val="1"/>
          <w:i w:val="1"/>
          <w:iCs w:val="1"/>
          <w:color w:val="auto"/>
        </w:rPr>
        <w:t>Existing Certificate</w:t>
      </w:r>
      <w:r>
        <w:rPr>
          <w:rFonts w:ascii="Times New Roman" w:cs="Times New Roman" w:eastAsia="Times New Roman" w:hAnsi="Times New Roman"/>
          <w:sz w:val="18"/>
          <w:szCs w:val="18"/>
          <w:color w:val="auto"/>
        </w:rPr>
        <w:t>”), which amended certain provisions of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was filed with the Secretary of State of the State of Delaware on March 20, 2023.</w:t>
      </w:r>
    </w:p>
    <w:p>
      <w:pPr>
        <w:spacing w:after="0" w:line="155" w:lineRule="exact"/>
        <w:rPr>
          <w:sz w:val="20"/>
          <w:szCs w:val="20"/>
          <w:color w:val="auto"/>
        </w:rPr>
      </w:pPr>
    </w:p>
    <w:p>
      <w:pPr>
        <w:ind w:left="160" w:right="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EIGHT: </w:t>
      </w:r>
      <w:r>
        <w:rPr>
          <w:rFonts w:ascii="Times New Roman" w:cs="Times New Roman" w:eastAsia="Times New Roman" w:hAnsi="Times New Roman"/>
          <w:sz w:val="18"/>
          <w:szCs w:val="18"/>
          <w:color w:val="auto"/>
        </w:rPr>
        <w:t>This fourth amended and restated certificate of incorporation (this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 Existing Certificate in its entirety, was duly adopted in accordance with Sections 242 and 245 of the DGCL,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by the Corporation’s stockholders in accordance with Section 212 of the DGCL.</w:t>
      </w:r>
    </w:p>
    <w:p>
      <w:pPr>
        <w:spacing w:after="0" w:line="171" w:lineRule="exact"/>
        <w:rPr>
          <w:sz w:val="20"/>
          <w:szCs w:val="20"/>
          <w:color w:val="auto"/>
        </w:rPr>
      </w:pPr>
    </w:p>
    <w:p>
      <w:pPr>
        <w:ind w:left="160" w:right="5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NINE: </w:t>
      </w:r>
      <w:r>
        <w:rPr>
          <w:rFonts w:ascii="Times New Roman" w:cs="Times New Roman" w:eastAsia="Times New Roman" w:hAnsi="Times New Roman"/>
          <w:sz w:val="18"/>
          <w:szCs w:val="18"/>
          <w:color w:val="auto"/>
        </w:rPr>
        <w:t>This Amended and Restated Certificate of Incorporation shall become effective upon filing with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TEN: </w:t>
      </w:r>
      <w:r>
        <w:rPr>
          <w:rFonts w:ascii="Times New Roman" w:cs="Times New Roman" w:eastAsia="Times New Roman" w:hAnsi="Times New Roman"/>
          <w:sz w:val="18"/>
          <w:szCs w:val="18"/>
          <w:color w:val="auto"/>
        </w:rPr>
        <w:t>The Existing Certificate is hereby amended and restated to read as follows: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name of this corporation shall be </w:t>
      </w: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left="160" w:right="20" w:firstLine="36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DGCL.</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ind w:left="500" w:hanging="492"/>
        <w:spacing w:after="0" w:line="258" w:lineRule="auto"/>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 number of shares that the Company is authorized to issue is One Billion Two Hundred Eight Million (1,208,000,000) shares of which One Billion One Hundred Ninety Eight Million (1,198,000,000) shares shall be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Ten Million (10,000,000)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pacing w:after="0" w:line="183" w:lineRule="exact"/>
        <w:rPr>
          <w:sz w:val="20"/>
          <w:szCs w:val="20"/>
          <w:color w:val="auto"/>
        </w:rPr>
      </w:pPr>
    </w:p>
    <w:p>
      <w:pPr>
        <w:ind w:left="160" w:right="260"/>
        <w:spacing w:after="0" w:line="266" w:lineRule="auto"/>
        <w:rPr>
          <w:sz w:val="20"/>
          <w:szCs w:val="20"/>
          <w:color w:val="auto"/>
        </w:rPr>
      </w:pPr>
      <w:r>
        <w:rPr>
          <w:rFonts w:ascii="Times New Roman" w:cs="Times New Roman" w:eastAsia="Times New Roman" w:hAnsi="Times New Roman"/>
          <w:sz w:val="18"/>
          <w:szCs w:val="18"/>
          <w:color w:val="auto"/>
        </w:rPr>
        <w:t>Immediately upon the Effective Time, and without any further action on the part of the Company or its stockholders, each share of Class 2 common stock, par value $0.0001 per share, of the Company issued and outstanding prior to the Effective Time, shall automatically be reclassified as one fully paid and nonassessable share of Common Stock.</w:t>
      </w:r>
    </w:p>
    <w:p>
      <w:pPr>
        <w:spacing w:after="0" w:line="176" w:lineRule="exact"/>
        <w:rPr>
          <w:sz w:val="20"/>
          <w:szCs w:val="20"/>
          <w:color w:val="auto"/>
        </w:rPr>
      </w:pPr>
    </w:p>
    <w:p>
      <w:pPr>
        <w:ind w:left="500" w:right="60" w:hanging="492"/>
        <w:spacing w:after="0" w:line="289" w:lineRule="auto"/>
        <w:tabs>
          <w:tab w:leader="none" w:pos="5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w:t>
      </w:r>
    </w:p>
    <w:p>
      <w:pPr>
        <w:sectPr>
          <w:pgSz w:w="11900" w:h="16838" w:orient="portrait"/>
          <w:cols w:equalWidth="0" w:num="1">
            <w:col w:w="11200"/>
          </w:cols>
          <w:pgMar w:left="320" w:top="337" w:right="379" w:bottom="0" w:gutter="0" w:footer="0" w:header="0"/>
        </w:sectPr>
      </w:pPr>
    </w:p>
    <w:bookmarkStart w:id="68" w:name="page69"/>
    <w:bookmarkEnd w:id="68"/>
    <w:p>
      <w:pPr>
        <w:ind w:left="500" w:right="40"/>
        <w:spacing w:after="0" w:line="282" w:lineRule="auto"/>
        <w:rPr>
          <w:sz w:val="20"/>
          <w:szCs w:val="20"/>
          <w:color w:val="auto"/>
        </w:rPr>
      </w:pPr>
      <w:r>
        <w:rPr>
          <w:rFonts w:ascii="Times New Roman" w:cs="Times New Roman" w:eastAsia="Times New Roman" w:hAnsi="Times New Roman"/>
          <w:sz w:val="18"/>
          <w:szCs w:val="18"/>
          <w:color w:val="auto"/>
        </w:rPr>
        <w:t>Common Stock unless a vote of any such holders is required pursuant to the terms of any certificate of designation filed with respect to any series of Preferred Stock (a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00" w:hanging="492"/>
        <w:spacing w:after="0" w:line="254"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Stock authorized by this Amended and Restated Certificate of Incorporation may be issued from time to time in one or more series. The board of directors of the Company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8"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above, the rights, preferences, privileges, restrictions and other matters relating to the Common Stock are as follows:</w:t>
      </w:r>
    </w:p>
    <w:p>
      <w:pPr>
        <w:spacing w:after="0" w:line="221" w:lineRule="exact"/>
        <w:rPr>
          <w:sz w:val="20"/>
          <w:szCs w:val="20"/>
          <w:color w:val="auto"/>
        </w:rPr>
      </w:pPr>
    </w:p>
    <w:p>
      <w:pPr>
        <w:ind w:left="620" w:hanging="612"/>
        <w:spacing w:after="0"/>
        <w:tabs>
          <w:tab w:leader="none" w:pos="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Article IV(D), the following definitions shall apply:</w:t>
      </w:r>
    </w:p>
    <w:p>
      <w:pPr>
        <w:spacing w:after="0" w:line="225" w:lineRule="exact"/>
        <w:rPr>
          <w:sz w:val="20"/>
          <w:szCs w:val="20"/>
          <w:color w:val="auto"/>
        </w:rPr>
      </w:pPr>
    </w:p>
    <w:p>
      <w:pPr>
        <w:ind w:left="500" w:right="80" w:hanging="499"/>
        <w:spacing w:after="0" w:line="254"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i w:val="1"/>
          <w:iCs w:val="1"/>
          <w:color w:val="auto"/>
        </w:rPr>
        <w:t>“Change of Control Transaction</w:t>
      </w:r>
      <w:r>
        <w:rPr>
          <w:rFonts w:ascii="Times New Roman" w:cs="Times New Roman" w:eastAsia="Times New Roman" w:hAnsi="Times New Roman"/>
          <w:sz w:val="18"/>
          <w:szCs w:val="18"/>
          <w:color w:val="auto"/>
        </w:rPr>
        <w:t>” means (i) the sale, lease, exchange, or other disposition (other than liens and encumbrances created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w:t>
      </w:r>
    </w:p>
    <w:p>
      <w:pPr>
        <w:spacing w:after="0" w:line="189" w:lineRule="exact"/>
        <w:rPr>
          <w:sz w:val="20"/>
          <w:szCs w:val="20"/>
          <w:color w:val="auto"/>
        </w:rPr>
      </w:pPr>
    </w:p>
    <w:p>
      <w:pPr>
        <w:ind w:left="160" w:right="220"/>
        <w:spacing w:after="0" w:line="254" w:lineRule="auto"/>
        <w:rPr>
          <w:sz w:val="20"/>
          <w:szCs w:val="20"/>
          <w:color w:val="auto"/>
        </w:rPr>
      </w:pPr>
      <w:r>
        <w:rPr>
          <w:rFonts w:ascii="Times New Roman" w:cs="Times New Roman" w:eastAsia="Times New Roman" w:hAnsi="Times New Roman"/>
          <w:sz w:val="18"/>
          <w:szCs w:val="18"/>
          <w:color w:val="auto"/>
        </w:rPr>
        <w:t>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w:t>
      </w:r>
    </w:p>
    <w:p>
      <w:pPr>
        <w:spacing w:after="0" w:line="3" w:lineRule="exact"/>
        <w:rPr>
          <w:sz w:val="20"/>
          <w:szCs w:val="20"/>
          <w:color w:val="auto"/>
        </w:rPr>
      </w:pPr>
    </w:p>
    <w:p>
      <w:pPr>
        <w:ind w:left="160" w:hanging="8"/>
        <w:spacing w:after="0" w:line="268" w:lineRule="auto"/>
        <w:tabs>
          <w:tab w:leader="none" w:pos="47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175" w:lineRule="exact"/>
        <w:rPr>
          <w:rFonts w:ascii="Times New Roman" w:cs="Times New Roman" w:eastAsia="Times New Roman" w:hAnsi="Times New Roman"/>
          <w:sz w:val="17"/>
          <w:szCs w:val="17"/>
          <w:color w:val="auto"/>
        </w:rPr>
      </w:pPr>
    </w:p>
    <w:p>
      <w:pPr>
        <w:ind w:left="500" w:right="120" w:hanging="492"/>
        <w:spacing w:after="0" w:line="286" w:lineRule="auto"/>
        <w:tabs>
          <w:tab w:leader="none" w:pos="5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(i) any dividend or distribution of cash, property or shares of the Company’s capital stock; and (ii) any distribution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connection with any liquidation, dissolution, or winding up of the Company, whether voluntary or involuntary.</w:t>
      </w:r>
    </w:p>
    <w:p>
      <w:pPr>
        <w:spacing w:after="0" w:line="154" w:lineRule="exact"/>
        <w:rPr>
          <w:rFonts w:ascii="Times New Roman" w:cs="Times New Roman" w:eastAsia="Times New Roman" w:hAnsi="Times New Roman"/>
          <w:sz w:val="18"/>
          <w:szCs w:val="18"/>
          <w:b w:val="1"/>
          <w:bCs w:val="1"/>
          <w:color w:val="auto"/>
        </w:rPr>
      </w:pPr>
    </w:p>
    <w:p>
      <w:pPr>
        <w:ind w:left="500" w:right="400" w:hanging="492"/>
        <w:spacing w:after="0" w:line="286" w:lineRule="auto"/>
        <w:tabs>
          <w:tab w:leader="none" w:pos="5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Company’s first firmly underwritten public offering pursuant to an effective registration statement under the Securities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1933, as amended, covering the offer and sale of Common Stock for the account of the Company.</w:t>
      </w:r>
    </w:p>
    <w:p>
      <w:pPr>
        <w:spacing w:after="0" w:line="155"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Distributions, Subdivisions, Combinations and Change of Control.</w:t>
      </w:r>
    </w:p>
    <w:p>
      <w:pPr>
        <w:spacing w:after="0" w:line="229" w:lineRule="exact"/>
        <w:rPr>
          <w:sz w:val="20"/>
          <w:szCs w:val="20"/>
          <w:color w:val="auto"/>
        </w:rPr>
      </w:pPr>
    </w:p>
    <w:p>
      <w:pPr>
        <w:ind w:left="500" w:hanging="492"/>
        <w:spacing w:after="0" w:line="258" w:lineRule="auto"/>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 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w:t>
      </w:r>
    </w:p>
    <w:p>
      <w:pPr>
        <w:spacing w:after="0" w:line="183" w:lineRule="exact"/>
        <w:rPr>
          <w:rFonts w:ascii="Times New Roman" w:cs="Times New Roman" w:eastAsia="Times New Roman" w:hAnsi="Times New Roman"/>
          <w:sz w:val="18"/>
          <w:szCs w:val="18"/>
          <w:b w:val="1"/>
          <w:bCs w:val="1"/>
          <w:color w:val="auto"/>
        </w:rPr>
      </w:pPr>
    </w:p>
    <w:p>
      <w:pPr>
        <w:ind w:left="500" w:right="240" w:hanging="492"/>
        <w:spacing w:after="0" w:line="266" w:lineRule="auto"/>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w:t>
      </w:r>
    </w:p>
    <w:p>
      <w:pPr>
        <w:spacing w:after="0" w:line="172"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Each holder of shares of Common Stock shall be entitled to one (1) vote for each share thereof held.</w:t>
      </w:r>
    </w:p>
    <w:p>
      <w:pPr>
        <w:spacing w:after="0" w:line="225" w:lineRule="exact"/>
        <w:rPr>
          <w:rFonts w:ascii="Times New Roman" w:cs="Times New Roman" w:eastAsia="Times New Roman" w:hAnsi="Times New Roman"/>
          <w:sz w:val="18"/>
          <w:szCs w:val="18"/>
          <w:b w:val="1"/>
          <w:bCs w:val="1"/>
          <w:color w:val="auto"/>
        </w:rPr>
      </w:pPr>
    </w:p>
    <w:p>
      <w:pPr>
        <w:ind w:left="500" w:right="20" w:hanging="492"/>
        <w:spacing w:after="0" w:line="263" w:lineRule="auto"/>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otherwise expressly provided herein or as required by law, the holders of Preferred Stock and Common Stock shall vote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as separate series or classes.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9"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of the Company for monetary damages shall be eliminated to the fullest extent under applicable law.</w:t>
      </w:r>
    </w:p>
    <w:p>
      <w:pPr>
        <w:spacing w:after="0" w:line="206" w:lineRule="exact"/>
        <w:rPr>
          <w:rFonts w:ascii="Times New Roman" w:cs="Times New Roman" w:eastAsia="Times New Roman" w:hAnsi="Times New Roman"/>
          <w:sz w:val="18"/>
          <w:szCs w:val="18"/>
          <w:b w:val="1"/>
          <w:bCs w:val="1"/>
          <w:color w:val="auto"/>
        </w:rPr>
      </w:pPr>
    </w:p>
    <w:p>
      <w:pPr>
        <w:ind w:left="500" w:right="20" w:hanging="492"/>
        <w:spacing w:after="0" w:line="255" w:lineRule="auto"/>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ectPr>
          <w:pgSz w:w="11900" w:h="16838" w:orient="portrait"/>
          <w:cols w:equalWidth="0" w:num="1">
            <w:col w:w="11220"/>
          </w:cols>
          <w:pgMar w:left="320" w:top="121" w:right="359" w:bottom="0" w:gutter="0" w:footer="0" w:header="0"/>
        </w:sectPr>
      </w:pPr>
    </w:p>
    <w:bookmarkStart w:id="69" w:name="page70"/>
    <w:bookmarkEnd w:id="69"/>
    <w:p>
      <w:pPr>
        <w:ind w:left="500" w:right="80" w:hanging="492"/>
        <w:spacing w:after="0" w:line="312" w:lineRule="auto"/>
        <w:tabs>
          <w:tab w:leader="none" w:pos="5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139" w:lineRule="exact"/>
        <w:rPr>
          <w:rFonts w:ascii="Times New Roman" w:cs="Times New Roman" w:eastAsia="Times New Roman" w:hAnsi="Times New Roman"/>
          <w:sz w:val="17"/>
          <w:szCs w:val="17"/>
          <w:b w:val="1"/>
          <w:bCs w:val="1"/>
          <w:color w:val="auto"/>
        </w:rPr>
      </w:pPr>
    </w:p>
    <w:p>
      <w:pPr>
        <w:ind w:left="500" w:hanging="492"/>
        <w:spacing w:after="0" w:line="253" w:lineRule="auto"/>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w:t>
      </w:r>
    </w:p>
    <w:p>
      <w:pPr>
        <w:spacing w:after="0" w:line="3" w:lineRule="exact"/>
        <w:rPr>
          <w:sz w:val="20"/>
          <w:szCs w:val="20"/>
          <w:color w:val="auto"/>
        </w:rPr>
      </w:pPr>
    </w:p>
    <w:p>
      <w:pPr>
        <w:ind w:left="500" w:right="320"/>
        <w:spacing w:after="0" w:line="250" w:lineRule="auto"/>
        <w:rPr>
          <w:sz w:val="20"/>
          <w:szCs w:val="20"/>
          <w:color w:val="auto"/>
        </w:rPr>
      </w:pPr>
      <w:r>
        <w:rPr>
          <w:rFonts w:ascii="Times New Roman" w:cs="Times New Roman" w:eastAsia="Times New Roman" w:hAnsi="Times New Roman"/>
          <w:sz w:val="18"/>
          <w:szCs w:val="18"/>
          <w:color w:val="auto"/>
        </w:rPr>
        <w:t>acquiring any interest in shares of capital stock of the Company shall be deemed to have notice of and to have consented to the provisions of this Section D of Article V.</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07" w:lineRule="exact"/>
        <w:rPr>
          <w:sz w:val="20"/>
          <w:szCs w:val="20"/>
          <w:color w:val="auto"/>
        </w:rPr>
      </w:pPr>
    </w:p>
    <w:p>
      <w:pPr>
        <w:ind w:left="160" w:right="400"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Board of Directors.</w:t>
      </w:r>
    </w:p>
    <w:p>
      <w:pPr>
        <w:spacing w:after="0" w:line="225" w:lineRule="exact"/>
        <w:rPr>
          <w:sz w:val="20"/>
          <w:szCs w:val="20"/>
          <w:color w:val="auto"/>
        </w:rPr>
      </w:pPr>
    </w:p>
    <w:p>
      <w:pPr>
        <w:ind w:left="500" w:right="140" w:hanging="492"/>
        <w:spacing w:after="0" w:line="268" w:lineRule="auto"/>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Generally. </w:t>
      </w:r>
      <w:r>
        <w:rPr>
          <w:rFonts w:ascii="Times New Roman" w:cs="Times New Roman" w:eastAsia="Times New Roman" w:hAnsi="Times New Roman"/>
          <w:sz w:val="18"/>
          <w:szCs w:val="18"/>
          <w:color w:val="auto"/>
        </w:rPr>
        <w:t>The management of the business and the conduct of the affairs of the Company shall be vested in its Board of Directors.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that shall constitute the Board of Directors shall be fixed exclusively by resolutions adopted by a majority of the authorized number of directors constituting the Board of Directors.</w:t>
      </w:r>
    </w:p>
    <w:p>
      <w:pPr>
        <w:spacing w:after="0" w:line="171"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Election.</w:t>
      </w:r>
    </w:p>
    <w:p>
      <w:pPr>
        <w:spacing w:after="0" w:line="229" w:lineRule="exact"/>
        <w:rPr>
          <w:sz w:val="20"/>
          <w:szCs w:val="20"/>
          <w:color w:val="auto"/>
        </w:rPr>
      </w:pPr>
    </w:p>
    <w:p>
      <w:pPr>
        <w:ind w:left="500" w:right="80" w:hanging="492"/>
        <w:spacing w:after="0" w:line="252"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6" w:lineRule="exact"/>
        <w:rPr>
          <w:rFonts w:ascii="Times New Roman" w:cs="Times New Roman" w:eastAsia="Times New Roman" w:hAnsi="Times New Roman"/>
          <w:sz w:val="18"/>
          <w:szCs w:val="18"/>
          <w:b w:val="1"/>
          <w:bCs w:val="1"/>
          <w:color w:val="auto"/>
        </w:rPr>
      </w:pPr>
    </w:p>
    <w:p>
      <w:pPr>
        <w:ind w:left="500" w:right="100" w:hanging="492"/>
        <w:spacing w:after="0" w:line="255"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185" w:lineRule="exact"/>
        <w:rPr>
          <w:rFonts w:ascii="Times New Roman" w:cs="Times New Roman" w:eastAsia="Times New Roman" w:hAnsi="Times New Roman"/>
          <w:sz w:val="18"/>
          <w:szCs w:val="18"/>
          <w:b w:val="1"/>
          <w:bCs w:val="1"/>
          <w:color w:val="auto"/>
        </w:rPr>
      </w:pPr>
    </w:p>
    <w:p>
      <w:pPr>
        <w:ind w:left="500" w:right="40" w:hanging="492"/>
        <w:spacing w:after="0" w:line="254"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8" w:lineRule="exact"/>
        <w:rPr>
          <w:rFonts w:ascii="Times New Roman" w:cs="Times New Roman" w:eastAsia="Times New Roman" w:hAnsi="Times New Roman"/>
          <w:sz w:val="18"/>
          <w:szCs w:val="18"/>
          <w:b w:val="1"/>
          <w:bCs w:val="1"/>
          <w:color w:val="auto"/>
        </w:rPr>
      </w:pPr>
    </w:p>
    <w:p>
      <w:pPr>
        <w:ind w:left="500" w:right="80" w:hanging="492"/>
        <w:spacing w:after="0" w:line="266"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2" w:lineRule="exact"/>
        <w:rPr>
          <w:sz w:val="20"/>
          <w:szCs w:val="20"/>
          <w:color w:val="auto"/>
        </w:rPr>
      </w:pPr>
    </w:p>
    <w:p>
      <w:pPr>
        <w:ind w:left="500" w:hanging="492"/>
        <w:spacing w:after="0" w:line="262" w:lineRule="auto"/>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Removal of Directors. </w:t>
      </w:r>
      <w:r>
        <w:rPr>
          <w:rFonts w:ascii="Times New Roman" w:cs="Times New Roman" w:eastAsia="Times New Roman" w:hAnsi="Times New Roman"/>
          <w:sz w:val="18"/>
          <w:szCs w:val="18"/>
          <w:color w:val="auto"/>
        </w:rPr>
        <w:t>Subject to any limitations imposed by applicable law, any individual director or directors may be removed (a)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by the affirmative vote of the holders of a majority of the voting power of all then-outstanding shares of capital stock of the Company entitled to vote generally at an election of directors, or (b) with cause by the affirmative vote of the holders of at least 66 2/3% of the voting power of all then-outstanding shares of capital stock of the Company entitled to vote generally at an election of directors.</w:t>
      </w:r>
    </w:p>
    <w:p>
      <w:pPr>
        <w:spacing w:after="0" w:line="176" w:lineRule="exact"/>
        <w:rPr>
          <w:rFonts w:ascii="Times New Roman" w:cs="Times New Roman" w:eastAsia="Times New Roman" w:hAnsi="Times New Roman"/>
          <w:sz w:val="18"/>
          <w:szCs w:val="18"/>
          <w:b w:val="1"/>
          <w:bCs w:val="1"/>
          <w:color w:val="auto"/>
        </w:rPr>
      </w:pPr>
    </w:p>
    <w:p>
      <w:pPr>
        <w:ind w:left="500" w:right="20" w:hanging="492"/>
        <w:spacing w:after="0" w:line="256" w:lineRule="auto"/>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Subject to any limitations imposed by applicable law and subject to the rights of the holders of any series of Preferred Stock,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3" w:lineRule="exact"/>
        <w:rPr>
          <w:sz w:val="20"/>
          <w:szCs w:val="20"/>
          <w:color w:val="auto"/>
        </w:rPr>
      </w:pPr>
    </w:p>
    <w:p>
      <w:pPr>
        <w:ind w:left="500" w:right="120" w:hanging="492"/>
        <w:spacing w:after="0" w:line="262" w:lineRule="auto"/>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Actions. </w:t>
      </w:r>
      <w:r>
        <w:rPr>
          <w:rFonts w:ascii="Times New Roman" w:cs="Times New Roman" w:eastAsia="Times New Roman" w:hAnsi="Times New Roman"/>
          <w:sz w:val="18"/>
          <w:szCs w:val="18"/>
          <w:color w:val="auto"/>
        </w:rPr>
        <w:t>No action shall be taken by the stockholders of the Company except at an annual or special meeting of stockholders called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w:t>
      </w:r>
    </w:p>
    <w:p>
      <w:pPr>
        <w:spacing w:after="0" w:line="176" w:lineRule="exact"/>
        <w:rPr>
          <w:rFonts w:ascii="Times New Roman" w:cs="Times New Roman" w:eastAsia="Times New Roman" w:hAnsi="Times New Roman"/>
          <w:sz w:val="18"/>
          <w:szCs w:val="18"/>
          <w:b w:val="1"/>
          <w:bCs w:val="1"/>
          <w:color w:val="auto"/>
        </w:rPr>
      </w:pPr>
    </w:p>
    <w:p>
      <w:pPr>
        <w:ind w:left="500" w:right="60" w:hanging="492"/>
        <w:spacing w:after="0" w:line="262" w:lineRule="auto"/>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Bylaws. </w:t>
      </w:r>
      <w:r>
        <w:rPr>
          <w:rFonts w:ascii="Times New Roman" w:cs="Times New Roman" w:eastAsia="Times New Roman" w:hAnsi="Times New Roman"/>
          <w:sz w:val="18"/>
          <w:szCs w:val="18"/>
          <w:color w:val="auto"/>
        </w:rPr>
        <w:t>The Board of Directors is expressly empowered to adopt, amend or repeal the Bylaws of the Company. Any adoption, amendment or repeal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Bylaws of the Company by the Board of Directors shall require the approval of a majority of the authorized number of directors. The stockholders shall also have power to adopt, amend or repeal the Bylaws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Company required by law or by this Amended and Restated Certificate of Incorporation, such action by</w:t>
      </w:r>
    </w:p>
    <w:p>
      <w:pPr>
        <w:sectPr>
          <w:pgSz w:w="11900" w:h="16838" w:orient="portrait"/>
          <w:cols w:equalWidth="0" w:num="1">
            <w:col w:w="11240"/>
          </w:cols>
          <w:pgMar w:left="320" w:top="337" w:right="339" w:bottom="0" w:gutter="0" w:footer="0" w:header="0"/>
        </w:sectPr>
      </w:pPr>
    </w:p>
    <w:bookmarkStart w:id="70" w:name="page71"/>
    <w:bookmarkEnd w:id="70"/>
    <w:p>
      <w:pPr>
        <w:ind w:left="492" w:right="460"/>
        <w:spacing w:after="0" w:line="261" w:lineRule="auto"/>
        <w:rPr>
          <w:sz w:val="20"/>
          <w:szCs w:val="20"/>
          <w:color w:val="auto"/>
        </w:rPr>
      </w:pPr>
      <w:r>
        <w:rPr>
          <w:rFonts w:ascii="Times New Roman" w:cs="Times New Roman" w:eastAsia="Times New Roman" w:hAnsi="Times New Roman"/>
          <w:sz w:val="18"/>
          <w:szCs w:val="18"/>
          <w:color w:val="auto"/>
        </w:rPr>
        <w:t>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9" w:lineRule="exact"/>
        <w:rPr>
          <w:sz w:val="20"/>
          <w:szCs w:val="20"/>
          <w:color w:val="auto"/>
        </w:rPr>
      </w:pPr>
    </w:p>
    <w:p>
      <w:pPr>
        <w:ind w:left="492" w:hanging="492"/>
        <w:spacing w:after="0" w:line="265" w:lineRule="auto"/>
        <w:tabs>
          <w:tab w:leader="none" w:pos="492"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jc w:val="both"/>
        <w:ind w:left="492" w:right="400" w:hanging="6"/>
        <w:spacing w:after="0" w:line="265" w:lineRule="auto"/>
        <w:tabs>
          <w:tab w:leader="none" w:pos="70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communicate or offer to the Company or any of its Affiliated Companies any Dual Opportunity that such Dual Role Person has communicated or offered to the Investment Fund or (ii) the communication or offer to the Investment Fund of any Dual Opportunity, so long as</w:t>
      </w:r>
    </w:p>
    <w:p>
      <w:pPr>
        <w:ind w:left="492" w:right="240" w:hanging="6"/>
        <w:spacing w:after="0" w:line="255" w:lineRule="auto"/>
        <w:tabs>
          <w:tab w:leader="none" w:pos="7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85" w:lineRule="exact"/>
        <w:rPr>
          <w:rFonts w:ascii="Times New Roman" w:cs="Times New Roman" w:eastAsia="Times New Roman" w:hAnsi="Times New Roman"/>
          <w:sz w:val="18"/>
          <w:szCs w:val="18"/>
          <w:color w:val="auto"/>
        </w:rPr>
      </w:pPr>
    </w:p>
    <w:p>
      <w:pPr>
        <w:ind w:left="492" w:right="160" w:hanging="492"/>
        <w:spacing w:after="0" w:line="258" w:lineRule="auto"/>
        <w:tabs>
          <w:tab w:leader="none" w:pos="4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3" w:lineRule="exact"/>
        <w:rPr>
          <w:rFonts w:ascii="Times New Roman" w:cs="Times New Roman" w:eastAsia="Times New Roman" w:hAnsi="Times New Roman"/>
          <w:sz w:val="18"/>
          <w:szCs w:val="18"/>
          <w:b w:val="1"/>
          <w:bCs w:val="1"/>
          <w:color w:val="auto"/>
        </w:rPr>
      </w:pPr>
    </w:p>
    <w:p>
      <w:pPr>
        <w:ind w:left="1292" w:hanging="1292"/>
        <w:spacing w:after="0"/>
        <w:tabs>
          <w:tab w:leader="none" w:pos="12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Article VII:</w:t>
      </w:r>
    </w:p>
    <w:p>
      <w:pPr>
        <w:spacing w:after="0" w:line="221" w:lineRule="exact"/>
        <w:rPr>
          <w:sz w:val="20"/>
          <w:szCs w:val="20"/>
          <w:color w:val="auto"/>
        </w:rPr>
      </w:pPr>
    </w:p>
    <w:p>
      <w:pPr>
        <w:ind w:left="152" w:right="8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176" w:lineRule="exact"/>
        <w:rPr>
          <w:sz w:val="20"/>
          <w:szCs w:val="20"/>
          <w:color w:val="auto"/>
        </w:rPr>
      </w:pPr>
    </w:p>
    <w:p>
      <w:pPr>
        <w:ind w:left="152" w:right="4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“Affiliated Company</w:t>
      </w:r>
      <w:r>
        <w:rPr>
          <w:rFonts w:ascii="Times New Roman" w:cs="Times New Roman" w:eastAsia="Times New Roman" w:hAnsi="Times New Roman"/>
          <w:sz w:val="18"/>
          <w:szCs w:val="18"/>
          <w:color w:val="auto"/>
        </w:rPr>
        <w:t>” means (i) with respect to the Company, any Person controlled by the Company and (ii) with respect to an Investment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6" w:lineRule="exact"/>
        <w:rPr>
          <w:sz w:val="20"/>
          <w:szCs w:val="20"/>
          <w:color w:val="auto"/>
        </w:rPr>
      </w:pPr>
    </w:p>
    <w:p>
      <w:pPr>
        <w:jc w:val="both"/>
        <w:ind w:left="152" w:right="1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“Dual Opportunity</w:t>
      </w:r>
      <w:r>
        <w:rPr>
          <w:rFonts w:ascii="Times New Roman" w:cs="Times New Roman" w:eastAsia="Times New Roman" w:hAnsi="Times New Roman"/>
          <w:sz w:val="18"/>
          <w:szCs w:val="18"/>
          <w:color w:val="auto"/>
        </w:rPr>
        <w:t>” means any potential transaction or matter which may be a corporate opportunity for both the Investment Fund or its Affiliated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on the one hand, and the Company or any of its Affiliated Companies, on the other hand.</w:t>
      </w:r>
    </w:p>
    <w:p>
      <w:pPr>
        <w:spacing w:after="0" w:line="155" w:lineRule="exact"/>
        <w:rPr>
          <w:sz w:val="20"/>
          <w:szCs w:val="20"/>
          <w:color w:val="auto"/>
        </w:rPr>
      </w:pPr>
    </w:p>
    <w:p>
      <w:pPr>
        <w:ind w:left="152" w:right="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“Dual Role Person</w:t>
      </w:r>
      <w:r>
        <w:rPr>
          <w:rFonts w:ascii="Times New Roman" w:cs="Times New Roman" w:eastAsia="Times New Roman" w:hAnsi="Times New Roman"/>
          <w:sz w:val="18"/>
          <w:szCs w:val="18"/>
          <w:color w:val="auto"/>
        </w:rPr>
        <w:t>” means any individual who is an officer or director of the Company and an officer, director, or general partner of the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w:t>
      </w:r>
    </w:p>
    <w:p>
      <w:pPr>
        <w:spacing w:after="0" w:line="155" w:lineRule="exact"/>
        <w:rPr>
          <w:sz w:val="20"/>
          <w:szCs w:val="20"/>
          <w:color w:val="auto"/>
        </w:rPr>
      </w:pPr>
    </w:p>
    <w:p>
      <w:pPr>
        <w:jc w:val="both"/>
        <w:ind w:left="152" w:right="140"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Fund</w:t>
      </w:r>
      <w:r>
        <w:rPr>
          <w:rFonts w:ascii="Times New Roman" w:cs="Times New Roman" w:eastAsia="Times New Roman" w:hAnsi="Times New Roman"/>
          <w:sz w:val="18"/>
          <w:szCs w:val="18"/>
          <w:color w:val="auto"/>
        </w:rPr>
        <w:t>” means one or more Persons (other than the Company and any Affiliated Company of the Company) which a Dual Role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71" w:lineRule="exact"/>
        <w:rPr>
          <w:sz w:val="20"/>
          <w:szCs w:val="20"/>
          <w:color w:val="auto"/>
        </w:rPr>
      </w:pPr>
    </w:p>
    <w:p>
      <w:pPr>
        <w:ind w:left="152" w:right="60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an unincorporated organization and a governmental entity or any department, agency or political subdivision thereof.</w:t>
      </w:r>
    </w:p>
    <w:p>
      <w:pPr>
        <w:spacing w:after="0" w:line="159" w:lineRule="exact"/>
        <w:rPr>
          <w:sz w:val="20"/>
          <w:szCs w:val="20"/>
          <w:color w:val="auto"/>
        </w:rPr>
      </w:pPr>
    </w:p>
    <w:p>
      <w:pPr>
        <w:ind w:left="492" w:right="60" w:hanging="492"/>
        <w:spacing w:after="0" w:line="258" w:lineRule="auto"/>
        <w:tabs>
          <w:tab w:leader="none" w:pos="49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w:t>
      </w:r>
    </w:p>
    <w:p>
      <w:pPr>
        <w:spacing w:after="0" w:line="183" w:lineRule="exact"/>
        <w:rPr>
          <w:sz w:val="20"/>
          <w:szCs w:val="20"/>
          <w:color w:val="auto"/>
        </w:rPr>
      </w:pPr>
    </w:p>
    <w:p>
      <w:pPr>
        <w:ind w:left="152" w:right="660"/>
        <w:spacing w:after="0" w:line="282" w:lineRule="auto"/>
        <w:rPr>
          <w:sz w:val="20"/>
          <w:szCs w:val="20"/>
          <w:color w:val="auto"/>
        </w:rPr>
      </w:pPr>
      <w:r>
        <w:rPr>
          <w:rFonts w:ascii="Times New Roman" w:cs="Times New Roman" w:eastAsia="Times New Roman" w:hAnsi="Times New Roman"/>
          <w:sz w:val="18"/>
          <w:szCs w:val="18"/>
          <w:color w:val="auto"/>
        </w:rPr>
        <w:t>Investment Fund, on the other hand, that was entered into before such time or any transaction entered into in the performance of such agreement, arrangement or other understanding, whether entered into before or after such time.</w:t>
      </w:r>
    </w:p>
    <w:p>
      <w:pPr>
        <w:spacing w:after="0" w:line="162" w:lineRule="exact"/>
        <w:rPr>
          <w:sz w:val="20"/>
          <w:szCs w:val="20"/>
          <w:color w:val="auto"/>
        </w:rPr>
      </w:pPr>
    </w:p>
    <w:p>
      <w:pPr>
        <w:ind w:left="492" w:right="60" w:hanging="492"/>
        <w:spacing w:after="0" w:line="282" w:lineRule="auto"/>
        <w:tabs>
          <w:tab w:leader="none" w:pos="49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61" w:lineRule="exact"/>
        <w:rPr>
          <w:rFonts w:ascii="Times New Roman" w:cs="Times New Roman" w:eastAsia="Times New Roman" w:hAnsi="Times New Roman"/>
          <w:sz w:val="18"/>
          <w:szCs w:val="18"/>
          <w:b w:val="1"/>
          <w:bCs w:val="1"/>
          <w:color w:val="auto"/>
        </w:rPr>
      </w:pPr>
    </w:p>
    <w:p>
      <w:pPr>
        <w:ind w:left="492" w:hanging="492"/>
        <w:spacing w:after="0" w:line="282" w:lineRule="auto"/>
        <w:tabs>
          <w:tab w:leader="none" w:pos="49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162" w:lineRule="exact"/>
        <w:rPr>
          <w:sz w:val="20"/>
          <w:szCs w:val="20"/>
          <w:color w:val="auto"/>
        </w:rPr>
      </w:pPr>
    </w:p>
    <w:p>
      <w:pPr>
        <w:jc w:val="both"/>
        <w:ind w:left="492" w:hanging="492"/>
        <w:spacing w:after="0" w:line="266" w:lineRule="auto"/>
        <w:tabs>
          <w:tab w:leader="none" w:pos="49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175" w:lineRule="exact"/>
        <w:rPr>
          <w:rFonts w:ascii="Times New Roman" w:cs="Times New Roman" w:eastAsia="Times New Roman" w:hAnsi="Times New Roman"/>
          <w:sz w:val="18"/>
          <w:szCs w:val="18"/>
          <w:b w:val="1"/>
          <w:bCs w:val="1"/>
          <w:color w:val="auto"/>
        </w:rPr>
      </w:pPr>
    </w:p>
    <w:p>
      <w:pPr>
        <w:ind w:left="492" w:right="80" w:hanging="492"/>
        <w:spacing w:after="0" w:line="253" w:lineRule="auto"/>
        <w:tabs>
          <w:tab w:leader="none" w:pos="49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pacing w:after="0" w:line="5" w:lineRule="exact"/>
        <w:rPr>
          <w:rFonts w:ascii="Times New Roman" w:cs="Times New Roman" w:eastAsia="Times New Roman" w:hAnsi="Times New Roman"/>
          <w:sz w:val="18"/>
          <w:szCs w:val="18"/>
          <w:b w:val="1"/>
          <w:bCs w:val="1"/>
          <w:color w:val="auto"/>
        </w:rPr>
      </w:pPr>
    </w:p>
    <w:p>
      <w:pPr>
        <w:ind w:left="54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 xml:space="preserve">ELEVEN: </w:t>
      </w:r>
      <w:r>
        <w:rPr>
          <w:rFonts w:ascii="Times New Roman" w:cs="Times New Roman" w:eastAsia="Times New Roman" w:hAnsi="Times New Roman"/>
          <w:sz w:val="18"/>
          <w:szCs w:val="18"/>
          <w:color w:val="auto"/>
        </w:rPr>
        <w:t>This Amended and Restated Certificate of Incorporation has been duly approved by the Board of Directors of this Corporation.</w:t>
      </w:r>
    </w:p>
    <w:p>
      <w:pPr>
        <w:spacing w:after="0" w:line="225" w:lineRule="exact"/>
        <w:rPr>
          <w:sz w:val="20"/>
          <w:szCs w:val="20"/>
          <w:color w:val="auto"/>
        </w:rPr>
      </w:pPr>
    </w:p>
    <w:p>
      <w:pPr>
        <w:ind w:left="152" w:right="80"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TWELVE: </w:t>
      </w:r>
      <w:r>
        <w:rPr>
          <w:rFonts w:ascii="Times New Roman" w:cs="Times New Roman" w:eastAsia="Times New Roman" w:hAnsi="Times New Roman"/>
          <w:sz w:val="17"/>
          <w:szCs w:val="17"/>
          <w:color w:val="auto"/>
        </w:rPr>
        <w:t>This Amended and Restated Certificate of Incorporation was approved by the holders of the requisite number of shares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in accordance with Section 228 of the DGCL. This Amended and Restated Certificate of Incorporation has been duly adopted in accordance</w:t>
      </w:r>
    </w:p>
    <w:p>
      <w:pPr>
        <w:sectPr>
          <w:pgSz w:w="11900" w:h="16838" w:orient="portrait"/>
          <w:cols w:equalWidth="0" w:num="1">
            <w:col w:w="11232"/>
          </w:cols>
          <w:pgMar w:left="328" w:top="121" w:right="339" w:bottom="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with the provisions of Sections 242 and 245 of the DGCL by the stockholders of this Corporation.</w:t>
      </w:r>
    </w:p>
    <w:p>
      <w:pPr>
        <w:spacing w:after="0" w:line="225"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Tilray Brands, Inc. has caused this Amended and Restated Certificate of Incorporation to be duly executed and acknowledged in its name and on its behalf by the undersigned officer, thereunto duly authorized, as of the date first set forth above.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Gendel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Global General Counsel and Corporate Secretary</w:t>
      </w:r>
    </w:p>
    <w:p>
      <w:pPr>
        <w:sectPr>
          <w:pgSz w:w="11900" w:h="16838" w:orient="portrait"/>
          <w:cols w:equalWidth="0" w:num="1">
            <w:col w:w="10980"/>
          </w:cols>
          <w:pgMar w:left="480" w:top="121"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WHOLESALE CANNABIS SUPPLY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Third Amended and Restated Wholesale Cannabis Supply Agreement is entered into and effective as of September 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1974568 ONTARIO LIMITED </w:t>
      </w:r>
      <w:r>
        <w:rPr>
          <w:rFonts w:ascii="Times New Roman" w:cs="Times New Roman" w:eastAsia="Times New Roman" w:hAnsi="Times New Roman"/>
          <w:sz w:val="18"/>
          <w:szCs w:val="18"/>
          <w:color w:val="auto"/>
        </w:rPr>
        <w:t>of the Municipality of Leamington in the Province of Ontario (“</w:t>
      </w:r>
      <w:r>
        <w:rPr>
          <w:rFonts w:ascii="Times New Roman" w:cs="Times New Roman" w:eastAsia="Times New Roman" w:hAnsi="Times New Roman"/>
          <w:sz w:val="18"/>
          <w:szCs w:val="18"/>
          <w:b w:val="1"/>
          <w:bCs w:val="1"/>
          <w:color w:val="auto"/>
        </w:rPr>
        <w:t>Aphria Diamond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APHRIA INC. </w:t>
      </w:r>
      <w:r>
        <w:rPr>
          <w:rFonts w:ascii="Times New Roman" w:cs="Times New Roman" w:eastAsia="Times New Roman" w:hAnsi="Times New Roman"/>
          <w:sz w:val="18"/>
          <w:szCs w:val="18"/>
          <w:color w:val="auto"/>
        </w:rPr>
        <w:t>of the Municipality of Leamington in the Province of Ontario (the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of Aphria Diamond and Aphria may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Aphria Diamond wishes to supply Products (as defined below) to Aphria and Aphria has agreed to purchase such Products from Aphria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Diamond on the terms set forth in this Agreement.</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Aphria Diamond and Aphria have previously entered into that certain Wholesale Cannabis Supply Agreement on February 16,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Amended and Restated Wholesale Cannabis Supply Agreement dated November 1, 2019, a Second Amended and Restated Wholesale Cannabis Supply Agreement dated April 6, 2021, and a Third Amended and Restated Wholesale Cannabis Supply Agreement dated March 1, 2022 (collectively, the “</w:t>
      </w:r>
      <w:r>
        <w:rPr>
          <w:rFonts w:ascii="Times New Roman" w:cs="Times New Roman" w:eastAsia="Times New Roman" w:hAnsi="Times New Roman"/>
          <w:sz w:val="18"/>
          <w:szCs w:val="18"/>
          <w:b w:val="1"/>
          <w:bCs w:val="1"/>
          <w:color w:val="auto"/>
        </w:rPr>
        <w:t>Original Supply Agreement</w:t>
      </w:r>
      <w:r>
        <w:rPr>
          <w:rFonts w:ascii="Times New Roman" w:cs="Times New Roman" w:eastAsia="Times New Roman" w:hAnsi="Times New Roman"/>
          <w:sz w:val="18"/>
          <w:szCs w:val="18"/>
          <w:color w:val="auto"/>
        </w:rPr>
        <w:t xml:space="preserve">”) and the Parties now wish to amend, modify, restate and supplement the Original Supply Agreement as set out below. </w:t>
      </w: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recitals (which are incorporated into and form part of this Agreement) and the mutual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expressed, the Parties hereby agree as follows:</w:t>
      </w:r>
    </w:p>
    <w:p>
      <w:pPr>
        <w:spacing w:after="0" w:line="186" w:lineRule="exact"/>
        <w:rPr>
          <w:sz w:val="20"/>
          <w:szCs w:val="20"/>
          <w:color w:val="auto"/>
        </w:rPr>
      </w:pPr>
    </w:p>
    <w:p>
      <w:pPr>
        <w:ind w:left="840" w:hanging="331"/>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appearing in this Agreement without definition shall have the meaning given them in this Section 1.</w:t>
      </w:r>
    </w:p>
    <w:p>
      <w:pPr>
        <w:spacing w:after="0" w:line="221" w:lineRule="exact"/>
        <w:rPr>
          <w:sz w:val="20"/>
          <w:szCs w:val="20"/>
          <w:color w:val="auto"/>
        </w:rPr>
      </w:pPr>
    </w:p>
    <w:p>
      <w:pPr>
        <w:ind w:left="1380" w:hanging="331"/>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“ADRIC</w:t>
      </w:r>
      <w:r>
        <w:rPr>
          <w:rFonts w:ascii="Times New Roman" w:cs="Times New Roman" w:eastAsia="Times New Roman" w:hAnsi="Times New Roman"/>
          <w:sz w:val="18"/>
          <w:szCs w:val="18"/>
          <w:color w:val="auto"/>
        </w:rPr>
        <w:t>” has the meaning set forth in Section 15.1.</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“Affected Obligations</w:t>
      </w:r>
      <w:r>
        <w:rPr>
          <w:rFonts w:ascii="Times New Roman" w:cs="Times New Roman" w:eastAsia="Times New Roman" w:hAnsi="Times New Roman"/>
          <w:sz w:val="18"/>
          <w:szCs w:val="18"/>
          <w:color w:val="auto"/>
        </w:rPr>
        <w:t>” has the meaning set forth in Section 5.8(a).</w:t>
      </w:r>
    </w:p>
    <w:p>
      <w:pPr>
        <w:spacing w:after="0" w:line="225" w:lineRule="exact"/>
        <w:rPr>
          <w:rFonts w:ascii="Times New Roman" w:cs="Times New Roman" w:eastAsia="Times New Roman" w:hAnsi="Times New Roman"/>
          <w:sz w:val="18"/>
          <w:szCs w:val="18"/>
          <w:color w:val="auto"/>
        </w:rPr>
      </w:pPr>
    </w:p>
    <w:p>
      <w:pPr>
        <w:ind w:left="1380" w:right="20" w:hanging="331"/>
        <w:spacing w:after="0" w:line="268" w:lineRule="auto"/>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(a) any corporation directly or indirectly controlling, controlled by, or under common control of Aphria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Diamond or (b) any partnership, joint venture or other entity directly or indirectly controlled by, controlling, or under common control of Aphria Diamond, but in each case only for so long as such ownership or control shall continue.</w:t>
      </w:r>
    </w:p>
    <w:p>
      <w:pPr>
        <w:spacing w:after="0" w:line="170" w:lineRule="exact"/>
        <w:rPr>
          <w:rFonts w:ascii="Times New Roman" w:cs="Times New Roman" w:eastAsia="Times New Roman" w:hAnsi="Times New Roman"/>
          <w:sz w:val="18"/>
          <w:szCs w:val="18"/>
          <w:color w:val="auto"/>
        </w:rPr>
      </w:pPr>
    </w:p>
    <w:p>
      <w:pPr>
        <w:jc w:val="both"/>
        <w:ind w:left="1380" w:right="360" w:hanging="331"/>
        <w:spacing w:after="0" w:line="268" w:lineRule="auto"/>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third amended and restated wholesale cannabis supply agreement, including all Schedules and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all Purchase Orders issued by Aphria and accepted by Aphria Diamond pursuant hereto, as the same may be amended, supplemented, restated and/or otherwise modified from time to time in accordance with the terms hereof.</w:t>
      </w:r>
    </w:p>
    <w:p>
      <w:pPr>
        <w:spacing w:after="0" w:line="170"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means September 1, 2023.</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“Aphria Diamond</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ind w:left="1380" w:hanging="331"/>
        <w:spacing w:after="0" w:line="262" w:lineRule="auto"/>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“Aphria Diamond Facility</w:t>
      </w:r>
      <w:r>
        <w:rPr>
          <w:rFonts w:ascii="Times New Roman" w:cs="Times New Roman" w:eastAsia="Times New Roman" w:hAnsi="Times New Roman"/>
          <w:sz w:val="18"/>
          <w:szCs w:val="18"/>
          <w:color w:val="auto"/>
        </w:rPr>
        <w:t>” means, collectively, those buildings located at 620 county Rd, 14, Leamington, Ontario, N8H 3V8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 as such buildings remain subject to License Number LIC-KX10UDSC08-2023 issued by Health Canada, as such license may be amended from time to time or any other facility of Aphria Diamond or its Affiliates (excluding Aphria) in respect of which a Cannabis Licence has been issued.</w:t>
      </w:r>
    </w:p>
    <w:p>
      <w:pPr>
        <w:spacing w:after="0" w:line="176" w:lineRule="exact"/>
        <w:rPr>
          <w:rFonts w:ascii="Times New Roman" w:cs="Times New Roman" w:eastAsia="Times New Roman" w:hAnsi="Times New Roman"/>
          <w:sz w:val="18"/>
          <w:szCs w:val="18"/>
          <w:color w:val="auto"/>
        </w:rPr>
      </w:pPr>
    </w:p>
    <w:p>
      <w:pPr>
        <w:ind w:left="1380" w:right="20" w:hanging="331"/>
        <w:spacing w:after="0" w:line="286" w:lineRule="auto"/>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“Aphria Facility</w:t>
      </w:r>
      <w:r>
        <w:rPr>
          <w:rFonts w:ascii="Times New Roman" w:cs="Times New Roman" w:eastAsia="Times New Roman" w:hAnsi="Times New Roman"/>
          <w:sz w:val="18"/>
          <w:szCs w:val="18"/>
          <w:color w:val="auto"/>
        </w:rPr>
        <w:t>” means Aphria’s facility in Leamington in respect of which a Cannabis Licence has been issued or any other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Aphria (excluding Aphria Diamond) in respect of which a Cannabis Licence has been issued.</w:t>
      </w:r>
    </w:p>
    <w:p>
      <w:pPr>
        <w:spacing w:after="0" w:line="154" w:lineRule="exact"/>
        <w:rPr>
          <w:rFonts w:ascii="Times New Roman" w:cs="Times New Roman" w:eastAsia="Times New Roman" w:hAnsi="Times New Roman"/>
          <w:sz w:val="18"/>
          <w:szCs w:val="18"/>
          <w:color w:val="auto"/>
        </w:rPr>
      </w:pPr>
    </w:p>
    <w:p>
      <w:pPr>
        <w:ind w:left="1280" w:right="320" w:hanging="325"/>
        <w:spacing w:after="0" w:line="262" w:lineRule="auto"/>
        <w:tabs>
          <w:tab w:leader="none" w:pos="1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any applicable (i) domestic statute, law (including the common and civil law and equity), 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ordinance, rule, regulation, restriction, regulatory policy or guideline having the force of law, by-law (zoning or otherwise) or order, (ii) consent, exemption, approval or licence of any Governmental Authority, and (iii) policy, practice, guidance document or guideline of, or contract with, any Governmental Authority.</w:t>
      </w:r>
    </w:p>
    <w:p>
      <w:pPr>
        <w:spacing w:after="0" w:line="176" w:lineRule="exact"/>
        <w:rPr>
          <w:rFonts w:ascii="Times New Roman" w:cs="Times New Roman" w:eastAsia="Times New Roman" w:hAnsi="Times New Roman"/>
          <w:sz w:val="18"/>
          <w:szCs w:val="18"/>
          <w:color w:val="auto"/>
        </w:rPr>
      </w:pPr>
    </w:p>
    <w:p>
      <w:pPr>
        <w:ind w:left="1280" w:hanging="325"/>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has the meaning set forth in Section 15.2.</w:t>
      </w:r>
    </w:p>
    <w:p>
      <w:pPr>
        <w:spacing w:after="0" w:line="225" w:lineRule="exact"/>
        <w:rPr>
          <w:rFonts w:ascii="Times New Roman" w:cs="Times New Roman" w:eastAsia="Times New Roman" w:hAnsi="Times New Roman"/>
          <w:sz w:val="18"/>
          <w:szCs w:val="18"/>
          <w:color w:val="auto"/>
        </w:rPr>
      </w:pPr>
    </w:p>
    <w:p>
      <w:pPr>
        <w:ind w:left="1280" w:right="240" w:hanging="325"/>
        <w:spacing w:after="0" w:line="286"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week, other than a Saturday or Sunday or day on which Canadian chartered banks in Toronto,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Ontario are authorized or obligated by law to close or are generally closed.</w:t>
      </w:r>
    </w:p>
    <w:p>
      <w:pPr>
        <w:spacing w:after="0" w:line="154" w:lineRule="exact"/>
        <w:rPr>
          <w:rFonts w:ascii="Times New Roman" w:cs="Times New Roman" w:eastAsia="Times New Roman" w:hAnsi="Times New Roman"/>
          <w:sz w:val="18"/>
          <w:szCs w:val="18"/>
          <w:color w:val="auto"/>
        </w:rPr>
      </w:pPr>
    </w:p>
    <w:p>
      <w:pPr>
        <w:ind w:left="1280" w:right="120" w:hanging="325"/>
        <w:spacing w:after="0" w:line="262"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“Canadian Regulatory Approval</w:t>
      </w:r>
      <w:r>
        <w:rPr>
          <w:rFonts w:ascii="Times New Roman" w:cs="Times New Roman" w:eastAsia="Times New Roman" w:hAnsi="Times New Roman"/>
          <w:sz w:val="18"/>
          <w:szCs w:val="18"/>
          <w:color w:val="auto"/>
        </w:rPr>
        <w:t>” means any and all approvals (including price and reimbursement approvals, if required),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registrations, or authorizations that are necessary to possess, produce, cultivate, process, package/label, test, import, export, store, sell, deliver, transport, distribute or destroy a Product in Canada, including such approvals as may be required under the Cannabis Act pursuant to any other Applicable Laws or by any other applicable Canadian Regulatory Authority.</w:t>
      </w:r>
    </w:p>
    <w:p>
      <w:pPr>
        <w:spacing w:after="0" w:line="176" w:lineRule="exact"/>
        <w:rPr>
          <w:rFonts w:ascii="Times New Roman" w:cs="Times New Roman" w:eastAsia="Times New Roman" w:hAnsi="Times New Roman"/>
          <w:sz w:val="18"/>
          <w:szCs w:val="18"/>
          <w:color w:val="auto"/>
        </w:rPr>
      </w:pPr>
    </w:p>
    <w:p>
      <w:pPr>
        <w:ind w:left="1280" w:right="340" w:hanging="325"/>
        <w:spacing w:after="0" w:line="262"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“Canadian Regulatory Authority</w:t>
      </w:r>
      <w:r>
        <w:rPr>
          <w:rFonts w:ascii="Times New Roman" w:cs="Times New Roman" w:eastAsia="Times New Roman" w:hAnsi="Times New Roman"/>
          <w:sz w:val="18"/>
          <w:szCs w:val="18"/>
          <w:color w:val="auto"/>
        </w:rPr>
        <w:t>” means any supra-national, national, provincial or local regulatory agency, department, bureau,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council or other Governmental Authority involved in or responsible for regulation of the possession, production, cultivation, processing, packaging/labeling, testing, importing, exporting, storing, selling, delivering, transporting, distributing and destroying of the Products intended for human use in Canada, including Health Canada.</w:t>
      </w:r>
    </w:p>
    <w:p>
      <w:pPr>
        <w:spacing w:after="0" w:line="176" w:lineRule="exact"/>
        <w:rPr>
          <w:rFonts w:ascii="Times New Roman" w:cs="Times New Roman" w:eastAsia="Times New Roman" w:hAnsi="Times New Roman"/>
          <w:sz w:val="18"/>
          <w:szCs w:val="18"/>
          <w:color w:val="auto"/>
        </w:rPr>
      </w:pPr>
    </w:p>
    <w:p>
      <w:pPr>
        <w:ind w:left="1280" w:right="60" w:hanging="325"/>
        <w:spacing w:after="0" w:line="268"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“Canadian Regulatory Filing</w:t>
      </w:r>
      <w:r>
        <w:rPr>
          <w:rFonts w:ascii="Times New Roman" w:cs="Times New Roman" w:eastAsia="Times New Roman" w:hAnsi="Times New Roman"/>
          <w:sz w:val="18"/>
          <w:szCs w:val="18"/>
          <w:color w:val="auto"/>
        </w:rPr>
        <w:t>” means an application required to be filed with a Canadian Regulatory Authority seeking any Canadian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required by Aphria to possess, produce, cultivate, process, package/label, test, import, export, store, sell, deliver, transport, distribute or destroy the Products in Canada, and all updates, amendments and reports filed therewith.</w:t>
      </w:r>
    </w:p>
    <w:p>
      <w:pPr>
        <w:spacing w:after="0" w:line="170" w:lineRule="exact"/>
        <w:rPr>
          <w:rFonts w:ascii="Times New Roman" w:cs="Times New Roman" w:eastAsia="Times New Roman" w:hAnsi="Times New Roman"/>
          <w:sz w:val="18"/>
          <w:szCs w:val="18"/>
          <w:color w:val="auto"/>
        </w:rPr>
      </w:pPr>
    </w:p>
    <w:p>
      <w:pPr>
        <w:ind w:left="1280" w:right="560" w:hanging="325"/>
        <w:spacing w:after="0" w:line="286"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“Cannabis Act</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(Canada) and all regulations made thereunder, including the Cannabis Regulations,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superseded from time to time.</w:t>
      </w:r>
    </w:p>
    <w:p>
      <w:pPr>
        <w:spacing w:after="0" w:line="154" w:lineRule="exact"/>
        <w:rPr>
          <w:rFonts w:ascii="Times New Roman" w:cs="Times New Roman" w:eastAsia="Times New Roman" w:hAnsi="Times New Roman"/>
          <w:sz w:val="18"/>
          <w:szCs w:val="18"/>
          <w:color w:val="auto"/>
        </w:rPr>
      </w:pPr>
    </w:p>
    <w:p>
      <w:pPr>
        <w:ind w:left="1280" w:hanging="325"/>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“Cannabis Regulations</w:t>
      </w:r>
      <w:r>
        <w:rPr>
          <w:rFonts w:ascii="Times New Roman" w:cs="Times New Roman" w:eastAsia="Times New Roman" w:hAnsi="Times New Roman"/>
          <w:sz w:val="18"/>
          <w:szCs w:val="18"/>
          <w:color w:val="auto"/>
        </w:rPr>
        <w:t>” means Regulation SOR/2018-144, and any other regulations made under the Cannabis Act, as amended or</w:t>
      </w:r>
    </w:p>
    <w:p>
      <w:pPr>
        <w:sectPr>
          <w:pgSz w:w="11900" w:h="16838" w:orient="portrait"/>
          <w:cols w:equalWidth="0" w:num="1">
            <w:col w:w="11060"/>
          </w:cols>
          <w:pgMar w:left="480" w:top="121" w:right="359" w:bottom="0" w:gutter="0" w:footer="0" w:header="0"/>
        </w:sectPr>
      </w:pPr>
    </w:p>
    <w:bookmarkStart w:id="73" w:name="page74"/>
    <w:bookmarkEnd w:id="73"/>
    <w:p>
      <w:pPr>
        <w:ind w:left="325"/>
        <w:spacing w:after="0"/>
        <w:rPr>
          <w:sz w:val="20"/>
          <w:szCs w:val="20"/>
          <w:color w:val="auto"/>
        </w:rPr>
      </w:pPr>
      <w:r>
        <w:rPr>
          <w:rFonts w:ascii="Times New Roman" w:cs="Times New Roman" w:eastAsia="Times New Roman" w:hAnsi="Times New Roman"/>
          <w:sz w:val="18"/>
          <w:szCs w:val="18"/>
          <w:color w:val="auto"/>
        </w:rPr>
        <w:t>superseded from time to time.</w:t>
      </w:r>
    </w:p>
    <w:p>
      <w:pPr>
        <w:spacing w:after="0" w:line="221" w:lineRule="exact"/>
        <w:rPr>
          <w:sz w:val="20"/>
          <w:szCs w:val="20"/>
          <w:color w:val="auto"/>
        </w:rPr>
      </w:pPr>
    </w:p>
    <w:p>
      <w:pPr>
        <w:ind w:left="325" w:hanging="325"/>
        <w:spacing w:after="0" w:line="268"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“Cannabis Licence</w:t>
      </w:r>
      <w:r>
        <w:rPr>
          <w:rFonts w:ascii="Times New Roman" w:cs="Times New Roman" w:eastAsia="Times New Roman" w:hAnsi="Times New Roman"/>
          <w:sz w:val="18"/>
          <w:szCs w:val="18"/>
          <w:color w:val="auto"/>
        </w:rPr>
        <w:t>” means a licence to conduct and engage in licensable activities, including possession, production, cultivation,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packaging/labeling, testing, storing, selling, delivering, transporting, distributing and destroying the Products as required by one or more Canadian Regulatory Approvals.</w:t>
      </w:r>
    </w:p>
    <w:p>
      <w:pPr>
        <w:spacing w:after="0" w:line="170" w:lineRule="exact"/>
        <w:rPr>
          <w:rFonts w:ascii="Times New Roman" w:cs="Times New Roman" w:eastAsia="Times New Roman" w:hAnsi="Times New Roman"/>
          <w:sz w:val="18"/>
          <w:szCs w:val="18"/>
          <w:color w:val="auto"/>
        </w:rPr>
      </w:pPr>
    </w:p>
    <w:p>
      <w:pPr>
        <w:ind w:left="325" w:hanging="325"/>
        <w:spacing w:after="0" w:line="254"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respect of any Party, shall be deemed to have occurred upon: (i) the sale, transfer, conveyance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by such Party of all or substantially all of its assets; or (ii) a take-over bid, tender offer or exchange offer by any person (or two or more Persons who are acting jointly or in concert in respect of the foregoing) pursuant to which such person or persons would come to own a majority of all of the issued and outstanding voting shares or equity securities upon the completion thereof, or (iii) a merger, amalgamation, arrangement, reorganization, or other business combination or similar transaction involving a Party in which holders of all of the issued and outstanding voting securities or equity securities before the completion of the transaction would hold less than 50% of all of the issued and outstanding voting securities, or equity securities of such Party’s successor or of the continuing or surviving entity (the “</w:t>
      </w:r>
      <w:r>
        <w:rPr>
          <w:rFonts w:ascii="Times New Roman" w:cs="Times New Roman" w:eastAsia="Times New Roman" w:hAnsi="Times New Roman"/>
          <w:sz w:val="18"/>
          <w:szCs w:val="18"/>
          <w:b w:val="1"/>
          <w:bCs w:val="1"/>
          <w:color w:val="auto"/>
        </w:rPr>
        <w:t>Resulting Issuer</w:t>
      </w:r>
      <w:r>
        <w:rPr>
          <w:rFonts w:ascii="Times New Roman" w:cs="Times New Roman" w:eastAsia="Times New Roman" w:hAnsi="Times New Roman"/>
          <w:sz w:val="18"/>
          <w:szCs w:val="18"/>
          <w:color w:val="auto"/>
        </w:rPr>
        <w:t>”), upon the completion of such transaction, provided that in either case no Change of Control shall be deemed to have occurred if upon completion of any such transaction individuals who were members of the Board of Directors of such Party immediately prior to the effective date of such transaction constitute a majority of the Board of Directors of the Resulting Issuer following such effective date.</w:t>
      </w:r>
    </w:p>
    <w:p>
      <w:pPr>
        <w:spacing w:after="0" w:line="182"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Law</w:t>
      </w:r>
      <w:r>
        <w:rPr>
          <w:rFonts w:ascii="Times New Roman" w:cs="Times New Roman" w:eastAsia="Times New Roman" w:hAnsi="Times New Roman"/>
          <w:sz w:val="18"/>
          <w:szCs w:val="18"/>
          <w:color w:val="auto"/>
        </w:rPr>
        <w:t>” has the meaning set forth in Section 5.8(a).</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Law Amendment</w:t>
      </w:r>
      <w:r>
        <w:rPr>
          <w:rFonts w:ascii="Times New Roman" w:cs="Times New Roman" w:eastAsia="Times New Roman" w:hAnsi="Times New Roman"/>
          <w:sz w:val="18"/>
          <w:szCs w:val="18"/>
          <w:color w:val="auto"/>
        </w:rPr>
        <w:t>” has the meaning set forth in Section 5.8(b).</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Law Notice</w:t>
      </w:r>
      <w:r>
        <w:rPr>
          <w:rFonts w:ascii="Times New Roman" w:cs="Times New Roman" w:eastAsia="Times New Roman" w:hAnsi="Times New Roman"/>
          <w:sz w:val="18"/>
          <w:szCs w:val="18"/>
          <w:color w:val="auto"/>
        </w:rPr>
        <w:t>” has the meaning set forth in Section 5.8(a).</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Period</w:t>
      </w:r>
      <w:r>
        <w:rPr>
          <w:rFonts w:ascii="Times New Roman" w:cs="Times New Roman" w:eastAsia="Times New Roman" w:hAnsi="Times New Roman"/>
          <w:sz w:val="18"/>
          <w:szCs w:val="18"/>
          <w:color w:val="auto"/>
        </w:rPr>
        <w:t>” has the meaning set forth in Section 5.8(b).</w:t>
      </w:r>
    </w:p>
    <w:p>
      <w:pPr>
        <w:spacing w:after="0" w:line="225" w:lineRule="exact"/>
        <w:rPr>
          <w:rFonts w:ascii="Times New Roman" w:cs="Times New Roman" w:eastAsia="Times New Roman" w:hAnsi="Times New Roman"/>
          <w:sz w:val="18"/>
          <w:szCs w:val="18"/>
          <w:color w:val="auto"/>
        </w:rPr>
      </w:pPr>
    </w:p>
    <w:p>
      <w:pPr>
        <w:ind w:left="325" w:right="340" w:hanging="325"/>
        <w:spacing w:after="0" w:line="262"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 “controlled by”, “controlling” and “under common control with”) means the possession,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or as trustee, executor or other legal representative, of the power to direct or cause the direction of the management and policies of a Person, whether through the ownership of voting securities, as trustee, executor or other legal representative, by contract or credit arrangement or otherwise.</w:t>
      </w:r>
    </w:p>
    <w:p>
      <w:pPr>
        <w:spacing w:after="0" w:line="176"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has the meaning set forth in Section 13.2.</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“Diamond Payment</w:t>
      </w:r>
      <w:r>
        <w:rPr>
          <w:rFonts w:ascii="Times New Roman" w:cs="Times New Roman" w:eastAsia="Times New Roman" w:hAnsi="Times New Roman"/>
          <w:sz w:val="18"/>
          <w:szCs w:val="18"/>
          <w:color w:val="auto"/>
        </w:rPr>
        <w:t>” has the meaning set forth in Section 8.3.</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has the meaning set forth in Section 14.1.</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has the meaning set forth in Section 14.2.</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“Designated Representatives</w:t>
      </w:r>
      <w:r>
        <w:rPr>
          <w:rFonts w:ascii="Times New Roman" w:cs="Times New Roman" w:eastAsia="Times New Roman" w:hAnsi="Times New Roman"/>
          <w:sz w:val="18"/>
          <w:szCs w:val="18"/>
          <w:color w:val="auto"/>
        </w:rPr>
        <w:t>” has the meaning set forth in Section 5.8(b).</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Termination Notice</w:t>
      </w:r>
      <w:r>
        <w:rPr>
          <w:rFonts w:ascii="Times New Roman" w:cs="Times New Roman" w:eastAsia="Times New Roman" w:hAnsi="Times New Roman"/>
          <w:sz w:val="18"/>
          <w:szCs w:val="18"/>
          <w:color w:val="auto"/>
        </w:rPr>
        <w:t>” has the meaning set forth in Section 14.2.</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November 1, 2019.</w:t>
      </w:r>
    </w:p>
    <w:p>
      <w:pPr>
        <w:spacing w:after="0" w:line="225" w:lineRule="exact"/>
        <w:rPr>
          <w:rFonts w:ascii="Times New Roman" w:cs="Times New Roman" w:eastAsia="Times New Roman" w:hAnsi="Times New Roman"/>
          <w:sz w:val="18"/>
          <w:szCs w:val="18"/>
          <w:color w:val="auto"/>
        </w:rPr>
      </w:pPr>
    </w:p>
    <w:p>
      <w:pPr>
        <w:ind w:left="325" w:right="80" w:hanging="325"/>
        <w:spacing w:after="0" w:line="255"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encumbrance of any kind whatever (registered or unregistered) and includes any 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mortgage, conditional sale, lien, hypothec, pledge, hypothecation, assignment, charge, security under section 426 or section 427 of the </w:t>
      </w:r>
      <w:r>
        <w:rPr>
          <w:rFonts w:ascii="Times New Roman" w:cs="Times New Roman" w:eastAsia="Times New Roman" w:hAnsi="Times New Roman"/>
          <w:sz w:val="18"/>
          <w:szCs w:val="18"/>
          <w:i w:val="1"/>
          <w:iCs w:val="1"/>
          <w:color w:val="auto"/>
        </w:rPr>
        <w:t xml:space="preserve">Bank Act </w:t>
      </w:r>
      <w:r>
        <w:rPr>
          <w:rFonts w:ascii="Times New Roman" w:cs="Times New Roman" w:eastAsia="Times New Roman" w:hAnsi="Times New Roman"/>
          <w:sz w:val="18"/>
          <w:szCs w:val="18"/>
          <w:color w:val="auto"/>
        </w:rPr>
        <w:t>(Canada), trust or deemed trust (whether contractual, statutory or otherwise arising), any adverse claim, or joint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any grant of any exclusive licence or sole licence, or any other right, option or claim of others of any kind whatever affecting the Products or the use of any thereof, any covenant or other agreement, restriction or limitation on the transfer of the Products or the use thereof, or a deposit by way of security or an easement, restrictive covenant, limitation, agreement or right of way, restriction, preferential arrangement, encroachment, burden or title reservation of any kind, or any rights or privileges capable of becoming any of the foregoing.</w:t>
      </w:r>
    </w:p>
    <w:p>
      <w:pPr>
        <w:spacing w:after="0" w:line="184" w:lineRule="exact"/>
        <w:rPr>
          <w:rFonts w:ascii="Times New Roman" w:cs="Times New Roman" w:eastAsia="Times New Roman" w:hAnsi="Times New Roman"/>
          <w:sz w:val="18"/>
          <w:szCs w:val="18"/>
          <w:color w:val="auto"/>
        </w:rPr>
      </w:pPr>
    </w:p>
    <w:p>
      <w:pPr>
        <w:ind w:left="325" w:right="40" w:hanging="325"/>
        <w:spacing w:after="0" w:line="286"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“Exceptional Circumstances</w:t>
      </w:r>
      <w:r>
        <w:rPr>
          <w:rFonts w:ascii="Times New Roman" w:cs="Times New Roman" w:eastAsia="Times New Roman" w:hAnsi="Times New Roman"/>
          <w:sz w:val="18"/>
          <w:szCs w:val="18"/>
          <w:color w:val="auto"/>
        </w:rPr>
        <w:t>” means a situation involving an inspection by a Governmental Authority and/or an emergency situation,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as a result of compliance with Applicable Laws and/or a Force Majeure event.</w:t>
      </w:r>
    </w:p>
    <w:p>
      <w:pPr>
        <w:spacing w:after="0" w:line="154"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“Expenses of the Recall</w:t>
      </w:r>
      <w:r>
        <w:rPr>
          <w:rFonts w:ascii="Times New Roman" w:cs="Times New Roman" w:eastAsia="Times New Roman" w:hAnsi="Times New Roman"/>
          <w:sz w:val="18"/>
          <w:szCs w:val="18"/>
          <w:color w:val="auto"/>
        </w:rPr>
        <w:t>” has the meaning set forth in Section 10.1.</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“Excess Capacity</w:t>
      </w:r>
      <w:r>
        <w:rPr>
          <w:rFonts w:ascii="Times New Roman" w:cs="Times New Roman" w:eastAsia="Times New Roman" w:hAnsi="Times New Roman"/>
          <w:sz w:val="18"/>
          <w:szCs w:val="18"/>
          <w:color w:val="auto"/>
        </w:rPr>
        <w:t>” has the meaning set forth in Section 2.3(i).</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“Excess Products</w:t>
      </w:r>
      <w:r>
        <w:rPr>
          <w:rFonts w:ascii="Times New Roman" w:cs="Times New Roman" w:eastAsia="Times New Roman" w:hAnsi="Times New Roman"/>
          <w:sz w:val="18"/>
          <w:szCs w:val="18"/>
          <w:color w:val="auto"/>
        </w:rPr>
        <w:t>” has the meaning set forth in Section 2.3(i).</w:t>
      </w:r>
    </w:p>
    <w:p>
      <w:pPr>
        <w:spacing w:after="0" w:line="225" w:lineRule="exact"/>
        <w:rPr>
          <w:rFonts w:ascii="Times New Roman" w:cs="Times New Roman" w:eastAsia="Times New Roman" w:hAnsi="Times New Roman"/>
          <w:sz w:val="18"/>
          <w:szCs w:val="18"/>
          <w:color w:val="auto"/>
        </w:rPr>
      </w:pPr>
    </w:p>
    <w:p>
      <w:pPr>
        <w:ind w:left="325" w:right="380" w:hanging="325"/>
        <w:spacing w:after="0" w:line="286"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“Flower</w:t>
      </w:r>
      <w:r>
        <w:rPr>
          <w:rFonts w:ascii="Times New Roman" w:cs="Times New Roman" w:eastAsia="Times New Roman" w:hAnsi="Times New Roman"/>
          <w:sz w:val="18"/>
          <w:szCs w:val="18"/>
          <w:color w:val="auto"/>
        </w:rPr>
        <w:t>” means Products that are dried cannabis flower (includes all commercial grades but does not include Gradeout, Trim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Shake).</w:t>
      </w:r>
    </w:p>
    <w:p>
      <w:pPr>
        <w:spacing w:after="0" w:line="154" w:lineRule="exact"/>
        <w:rPr>
          <w:rFonts w:ascii="Times New Roman" w:cs="Times New Roman" w:eastAsia="Times New Roman" w:hAnsi="Times New Roman"/>
          <w:sz w:val="18"/>
          <w:szCs w:val="18"/>
          <w:color w:val="auto"/>
        </w:rPr>
      </w:pPr>
    </w:p>
    <w:p>
      <w:pPr>
        <w:ind w:left="325" w:right="80" w:hanging="325"/>
        <w:spacing w:after="0" w:line="286"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“FOB</w:t>
      </w:r>
      <w:r>
        <w:rPr>
          <w:rFonts w:ascii="Times New Roman" w:cs="Times New Roman" w:eastAsia="Times New Roman" w:hAnsi="Times New Roman"/>
          <w:sz w:val="18"/>
          <w:szCs w:val="18"/>
          <w:color w:val="auto"/>
        </w:rPr>
        <w:t>” means freight on board, where upon shipment, the cosignor (or the shipper’s agent) is liable for loss or damage to the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Product is received at its destination.</w:t>
      </w:r>
    </w:p>
    <w:p>
      <w:pPr>
        <w:spacing w:after="0" w:line="154"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has the meaning set forth in Section 11.1.</w:t>
      </w:r>
    </w:p>
    <w:p>
      <w:pPr>
        <w:spacing w:after="0" w:line="225" w:lineRule="exact"/>
        <w:rPr>
          <w:rFonts w:ascii="Times New Roman" w:cs="Times New Roman" w:eastAsia="Times New Roman" w:hAnsi="Times New Roman"/>
          <w:sz w:val="18"/>
          <w:szCs w:val="18"/>
          <w:color w:val="auto"/>
        </w:rPr>
      </w:pPr>
    </w:p>
    <w:p>
      <w:pPr>
        <w:ind w:left="325" w:hanging="325"/>
        <w:spacing w:after="0" w:line="286"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“Fresh Bud</w:t>
      </w:r>
      <w:r>
        <w:rPr>
          <w:rFonts w:ascii="Times New Roman" w:cs="Times New Roman" w:eastAsia="Times New Roman" w:hAnsi="Times New Roman"/>
          <w:sz w:val="18"/>
          <w:szCs w:val="18"/>
          <w:color w:val="auto"/>
        </w:rPr>
        <w:t>” means Products that are harvested and are still measured as wet. For the purposes of this agreement, Fresh Bud is only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sold as part of a Trial Lot or as fresh frozen material designated for extraction purposes.</w:t>
      </w:r>
    </w:p>
    <w:p>
      <w:pPr>
        <w:spacing w:after="0" w:line="154"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Production Practices</w:t>
      </w:r>
      <w:r>
        <w:rPr>
          <w:rFonts w:ascii="Times New Roman" w:cs="Times New Roman" w:eastAsia="Times New Roman" w:hAnsi="Times New Roman"/>
          <w:sz w:val="18"/>
          <w:szCs w:val="18"/>
          <w:color w:val="auto"/>
        </w:rPr>
        <w:t>” means those good production practices and quality system rules set forth in Applicable Laws.</w:t>
      </w:r>
    </w:p>
    <w:p>
      <w:pPr>
        <w:sectPr>
          <w:pgSz w:w="11900" w:h="16838" w:orient="portrait"/>
          <w:cols w:equalWidth="0" w:num="1">
            <w:col w:w="10085"/>
          </w:cols>
          <w:pgMar w:left="1435" w:top="121" w:right="379" w:bottom="0" w:gutter="0" w:footer="0" w:header="0"/>
        </w:sectPr>
      </w:pPr>
    </w:p>
    <w:bookmarkStart w:id="74" w:name="page75"/>
    <w:bookmarkEnd w:id="74"/>
    <w:p>
      <w:pPr>
        <w:ind w:left="325" w:right="100" w:hanging="325"/>
        <w:spacing w:after="0" w:line="259"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(i) any court, judicial body, tribunal or arbitral body, (ii) any domestic government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 federal, provincial, territorial, state, municipal or local and any governmental agency, governmental authority, governmental tribunal or governmental commission of any kind whatever, (iii) any subdivision or authority of any of the foregoing, (iv) any quasi-governmental or private body exercising any regulatory, expropriation or taxing authority under or for the account of any of the above, (v)deleted, and (vi) any stock exchange, and for clarity, includes any Canadian Regulatory Authority.</w:t>
      </w:r>
    </w:p>
    <w:p>
      <w:pPr>
        <w:spacing w:after="0" w:line="179"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“Gradeout</w:t>
      </w:r>
      <w:r>
        <w:rPr>
          <w:rFonts w:ascii="Times New Roman" w:cs="Times New Roman" w:eastAsia="Times New Roman" w:hAnsi="Times New Roman"/>
          <w:sz w:val="18"/>
          <w:szCs w:val="18"/>
          <w:color w:val="auto"/>
        </w:rPr>
        <w:t>” means Products that are Grade Out (as set out in the Quality Agreement).</w:t>
      </w:r>
    </w:p>
    <w:p>
      <w:pPr>
        <w:spacing w:after="0" w:line="225" w:lineRule="exact"/>
        <w:rPr>
          <w:rFonts w:ascii="Times New Roman" w:cs="Times New Roman" w:eastAsia="Times New Roman" w:hAnsi="Times New Roman"/>
          <w:sz w:val="18"/>
          <w:szCs w:val="18"/>
          <w:color w:val="auto"/>
        </w:rPr>
      </w:pPr>
    </w:p>
    <w:p>
      <w:pPr>
        <w:ind w:left="325" w:right="60" w:hanging="325"/>
        <w:spacing w:after="0" w:line="286"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and the term “including” shall not be construed to limit any general statement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follows to the specific or similar items or matters immediately following it.</w:t>
      </w:r>
    </w:p>
    <w:p>
      <w:pPr>
        <w:spacing w:after="0" w:line="154"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13.4.</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set forth in Section 13.4.</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Laboratory</w:t>
      </w:r>
      <w:r>
        <w:rPr>
          <w:rFonts w:ascii="Times New Roman" w:cs="Times New Roman" w:eastAsia="Times New Roman" w:hAnsi="Times New Roman"/>
          <w:sz w:val="18"/>
          <w:szCs w:val="18"/>
          <w:color w:val="auto"/>
        </w:rPr>
        <w:t>” has the meaning set forth in Section 6.3.</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“Litigious Dispute</w:t>
      </w:r>
      <w:r>
        <w:rPr>
          <w:rFonts w:ascii="Times New Roman" w:cs="Times New Roman" w:eastAsia="Times New Roman" w:hAnsi="Times New Roman"/>
          <w:sz w:val="18"/>
          <w:szCs w:val="18"/>
          <w:color w:val="auto"/>
        </w:rPr>
        <w:t>” has the meaning set forth in Section 15.1.</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has the meaning set forth in Section 14.2.</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has the meaning set forth in Section 15.1.</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“Optional Change</w:t>
      </w:r>
      <w:r>
        <w:rPr>
          <w:rFonts w:ascii="Times New Roman" w:cs="Times New Roman" w:eastAsia="Times New Roman" w:hAnsi="Times New Roman"/>
          <w:sz w:val="18"/>
          <w:szCs w:val="18"/>
          <w:color w:val="auto"/>
        </w:rPr>
        <w:t>” has the meaning set forth in Section 6.6.</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“Original Supply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each has the respective meanings given to such term in the recitals to this Agreement.</w:t>
      </w:r>
    </w:p>
    <w:p>
      <w:pPr>
        <w:spacing w:after="0" w:line="225" w:lineRule="exact"/>
        <w:rPr>
          <w:rFonts w:ascii="Times New Roman" w:cs="Times New Roman" w:eastAsia="Times New Roman" w:hAnsi="Times New Roman"/>
          <w:sz w:val="18"/>
          <w:szCs w:val="18"/>
          <w:color w:val="auto"/>
        </w:rPr>
      </w:pPr>
    </w:p>
    <w:p>
      <w:pPr>
        <w:ind w:left="325" w:right="420" w:hanging="325"/>
        <w:spacing w:after="0" w:line="268"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general partnership, limited partnership, unincorporated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unincorporated syndicate, unincorporated organization, trust, body corporate, and a natural person in his or her capacity as trustee, executor, administrator or other legal representative.</w:t>
      </w:r>
    </w:p>
    <w:p>
      <w:pPr>
        <w:spacing w:after="0" w:line="17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“Price Per Gram</w:t>
      </w:r>
      <w:r>
        <w:rPr>
          <w:rFonts w:ascii="Times New Roman" w:cs="Times New Roman" w:eastAsia="Times New Roman" w:hAnsi="Times New Roman"/>
          <w:sz w:val="18"/>
          <w:szCs w:val="18"/>
          <w:color w:val="auto"/>
        </w:rPr>
        <w:t>” has the meaning set forth in Section 8.1.</w:t>
      </w:r>
    </w:p>
    <w:p>
      <w:pPr>
        <w:spacing w:after="0" w:line="225" w:lineRule="exact"/>
        <w:rPr>
          <w:rFonts w:ascii="Times New Roman" w:cs="Times New Roman" w:eastAsia="Times New Roman" w:hAnsi="Times New Roman"/>
          <w:sz w:val="18"/>
          <w:szCs w:val="18"/>
          <w:color w:val="auto"/>
        </w:rPr>
      </w:pPr>
    </w:p>
    <w:p>
      <w:pPr>
        <w:ind w:left="325" w:right="20" w:hanging="325"/>
        <w:spacing w:after="0" w:line="262"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means cannabis products derived from Rooted Cuttings supplied to Aphria by Aphria Diamond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which are delivered either as (i) cannabis plants; or (ii) harvested, irradiated and tested dried cannabis, and for certainty, Product does not include Rooted Cuttings, and for further certainty, Product will be further specified as being either (A) Flower, (B) Shake, (C) Gradeout, (D) Trim, or (E) Fresh Bud.</w:t>
      </w:r>
    </w:p>
    <w:p>
      <w:pPr>
        <w:spacing w:after="0" w:line="176"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Orders</w:t>
      </w:r>
      <w:r>
        <w:rPr>
          <w:rFonts w:ascii="Times New Roman" w:cs="Times New Roman" w:eastAsia="Times New Roman" w:hAnsi="Times New Roman"/>
          <w:sz w:val="18"/>
          <w:szCs w:val="18"/>
          <w:color w:val="auto"/>
        </w:rPr>
        <w:t>” has the meaning set forth in Section 7.1.</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has the meaning set forth in Section 9.2.</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“Rejected Product(s)</w:t>
      </w:r>
      <w:r>
        <w:rPr>
          <w:rFonts w:ascii="Times New Roman" w:cs="Times New Roman" w:eastAsia="Times New Roman" w:hAnsi="Times New Roman"/>
          <w:sz w:val="18"/>
          <w:szCs w:val="18"/>
          <w:color w:val="auto"/>
        </w:rPr>
        <w:t>” has the meaning set forth in Section 6.2.</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Change</w:t>
      </w:r>
      <w:r>
        <w:rPr>
          <w:rFonts w:ascii="Times New Roman" w:cs="Times New Roman" w:eastAsia="Times New Roman" w:hAnsi="Times New Roman"/>
          <w:sz w:val="18"/>
          <w:szCs w:val="18"/>
          <w:color w:val="auto"/>
        </w:rPr>
        <w:t>” has the meaning set forth in Section 6.6.</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“Rooted Cuttings</w:t>
      </w:r>
      <w:r>
        <w:rPr>
          <w:rFonts w:ascii="Times New Roman" w:cs="Times New Roman" w:eastAsia="Times New Roman" w:hAnsi="Times New Roman"/>
          <w:sz w:val="18"/>
          <w:szCs w:val="18"/>
          <w:color w:val="auto"/>
        </w:rPr>
        <w:t>” means cannabis rooted cuttings, clippings and other starting genetic materials.</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has the meaning set forth in Section 15.2.</w:t>
      </w:r>
    </w:p>
    <w:p>
      <w:pPr>
        <w:spacing w:after="0" w:line="225" w:lineRule="exact"/>
        <w:rPr>
          <w:rFonts w:ascii="Times New Roman" w:cs="Times New Roman" w:eastAsia="Times New Roman" w:hAnsi="Times New Roman"/>
          <w:sz w:val="18"/>
          <w:szCs w:val="18"/>
          <w:color w:val="auto"/>
        </w:rPr>
      </w:pPr>
    </w:p>
    <w:p>
      <w:pPr>
        <w:ind w:left="325" w:hanging="325"/>
        <w:spacing w:after="0" w:line="262"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 Data</w:t>
      </w:r>
      <w:r>
        <w:rPr>
          <w:rFonts w:ascii="Times New Roman" w:cs="Times New Roman" w:eastAsia="Times New Roman" w:hAnsi="Times New Roman"/>
          <w:sz w:val="18"/>
          <w:szCs w:val="18"/>
          <w:color w:val="auto"/>
        </w:rPr>
        <w:t>” means information required to be reported to a Governmental Authority relating to the safety of a Product,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noxious and unintended response to a Product experienced by a customer, any response that requires in-patient hospitalization or prolongation of existing hospitalization, causes congenital malformation, is persistent or causes significant disability or incapacity, is life-threatening or results in death.</w:t>
      </w:r>
    </w:p>
    <w:p>
      <w:pPr>
        <w:spacing w:after="0" w:line="176"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 Off Invoice</w:t>
      </w:r>
      <w:r>
        <w:rPr>
          <w:rFonts w:ascii="Times New Roman" w:cs="Times New Roman" w:eastAsia="Times New Roman" w:hAnsi="Times New Roman"/>
          <w:sz w:val="18"/>
          <w:szCs w:val="18"/>
          <w:color w:val="auto"/>
        </w:rPr>
        <w:t>” has the meaning set forth in Section 8.3.</w:t>
      </w:r>
    </w:p>
    <w:p>
      <w:pPr>
        <w:spacing w:after="0" w:line="225" w:lineRule="exact"/>
        <w:rPr>
          <w:rFonts w:ascii="Times New Roman" w:cs="Times New Roman" w:eastAsia="Times New Roman" w:hAnsi="Times New Roman"/>
          <w:sz w:val="18"/>
          <w:szCs w:val="18"/>
          <w:color w:val="auto"/>
        </w:rPr>
      </w:pPr>
    </w:p>
    <w:p>
      <w:pPr>
        <w:ind w:left="325" w:right="160" w:hanging="325"/>
        <w:spacing w:after="0" w:line="269" w:lineRule="auto"/>
        <w:tabs>
          <w:tab w:leader="none" w:pos="32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“Specifications</w:t>
      </w:r>
      <w:r>
        <w:rPr>
          <w:rFonts w:ascii="Times New Roman" w:cs="Times New Roman" w:eastAsia="Times New Roman" w:hAnsi="Times New Roman"/>
          <w:sz w:val="17"/>
          <w:szCs w:val="17"/>
          <w:color w:val="auto"/>
        </w:rPr>
        <w:t>” includes for each Product: (i) material and component specifications (including approved Aphria Diamond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distributors; physical, chemical and microbiological specifications, as appropriate); (ii) labeling specifications (including physical attributes); (iii) sampling requirements (including quantities required for physical, chemical, microbiological testing); (iv) production and cultivation requirements, including processing and equipment requirements; (v) in-process control specifications (as appropriate); (vi) packaging requirements, including processing and equipment requirements; (vii) finished product release requirements (including identity, purity, quantity, potency, testing, testing methodology, equipment requirements, and release specifications); (viii) stability specifications (including storage conditions, testing methodology and equipment requirements); (ix) record-keeping standards (including master production documents, list of ingredients or processes undergone by the Products, materials used in the cultivation, testing performing, lot and batch tracking, sanitation program); and (x) such other analysis as may be reasonably requested in writing by Aphria, including phenotype analysis. Specifications for the Products are set forth in Schedule A, as may be amended from time to time in accordance with this Agreement. The Specifications include that all Products must comply with all Canadian Regulatory Approvals, Good Production Practices and also be consistent with Applicable Laws, as appropriate.</w:t>
      </w:r>
    </w:p>
    <w:p>
      <w:pPr>
        <w:spacing w:after="0" w:line="178" w:lineRule="exact"/>
        <w:rPr>
          <w:rFonts w:ascii="Times New Roman" w:cs="Times New Roman" w:eastAsia="Times New Roman" w:hAnsi="Times New Roman"/>
          <w:sz w:val="17"/>
          <w:szCs w:val="17"/>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“Shake</w:t>
      </w:r>
      <w:r>
        <w:rPr>
          <w:rFonts w:ascii="Times New Roman" w:cs="Times New Roman" w:eastAsia="Times New Roman" w:hAnsi="Times New Roman"/>
          <w:sz w:val="18"/>
          <w:szCs w:val="18"/>
          <w:color w:val="auto"/>
        </w:rPr>
        <w:t>” means Products as commonly understood in the cannabis industry to be shake, but “</w:t>
      </w:r>
      <w:r>
        <w:rPr>
          <w:rFonts w:ascii="Times New Roman" w:cs="Times New Roman" w:eastAsia="Times New Roman" w:hAnsi="Times New Roman"/>
          <w:sz w:val="18"/>
          <w:szCs w:val="18"/>
          <w:b w:val="1"/>
          <w:bCs w:val="1"/>
          <w:color w:val="auto"/>
        </w:rPr>
        <w:t>Shake</w:t>
      </w:r>
      <w:r>
        <w:rPr>
          <w:rFonts w:ascii="Times New Roman" w:cs="Times New Roman" w:eastAsia="Times New Roman" w:hAnsi="Times New Roman"/>
          <w:sz w:val="18"/>
          <w:szCs w:val="18"/>
          <w:color w:val="auto"/>
        </w:rPr>
        <w:t>” specifically excludes Trim.</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3.</w:t>
      </w:r>
    </w:p>
    <w:p>
      <w:pPr>
        <w:sectPr>
          <w:pgSz w:w="11900" w:h="16838" w:orient="portrait"/>
          <w:cols w:equalWidth="0" w:num="1">
            <w:col w:w="10125"/>
          </w:cols>
          <w:pgMar w:left="1435" w:top="117" w:right="339" w:bottom="0" w:gutter="0" w:footer="0" w:header="0"/>
        </w:sectPr>
      </w:pPr>
    </w:p>
    <w:bookmarkStart w:id="75" w:name="page76"/>
    <w:bookmarkEnd w:id="75"/>
    <w:p>
      <w:pPr>
        <w:ind w:left="771" w:hanging="325"/>
        <w:spacing w:after="0"/>
        <w:tabs>
          <w:tab w:leader="none" w:pos="7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has the meaning set forth in Section 13.4.</w:t>
      </w:r>
    </w:p>
    <w:p>
      <w:pPr>
        <w:spacing w:after="0" w:line="225" w:lineRule="exact"/>
        <w:rPr>
          <w:rFonts w:ascii="Times New Roman" w:cs="Times New Roman" w:eastAsia="Times New Roman" w:hAnsi="Times New Roman"/>
          <w:sz w:val="18"/>
          <w:szCs w:val="18"/>
          <w:color w:val="auto"/>
        </w:rPr>
      </w:pPr>
    </w:p>
    <w:p>
      <w:pPr>
        <w:ind w:left="771" w:right="220" w:hanging="325"/>
        <w:spacing w:after="0" w:line="286" w:lineRule="auto"/>
        <w:tabs>
          <w:tab w:leader="none" w:pos="7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“Trial Lot</w:t>
      </w:r>
      <w:r>
        <w:rPr>
          <w:rFonts w:ascii="Times New Roman" w:cs="Times New Roman" w:eastAsia="Times New Roman" w:hAnsi="Times New Roman"/>
          <w:sz w:val="18"/>
          <w:szCs w:val="18"/>
          <w:color w:val="auto"/>
        </w:rPr>
        <w:t>” means fresh plant cuttings derived from Rooted Cuttings that are to be sold to Aphria at cost with the understanding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Trial Lot is not to be sold to a third party but to be used by Aphria to perform research and development at its own cost.</w:t>
      </w:r>
    </w:p>
    <w:p>
      <w:pPr>
        <w:spacing w:after="0" w:line="154" w:lineRule="exact"/>
        <w:rPr>
          <w:rFonts w:ascii="Times New Roman" w:cs="Times New Roman" w:eastAsia="Times New Roman" w:hAnsi="Times New Roman"/>
          <w:sz w:val="18"/>
          <w:szCs w:val="18"/>
          <w:color w:val="auto"/>
        </w:rPr>
      </w:pPr>
    </w:p>
    <w:p>
      <w:pPr>
        <w:ind w:left="771" w:right="360" w:hanging="325"/>
        <w:spacing w:after="0" w:line="286" w:lineRule="auto"/>
        <w:tabs>
          <w:tab w:leader="none" w:pos="7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“Trim</w:t>
      </w:r>
      <w:r>
        <w:rPr>
          <w:rFonts w:ascii="Times New Roman" w:cs="Times New Roman" w:eastAsia="Times New Roman" w:hAnsi="Times New Roman"/>
          <w:sz w:val="18"/>
          <w:szCs w:val="18"/>
          <w:color w:val="auto"/>
        </w:rPr>
        <w:t>” means Products generated from the cannabis trimming process and includes stems, dried leaves and sugar buds. Harvested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Trim from all Products is to be considered Excess Product.</w:t>
      </w:r>
    </w:p>
    <w:p>
      <w:pPr>
        <w:spacing w:after="0" w:line="154" w:lineRule="exact"/>
        <w:rPr>
          <w:rFonts w:ascii="Times New Roman" w:cs="Times New Roman" w:eastAsia="Times New Roman" w:hAnsi="Times New Roman"/>
          <w:sz w:val="18"/>
          <w:szCs w:val="18"/>
          <w:color w:val="auto"/>
        </w:rPr>
      </w:pPr>
    </w:p>
    <w:p>
      <w:pPr>
        <w:ind w:left="771" w:hanging="325"/>
        <w:spacing w:after="0"/>
        <w:tabs>
          <w:tab w:leader="none" w:pos="7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“Trim Premium</w:t>
      </w:r>
      <w:r>
        <w:rPr>
          <w:rFonts w:ascii="Times New Roman" w:cs="Times New Roman" w:eastAsia="Times New Roman" w:hAnsi="Times New Roman"/>
          <w:sz w:val="18"/>
          <w:szCs w:val="18"/>
          <w:color w:val="auto"/>
        </w:rPr>
        <w:t>” has the meaning set forth in Section 8.1.</w:t>
      </w:r>
    </w:p>
    <w:p>
      <w:pPr>
        <w:spacing w:after="0" w:line="225"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SUPPLY OF PRODUCTSAND ROOTED CUTTINGS</w:t>
      </w:r>
    </w:p>
    <w:p>
      <w:pPr>
        <w:spacing w:after="0" w:line="229" w:lineRule="exact"/>
        <w:rPr>
          <w:rFonts w:ascii="Times New Roman" w:cs="Times New Roman" w:eastAsia="Times New Roman" w:hAnsi="Times New Roman"/>
          <w:sz w:val="18"/>
          <w:szCs w:val="18"/>
          <w:color w:val="auto"/>
        </w:rPr>
      </w:pPr>
    </w:p>
    <w:p>
      <w:pPr>
        <w:ind w:left="971" w:hanging="323"/>
        <w:spacing w:after="0"/>
        <w:tabs>
          <w:tab w:leader="none" w:pos="971"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Products by Aphria Diamond:</w:t>
      </w:r>
    </w:p>
    <w:p>
      <w:pPr>
        <w:spacing w:after="0" w:line="225" w:lineRule="exact"/>
        <w:rPr>
          <w:rFonts w:ascii="Times New Roman" w:cs="Times New Roman" w:eastAsia="Times New Roman" w:hAnsi="Times New Roman"/>
          <w:sz w:val="18"/>
          <w:szCs w:val="18"/>
          <w:color w:val="auto"/>
        </w:rPr>
      </w:pPr>
    </w:p>
    <w:p>
      <w:pPr>
        <w:ind w:left="1751" w:right="160" w:hanging="333"/>
        <w:spacing w:after="0" w:line="266" w:lineRule="auto"/>
        <w:tabs>
          <w:tab w:leader="none" w:pos="1751"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subject to the terms and conditions hereof, Aphria Diamond agrees that it shall supply Products set out in Purchase Orders accepted by Aphria Diamond, to Aphria, on an exclusive basis, and Aphria agrees that it shall purchase Products from Aphria Diamond on a non-exclusive basis, as of and with effect from the Effective Date.</w:t>
      </w:r>
    </w:p>
    <w:p>
      <w:pPr>
        <w:spacing w:after="0" w:line="175" w:lineRule="exact"/>
        <w:rPr>
          <w:rFonts w:ascii="Times New Roman" w:cs="Times New Roman" w:eastAsia="Times New Roman" w:hAnsi="Times New Roman"/>
          <w:sz w:val="18"/>
          <w:szCs w:val="18"/>
          <w:color w:val="auto"/>
        </w:rPr>
      </w:pPr>
    </w:p>
    <w:p>
      <w:pPr>
        <w:ind w:left="1691" w:hanging="327"/>
        <w:spacing w:after="0" w:line="266" w:lineRule="auto"/>
        <w:tabs>
          <w:tab w:leader="none" w:pos="1691"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agrees that it will purchase: (a) 100% of the Flower, Shake and Gradeout produced by Aphria Diamond and (b) all of the other Products, if any, produced by Aphria Diamond; in each case, to the extent set out in a Purchase Order provided by Aphria and accepted by Aphria Diamond from time to time.</w:t>
      </w:r>
    </w:p>
    <w:p>
      <w:pPr>
        <w:spacing w:after="0" w:line="175" w:lineRule="exact"/>
        <w:rPr>
          <w:rFonts w:ascii="Times New Roman" w:cs="Times New Roman" w:eastAsia="Times New Roman" w:hAnsi="Times New Roman"/>
          <w:sz w:val="18"/>
          <w:szCs w:val="18"/>
          <w:color w:val="auto"/>
        </w:rPr>
      </w:pPr>
    </w:p>
    <w:p>
      <w:pPr>
        <w:ind w:left="1631" w:hanging="321"/>
        <w:spacing w:after="0"/>
        <w:tabs>
          <w:tab w:leader="none" w:pos="1631"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acknowledges that the Product being received is in a bulk state and has not undergone a final grading process.</w:t>
      </w:r>
    </w:p>
    <w:p>
      <w:pPr>
        <w:spacing w:after="0" w:line="225" w:lineRule="exact"/>
        <w:rPr>
          <w:rFonts w:ascii="Times New Roman" w:cs="Times New Roman" w:eastAsia="Times New Roman" w:hAnsi="Times New Roman"/>
          <w:sz w:val="18"/>
          <w:szCs w:val="18"/>
          <w:color w:val="auto"/>
        </w:rPr>
      </w:pPr>
    </w:p>
    <w:p>
      <w:pPr>
        <w:ind w:left="1671" w:hanging="334"/>
        <w:spacing w:after="0" w:line="312" w:lineRule="auto"/>
        <w:tabs>
          <w:tab w:leader="none" w:pos="1671" w:val="left"/>
        </w:tabs>
        <w:numPr>
          <w:ilvl w:val="3"/>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Aphria Diamond is liable for waste product identified as part of the final grading process conducted in accordance with this Agreement and final billing for the Products will be on a net basis of waste product identified as part of the final grading.</w:t>
      </w:r>
    </w:p>
    <w:p>
      <w:pPr>
        <w:spacing w:after="0" w:line="139" w:lineRule="exact"/>
        <w:rPr>
          <w:rFonts w:ascii="Times New Roman" w:cs="Times New Roman" w:eastAsia="Times New Roman" w:hAnsi="Times New Roman"/>
          <w:sz w:val="17"/>
          <w:szCs w:val="17"/>
          <w:color w:val="auto"/>
        </w:rPr>
      </w:pPr>
    </w:p>
    <w:p>
      <w:pPr>
        <w:ind w:left="1711" w:right="60" w:hanging="320"/>
        <w:spacing w:after="0" w:line="282" w:lineRule="auto"/>
        <w:tabs>
          <w:tab w:leader="none" w:pos="1711"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agrees that it will not resell any Products supplied by Aphria Diamond as Trial Lots, including any Fresh Bud, and that such Products will be used by Aphria solely for purposes of research and development.</w:t>
      </w:r>
    </w:p>
    <w:p>
      <w:pPr>
        <w:spacing w:after="0" w:line="161" w:lineRule="exact"/>
        <w:rPr>
          <w:rFonts w:ascii="Times New Roman" w:cs="Times New Roman" w:eastAsia="Times New Roman" w:hAnsi="Times New Roman"/>
          <w:sz w:val="18"/>
          <w:szCs w:val="18"/>
          <w:color w:val="auto"/>
        </w:rPr>
      </w:pPr>
    </w:p>
    <w:p>
      <w:pPr>
        <w:ind w:left="2371" w:hanging="332"/>
        <w:spacing w:after="0"/>
        <w:tabs>
          <w:tab w:leader="none" w:pos="2371" w:val="left"/>
        </w:tabs>
        <w:numPr>
          <w:ilvl w:val="4"/>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Rooted Cuttings by Aphria:</w:t>
      </w:r>
    </w:p>
    <w:p>
      <w:pPr>
        <w:spacing w:after="0" w:line="225" w:lineRule="exact"/>
        <w:rPr>
          <w:rFonts w:ascii="Times New Roman" w:cs="Times New Roman" w:eastAsia="Times New Roman" w:hAnsi="Times New Roman"/>
          <w:sz w:val="18"/>
          <w:szCs w:val="18"/>
          <w:color w:val="auto"/>
        </w:rPr>
      </w:pPr>
    </w:p>
    <w:p>
      <w:pPr>
        <w:ind w:left="3031" w:right="40" w:hanging="317"/>
        <w:spacing w:after="0" w:line="255" w:lineRule="auto"/>
        <w:tabs>
          <w:tab w:leader="none" w:pos="3031" w:val="left"/>
        </w:tabs>
        <w:numPr>
          <w:ilvl w:val="5"/>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supply Aphria Diamond with the Rooted Cuttings required by Aphria to be used for the cultivation of Products at the Aphria Diamond Facility and production of various strains, in each case, to the extent set out in a Purchase Order, as well as historical records on harvest yields by strain to be used by both Aphria Diamond and Aphria when performing applicable tests described in the Specifications and for the inspection of each lot of Products. Aphria Diamond will follow the grow plan established by Aphria for the cultivation and production of Products at the Aphria Diamond Facility and, for certainty, Aphria will have the final decision with respect to the timing of planting.</w:t>
      </w:r>
    </w:p>
    <w:p>
      <w:pPr>
        <w:spacing w:after="0" w:line="184" w:lineRule="exact"/>
        <w:rPr>
          <w:rFonts w:ascii="Times New Roman" w:cs="Times New Roman" w:eastAsia="Times New Roman" w:hAnsi="Times New Roman"/>
          <w:sz w:val="18"/>
          <w:szCs w:val="18"/>
          <w:color w:val="auto"/>
        </w:rPr>
      </w:pPr>
    </w:p>
    <w:p>
      <w:pPr>
        <w:ind w:left="2991" w:right="40" w:hanging="331"/>
        <w:spacing w:after="0" w:line="286" w:lineRule="auto"/>
        <w:tabs>
          <w:tab w:leader="none" w:pos="2991" w:val="left"/>
        </w:tabs>
        <w:numPr>
          <w:ilvl w:val="5"/>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Rooted Cuttings will be provided by Aphria on an “</w:t>
      </w:r>
      <w:r>
        <w:rPr>
          <w:rFonts w:ascii="Times New Roman" w:cs="Times New Roman" w:eastAsia="Times New Roman" w:hAnsi="Times New Roman"/>
          <w:sz w:val="18"/>
          <w:szCs w:val="18"/>
          <w:b w:val="1"/>
          <w:bCs w:val="1"/>
          <w:color w:val="auto"/>
        </w:rPr>
        <w:t>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WHERE-IS</w:t>
      </w:r>
      <w:r>
        <w:rPr>
          <w:rFonts w:ascii="Times New Roman" w:cs="Times New Roman" w:eastAsia="Times New Roman" w:hAnsi="Times New Roman"/>
          <w:sz w:val="18"/>
          <w:szCs w:val="18"/>
          <w:color w:val="auto"/>
        </w:rPr>
        <w:t>” basis and will be shipped at Aphria Diamond’s expense and be delivered FOB at Aphria’s Facility in Leamington.</w:t>
      </w:r>
    </w:p>
    <w:p>
      <w:pPr>
        <w:spacing w:after="0" w:line="158" w:lineRule="exact"/>
        <w:rPr>
          <w:rFonts w:ascii="Times New Roman" w:cs="Times New Roman" w:eastAsia="Times New Roman" w:hAnsi="Times New Roman"/>
          <w:sz w:val="18"/>
          <w:szCs w:val="18"/>
          <w:color w:val="auto"/>
        </w:rPr>
      </w:pPr>
    </w:p>
    <w:p>
      <w:pPr>
        <w:ind w:left="2931" w:right="80" w:hanging="325"/>
        <w:spacing w:after="0" w:line="258" w:lineRule="auto"/>
        <w:tabs>
          <w:tab w:leader="none" w:pos="2931" w:val="left"/>
        </w:tabs>
        <w:numPr>
          <w:ilvl w:val="5"/>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Diamond will have 5 days from the date of delivery of the Rooted Cuttings to accept or reject the Rooted Cuttings delivered by Aphria. Aphria Diamond may reject Rooted Cuttings for one of the following reasons: (a) visual inspection reveals the presence of mold or other physical defect that, if accepted and grown in the Aphria Diamond Facility, could contaminate other live plants; (b) the Rooted Cuttings do not conform to the specification provided with the Rooted Cuttings.</w:t>
      </w:r>
    </w:p>
    <w:p>
      <w:pPr>
        <w:spacing w:after="0" w:line="183" w:lineRule="exact"/>
        <w:rPr>
          <w:rFonts w:ascii="Times New Roman" w:cs="Times New Roman" w:eastAsia="Times New Roman" w:hAnsi="Times New Roman"/>
          <w:sz w:val="18"/>
          <w:szCs w:val="18"/>
          <w:color w:val="auto"/>
        </w:rPr>
      </w:pPr>
    </w:p>
    <w:p>
      <w:pPr>
        <w:ind w:left="2951" w:right="20" w:hanging="318"/>
        <w:spacing w:after="0" w:line="254" w:lineRule="auto"/>
        <w:tabs>
          <w:tab w:leader="none" w:pos="2951" w:val="left"/>
        </w:tabs>
        <w:numPr>
          <w:ilvl w:val="5"/>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Aphria Diamond rejects the Rooted Cuttings on the basis of any of the foregoing reasons, Aphria Diamond shall deliver a notice setting forth the reason for the rejection. Aphria shall promptly replace the Rooted Cuttings and deliver new Rooted Cuttings to Aphria Diamond. This shall be Aphria Diamond’s sole remedy with respect to the Rooted Cuttings. Rooted Cuttings will be deemed to be accepted by Aphria Diamond if there is no notice delivered to Aphria explicitly rejecting the Rooted Cuttings within 5 days of the date of delivery of the Rooted Cuttings to the Aphria Diamond Facility. Any dispute between the parties arising with respect to the quality or suitability of the Rooted Cuttings shall be resolved in accordance with the Section 6.3.</w:t>
      </w:r>
    </w:p>
    <w:p>
      <w:pPr>
        <w:spacing w:after="0" w:line="191" w:lineRule="exact"/>
        <w:rPr>
          <w:rFonts w:ascii="Times New Roman" w:cs="Times New Roman" w:eastAsia="Times New Roman" w:hAnsi="Times New Roman"/>
          <w:sz w:val="18"/>
          <w:szCs w:val="18"/>
          <w:color w:val="auto"/>
        </w:rPr>
      </w:pPr>
    </w:p>
    <w:p>
      <w:pPr>
        <w:ind w:left="2371" w:hanging="332"/>
        <w:spacing w:after="0"/>
        <w:tabs>
          <w:tab w:leader="none" w:pos="2371" w:val="left"/>
        </w:tabs>
        <w:numPr>
          <w:ilvl w:val="4"/>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Capacity</w:t>
      </w:r>
    </w:p>
    <w:p>
      <w:pPr>
        <w:spacing w:after="0" w:line="225" w:lineRule="exact"/>
        <w:rPr>
          <w:rFonts w:ascii="Times New Roman" w:cs="Times New Roman" w:eastAsia="Times New Roman" w:hAnsi="Times New Roman"/>
          <w:sz w:val="18"/>
          <w:szCs w:val="18"/>
          <w:color w:val="auto"/>
        </w:rPr>
      </w:pPr>
    </w:p>
    <w:p>
      <w:pPr>
        <w:ind w:left="3031" w:right="20" w:hanging="317"/>
        <w:spacing w:after="0" w:line="253" w:lineRule="auto"/>
        <w:tabs>
          <w:tab w:leader="none" w:pos="3031" w:val="left"/>
        </w:tabs>
        <w:numPr>
          <w:ilvl w:val="5"/>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Aphria Diamond, in its reasonable opinion, believes there will be un-utilized cultivation capacity at the Aphria Diamond Facility (“</w:t>
      </w:r>
      <w:r>
        <w:rPr>
          <w:rFonts w:ascii="Times New Roman" w:cs="Times New Roman" w:eastAsia="Times New Roman" w:hAnsi="Times New Roman"/>
          <w:sz w:val="18"/>
          <w:szCs w:val="18"/>
          <w:b w:val="1"/>
          <w:bCs w:val="1"/>
          <w:color w:val="auto"/>
        </w:rPr>
        <w:t>Excess Capacity</w:t>
      </w:r>
      <w:r>
        <w:rPr>
          <w:rFonts w:ascii="Times New Roman" w:cs="Times New Roman" w:eastAsia="Times New Roman" w:hAnsi="Times New Roman"/>
          <w:sz w:val="18"/>
          <w:szCs w:val="18"/>
          <w:color w:val="auto"/>
        </w:rPr>
        <w:t>”), then Aphria Diamond, acting reasonably, may elect to allocate Excess Capacity to cultivate and produce additional cannabis products at the Aphria Diamond Facility (“</w:t>
      </w:r>
      <w:r>
        <w:rPr>
          <w:rFonts w:ascii="Times New Roman" w:cs="Times New Roman" w:eastAsia="Times New Roman" w:hAnsi="Times New Roman"/>
          <w:sz w:val="18"/>
          <w:szCs w:val="18"/>
          <w:b w:val="1"/>
          <w:bCs w:val="1"/>
          <w:color w:val="auto"/>
        </w:rPr>
        <w:t>Excess Products</w:t>
      </w:r>
      <w:r>
        <w:rPr>
          <w:rFonts w:ascii="Times New Roman" w:cs="Times New Roman" w:eastAsia="Times New Roman" w:hAnsi="Times New Roman"/>
          <w:sz w:val="18"/>
          <w:szCs w:val="18"/>
          <w:color w:val="auto"/>
        </w:rPr>
        <w:t>”). Aphria covenants and agrees that it will allocate capacity for the cultivation of Products at the Aphria Diamond Facility in priority over capacity at any other Aphria cultivation facility, except if any of the following apply: (a) Aphria Diamond does not possess a Cannabis Licence or Canadian Regulatory Approval required for the cultivation, propagation, processing, possession, sale or distribution of such Product at the Aphria Diamond Facility or by Aphria Diamond or any certification; or (b) the Product is derived from a specific strain being grown, as of the Amendment Effective Date, for production at Redecan’s indoor growing facility located at 182 Foss Road, Fenwick, Ontario, L0S 1C0.</w:t>
      </w:r>
    </w:p>
    <w:p>
      <w:pPr>
        <w:spacing w:after="0" w:line="191" w:lineRule="exact"/>
        <w:rPr>
          <w:rFonts w:ascii="Times New Roman" w:cs="Times New Roman" w:eastAsia="Times New Roman" w:hAnsi="Times New Roman"/>
          <w:sz w:val="18"/>
          <w:szCs w:val="18"/>
          <w:color w:val="auto"/>
        </w:rPr>
      </w:pPr>
    </w:p>
    <w:p>
      <w:pPr>
        <w:ind w:left="2991" w:hanging="331"/>
        <w:spacing w:after="0" w:line="266" w:lineRule="auto"/>
        <w:tabs>
          <w:tab w:leader="none" w:pos="2991" w:val="left"/>
        </w:tabs>
        <w:numPr>
          <w:ilvl w:val="5"/>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Diamond may source Rooted Cuttings to support cultivation to fill any Excess Capacity from one or more third parties so long as doing so does not adversely impact the quality of or contaminate any cultivation or production allocated to the Products to be sold to Aphria hereunder.</w:t>
      </w:r>
    </w:p>
    <w:p>
      <w:pPr>
        <w:sectPr>
          <w:pgSz w:w="11900" w:h="16838" w:orient="portrait"/>
          <w:cols w:equalWidth="0" w:num="1">
            <w:col w:w="10551"/>
          </w:cols>
          <w:pgMar w:left="989" w:top="117" w:right="359" w:bottom="0" w:gutter="0" w:footer="0" w:header="0"/>
        </w:sectPr>
      </w:pPr>
    </w:p>
    <w:bookmarkStart w:id="76" w:name="page77"/>
    <w:bookmarkEnd w:id="76"/>
    <w:p>
      <w:pPr>
        <w:ind w:left="3440" w:right="300" w:hanging="325"/>
        <w:spacing w:after="0" w:line="261" w:lineRule="auto"/>
        <w:tabs>
          <w:tab w:leader="none" w:pos="3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not be obligated to purchase any Excess Products from Aphria Diamond. Any Excess Products supplied to Aphria by Aphria Diamond will be deemed to be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for purposes of the representations, warranties and covenants set forth in Sections 4, 5, 6, 7, 8.3, 9, 10, 13 and 16.7 of this Agreement.</w:t>
      </w:r>
    </w:p>
    <w:p>
      <w:pPr>
        <w:spacing w:after="0" w:line="179" w:lineRule="exact"/>
        <w:rPr>
          <w:rFonts w:ascii="Times New Roman" w:cs="Times New Roman" w:eastAsia="Times New Roman" w:hAnsi="Times New Roman"/>
          <w:sz w:val="18"/>
          <w:szCs w:val="18"/>
          <w:color w:val="auto"/>
        </w:rPr>
      </w:pPr>
    </w:p>
    <w:p>
      <w:pPr>
        <w:ind w:left="3460" w:right="140" w:hanging="318"/>
        <w:spacing w:after="0" w:line="261" w:lineRule="auto"/>
        <w:tabs>
          <w:tab w:leader="none" w:pos="3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2.1(i), Aphria Diamond may from time to time sell Excess Products to third parties on the open market so long as doing so does not impede, interfere with or otherwise derogate from the performance of its obligations hereunder, including, without limitation, its obligation to supply Aphria with Products conforming to the Specifications.</w:t>
      </w:r>
    </w:p>
    <w:p>
      <w:pPr>
        <w:spacing w:after="0" w:line="176" w:lineRule="exact"/>
        <w:rPr>
          <w:sz w:val="20"/>
          <w:szCs w:val="20"/>
          <w:color w:val="auto"/>
        </w:rPr>
      </w:pPr>
    </w:p>
    <w:p>
      <w:pPr>
        <w:ind w:left="840" w:hanging="331"/>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earlier terminated in accordance with the terms hereof, this Agreement shall be for a term commencing on the Effective Date and expiring on the date that is one hundred and twenty (120) months from the Amendment Effective Date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40" w:hanging="331"/>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80" w:right="160" w:hanging="323"/>
        <w:spacing w:after="0" w:line="261" w:lineRule="auto"/>
        <w:tabs>
          <w:tab w:leader="none" w:pos="1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use commercially reasonable efforts to prepare, submit, obtain and maintain, any of its own required Canadian Regulatory Approval and any other approvals necessary for such Party to use, possess, process, package/label, test, import, export, sell, deliver, transport, distribute and destroy the Products at the applicable Aphria or Aphria Diamond Facility, as the case may be, in accordance with this Agreement and Applicable Laws.</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Safety Data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80" w:right="80" w:hanging="331"/>
        <w:spacing w:after="0" w:line="266"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Safety Data exists in respect of any Product, Aphria shall be entitled to, and shall be provided with reasonable access to, all such Safety Data for such Product. Aphria may use any Safety Data in respect of such Product in connection with any Canadian Regulatory Filing, whether or not such filing is mandatory.</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Responsibility for Labeling and Packaging</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All Products supplied by Aphria Diamond to Aphria pursuant to this Agreement will be sold and distributed by Aphria under its private label brands. Aphria is solely responsible, at its own expense, for designing, developing, maintaining and updating all Product labeling, packaging, directions and inserts. Aphria will be solely responsible for ensuring that all Product labeling, packaging, directions and inserts it uses complies with Applicable Laws, including as set forth in any Canadian Regulatory Approval. To the extent that any information on a Product label, package, direction or insert is deficient and/or not in compliance with Applicable Laws, including as set forth in any Canadian Regulatory Approval, Aphria Diamond shall cooperate with and provide the necessary information to Aphria and shall provide assistance, as reasonably requested, at Aphria’s expense, to Aphria in order to permit Aphria to modify Product labeling, packaging, directions or inserts so that it conforms with Applicable Laws.</w:t>
      </w:r>
    </w:p>
    <w:p>
      <w:pPr>
        <w:spacing w:after="0" w:line="188" w:lineRule="exact"/>
        <w:rPr>
          <w:sz w:val="20"/>
          <w:szCs w:val="20"/>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Aphria Diamond will be solely responsible for all fees payable with respect to the submission (filing), prosecution and maintenance of the Canadian Regulatory Filings in respect of the licensing of the applicable Aphria Diamond Facility.</w:t>
      </w:r>
    </w:p>
    <w:p>
      <w:pPr>
        <w:spacing w:after="0" w:line="158" w:lineRule="exact"/>
        <w:rPr>
          <w:sz w:val="20"/>
          <w:szCs w:val="20"/>
          <w:color w:val="auto"/>
        </w:rPr>
      </w:pPr>
    </w:p>
    <w:p>
      <w:pPr>
        <w:ind w:left="840" w:hanging="331"/>
        <w:spacing w:after="0"/>
        <w:tabs>
          <w:tab w:leader="none" w:pos="8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WARRANTIES AND COVENANTS</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Criteria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Aphria Diamond represents, warrants and covenants, as applicable, that all Products will, at the time of delivery: (i) be free from defects and will conform with the Specifications; (ii) be of a good and merchantable quality and fit for the intended purpose; not be adulterated, except as it relates to the irradiation of the Product or as otherwise agreed by the Parties; (iii) comply with Applicable Laws; (iv) be labeled and handled in accordance with Good Production Practices and all Applicable Laws; (v) be produced, packaged and stored under sanitary conditions and in compliance with Good Production Practices and all Applicable Laws; (vi) be shipped in packaging in compliance with Applicable Laws and consistent with Aphria Diamond’s then current practices; and (vii) be free from any Encumbrances. As Aphria’s sole remedy for a breach of any of the foregoing, if Aphria Diamond is notified in writing of the breach within thirty (30) days of Aphria selling the applicable Product but no later than ninety (90) days after the date of delivery, Aphria Diamond shall at Aphria Diamond’s option, replace such defective Products or refund the amounts paid by Aphria in respect of such defective Products. Any dispute arising between the parties from a notice received by Aphria Diamond pursuant to this Section 5.1 shall be resolved in accordance with the procedure set forth in Section 6.3.</w:t>
      </w:r>
    </w:p>
    <w:p>
      <w:pPr>
        <w:spacing w:after="0" w:line="194" w:lineRule="exact"/>
        <w:rPr>
          <w:sz w:val="20"/>
          <w:szCs w:val="20"/>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Aphria Diamond represents, warrants and covenants, as applicable, that to its knowledge: (i) the Products do not and will not infringe or violate any intellectual property rights of any third party; and (ii) in the event that the use, sale and/or distribution of any Products constitutes or is alleged to constitute an infringement of intellectual property rights, Aphria Diamond shall, at Aphria Diamond’s expense and at Aphria’s option, procure for Aphria the right to continue the use, sale and distribution, or replace such Products with non-infringing Products.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Aphria represents, warrants and covenants, that: (a) the Rooted Cuttings (and Aphria Diamond’s use of the Rooted Cuttings and resulting materials), and Aphria’s conversion or manipulation of the Products (if applicable) will not infringe or violate any intellectual property rights of any third party; and (b) in the event that the Rooted Cuttings (and Aphria Diamond’s use of the Rooted Cuttings and resulting materials) or the use, sale and/or distribution of any such converted or manipulated Products constitutes or is alleged to constitute an infringement of intellectual property rights, Aphria shall, at Aphria’s expense and at Aphria Diamond’s option, procure for Aphria the right to continue the use, sale and distribution, or replace such converted or manipulated Products with non-infringing Products.</w:t>
      </w:r>
    </w:p>
    <w:p>
      <w:pPr>
        <w:spacing w:after="0" w:line="190" w:lineRule="exact"/>
        <w:rPr>
          <w:sz w:val="20"/>
          <w:szCs w:val="20"/>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Aphria Diamond represents and warrants to Aphria that it shall maintain throughout the Term all applicable licenses, permits and authorizations necessary to perform its obligations under this Agreement with respect to the Products.</w:t>
      </w:r>
    </w:p>
    <w:p>
      <w:pPr>
        <w:sectPr>
          <w:pgSz w:w="11900" w:h="16838" w:orient="portrait"/>
          <w:cols w:equalWidth="0" w:num="1">
            <w:col w:w="11080"/>
          </w:cols>
          <w:pgMar w:left="480" w:top="121" w:right="339" w:bottom="0" w:gutter="0" w:footer="0" w:header="0"/>
        </w:sectPr>
      </w:pPr>
    </w:p>
    <w:bookmarkStart w:id="77" w:name="page78"/>
    <w:bookmarkEnd w:id="77"/>
    <w:p>
      <w:pPr>
        <w:ind w:left="8" w:right="100"/>
        <w:spacing w:after="0" w:line="266" w:lineRule="auto"/>
        <w:rPr>
          <w:sz w:val="20"/>
          <w:szCs w:val="20"/>
          <w:color w:val="auto"/>
        </w:rPr>
      </w:pPr>
      <w:r>
        <w:rPr>
          <w:rFonts w:ascii="Times New Roman" w:cs="Times New Roman" w:eastAsia="Times New Roman" w:hAnsi="Times New Roman"/>
          <w:sz w:val="18"/>
          <w:szCs w:val="18"/>
          <w:color w:val="auto"/>
        </w:rPr>
        <w:t>Aphria represents, warrants and covenants to Aphria Diamond that it shall at all times comply with Applicable Law and shall obtain and shall subsequently maintain throughout the Term all applicable licenses, permits and authorizations necessary to perform its obligations under this Agreement with respect to the Products.</w:t>
      </w:r>
    </w:p>
    <w:p>
      <w:pPr>
        <w:spacing w:after="0" w:line="176" w:lineRule="exact"/>
        <w:rPr>
          <w:sz w:val="20"/>
          <w:szCs w:val="20"/>
          <w:color w:val="auto"/>
        </w:rPr>
      </w:pPr>
    </w:p>
    <w:p>
      <w:pPr>
        <w:ind w:left="1388" w:hanging="331"/>
        <w:spacing w:after="0"/>
        <w:tabs>
          <w:tab w:leader="none" w:pos="13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Aphria Diamond represents, warrants and covenants, as applicable, to Aphria that it has: (i) the requisite experience, knowledge and expertise;</w:t>
      </w:r>
    </w:p>
    <w:p>
      <w:pPr>
        <w:spacing w:after="0" w:line="27" w:lineRule="exact"/>
        <w:rPr>
          <w:sz w:val="20"/>
          <w:szCs w:val="20"/>
          <w:color w:val="auto"/>
        </w:rPr>
      </w:pPr>
    </w:p>
    <w:p>
      <w:pPr>
        <w:ind w:left="8" w:right="280" w:hanging="8"/>
        <w:spacing w:after="0" w:line="250" w:lineRule="auto"/>
        <w:tabs>
          <w:tab w:leader="none" w:pos="2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personnel; and (iii) the legal right, to perform its obligations under this Agreement and Aphria Diamond covenants to Aphria that Aphria Diamond will perform such obligations in a sound, safe, lawful and workmanlike manner.</w:t>
      </w:r>
    </w:p>
    <w:p>
      <w:pPr>
        <w:ind w:left="8"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represents, warrants and covenants, as applicable, to Aphria Diamond that it has: (a) the requisite experience, knowledge and expertise; (b) qualified personnel; and (c) the legal right, to perform its obligations under this Agreement and Aphria covenants to Aphria Diamond that Aphria will perform such obligations in a sound, safe, lawful and workmanlike manner.</w:t>
      </w:r>
    </w:p>
    <w:p>
      <w:pPr>
        <w:spacing w:after="0" w:line="185" w:lineRule="exact"/>
        <w:rPr>
          <w:rFonts w:ascii="Times New Roman" w:cs="Times New Roman" w:eastAsia="Times New Roman" w:hAnsi="Times New Roman"/>
          <w:sz w:val="18"/>
          <w:szCs w:val="18"/>
          <w:color w:val="auto"/>
        </w:rPr>
      </w:pPr>
    </w:p>
    <w:p>
      <w:pPr>
        <w:ind w:left="1388" w:hanging="331"/>
        <w:spacing w:after="0"/>
        <w:tabs>
          <w:tab w:leader="none" w:pos="13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80"/>
        <w:spacing w:after="0" w:line="282" w:lineRule="auto"/>
        <w:rPr>
          <w:sz w:val="20"/>
          <w:szCs w:val="20"/>
          <w:color w:val="auto"/>
        </w:rPr>
      </w:pPr>
      <w:r>
        <w:rPr>
          <w:rFonts w:ascii="Times New Roman" w:cs="Times New Roman" w:eastAsia="Times New Roman" w:hAnsi="Times New Roman"/>
          <w:sz w:val="18"/>
          <w:szCs w:val="18"/>
          <w:color w:val="auto"/>
        </w:rPr>
        <w:t>Aphria Diamond represents and warrants that: (i) all Products will be produced at the Aphria Diamond Facility; and (ii) the Aphria Diamond Facility is registered, licensed and in good standing under Applicable Laws.</w:t>
      </w:r>
    </w:p>
    <w:p>
      <w:pPr>
        <w:spacing w:after="0" w:line="162" w:lineRule="exact"/>
        <w:rPr>
          <w:sz w:val="20"/>
          <w:szCs w:val="20"/>
          <w:color w:val="auto"/>
        </w:rPr>
      </w:pPr>
    </w:p>
    <w:p>
      <w:pPr>
        <w:ind w:left="1388" w:hanging="331"/>
        <w:spacing w:after="0"/>
        <w:tabs>
          <w:tab w:leader="none" w:pos="13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Aphria Diamond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8"/>
          <w:szCs w:val="18"/>
          <w:color w:val="auto"/>
        </w:rPr>
        <w:t>Aphria will have the right, but not the obligation, to have one or more employee agent(s) or representative(s) attend the Aphria Diamond Facility upon 48 hours’ prior written notice or at times mutually agreeable to both Parties to assess Aphria Diamond’s compliance with the Specifications, Good Production Practices and Applicable Laws and any other requirements contemplated by this Agreement; provided, however, that: (i) such assessments will be conducted by an employee agent(s) or representative(s) during customary business hours and shall not unreasonably interfere with the operations of the Aphria Diamond Facility; (ii) all such employee agent(s) or representative(s) will report solely to Aphria on a confidential basis confirming compliance or non-compliance, as applicable, with the Specifications, Good Production Practices and Applicable Laws and any other requirements contemplated by this Agreement; and (iii) in Exceptional Circumstances, Aphria’s employee agent(s) and/or representative(s) shall have the right to attend the Aphria Diamond Facility on such shorter notice as is reasonable in such circumstance.</w:t>
      </w:r>
    </w:p>
    <w:p>
      <w:pPr>
        <w:spacing w:after="0" w:line="192" w:lineRule="exact"/>
        <w:rPr>
          <w:sz w:val="20"/>
          <w:szCs w:val="20"/>
          <w:color w:val="auto"/>
        </w:rPr>
      </w:pPr>
    </w:p>
    <w:p>
      <w:pPr>
        <w:ind w:left="1388" w:hanging="331"/>
        <w:spacing w:after="0"/>
        <w:tabs>
          <w:tab w:leader="none" w:pos="13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Aphria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 addition to any other obligations Aphria may have under this Agreement, Aphria covenants and agrees with Aphria Diamond that:</w:t>
      </w:r>
    </w:p>
    <w:p>
      <w:pPr>
        <w:spacing w:after="0" w:line="225" w:lineRule="exact"/>
        <w:rPr>
          <w:sz w:val="20"/>
          <w:szCs w:val="20"/>
          <w:color w:val="auto"/>
        </w:rPr>
      </w:pPr>
    </w:p>
    <w:p>
      <w:pPr>
        <w:ind w:left="2388" w:right="160" w:hanging="318"/>
        <w:spacing w:after="0" w:line="282" w:lineRule="auto"/>
        <w:tabs>
          <w:tab w:leader="none" w:pos="2388"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comply with all Applicable Laws including in its use, possession, processing, packaging/labelling, testing, importing, exporting, storage, sale, delivery, transportation, distribution and destruction of the Products; and</w:t>
      </w:r>
    </w:p>
    <w:p>
      <w:pPr>
        <w:spacing w:after="0" w:line="161" w:lineRule="exact"/>
        <w:rPr>
          <w:rFonts w:ascii="Times New Roman" w:cs="Times New Roman" w:eastAsia="Times New Roman" w:hAnsi="Times New Roman"/>
          <w:sz w:val="18"/>
          <w:szCs w:val="18"/>
          <w:color w:val="auto"/>
        </w:rPr>
      </w:pPr>
    </w:p>
    <w:p>
      <w:pPr>
        <w:ind w:left="2348" w:right="240" w:hanging="319"/>
        <w:spacing w:after="0" w:line="282" w:lineRule="auto"/>
        <w:tabs>
          <w:tab w:leader="none" w:pos="2348"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bear all responsibility with regard to the nature, content and use of all Aphria promotional and marketing materials used by Aphria in respect of the Products.</w:t>
      </w:r>
    </w:p>
    <w:p>
      <w:pPr>
        <w:spacing w:after="0" w:line="161" w:lineRule="exact"/>
        <w:rPr>
          <w:rFonts w:ascii="Times New Roman" w:cs="Times New Roman" w:eastAsia="Times New Roman" w:hAnsi="Times New Roman"/>
          <w:sz w:val="18"/>
          <w:szCs w:val="18"/>
          <w:color w:val="auto"/>
        </w:rPr>
      </w:pPr>
    </w:p>
    <w:p>
      <w:pPr>
        <w:ind w:left="1388" w:hanging="331"/>
        <w:spacing w:after="0"/>
        <w:tabs>
          <w:tab w:leader="none" w:pos="13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Law</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2688" w:right="20" w:hanging="321"/>
        <w:spacing w:after="0" w:line="253" w:lineRule="auto"/>
        <w:tabs>
          <w:tab w:leader="none" w:pos="2688"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confirm that the business of Aphria Diamond, Aphria and the Products are and will be subject to extensive regulation and Applicable Laws. The Parties have attempted to structure their relationship pursuant to this Agreement in compliance with all Applicable Laws. However, if, at any time during the Term, there is any change in Applicable Laws with which a Party is required to comply (including any change to the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or any other Applicable Laws governing the legalization of the production, cultivation, processing, sale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cannabis in Canada), or any other change in the application or administration of Applicable Laws whether affecting a Party specifically or affecting all businesses of a similar nature to those of the Party, and, as a result of such compliance, such Party is no longer able to comply with one or more provisions of this Agreement (each such change, a “</w:t>
      </w:r>
      <w:r>
        <w:rPr>
          <w:rFonts w:ascii="Times New Roman" w:cs="Times New Roman" w:eastAsia="Times New Roman" w:hAnsi="Times New Roman"/>
          <w:sz w:val="18"/>
          <w:szCs w:val="18"/>
          <w:b w:val="1"/>
          <w:bCs w:val="1"/>
          <w:color w:val="auto"/>
        </w:rPr>
        <w:t>Change of Law</w:t>
      </w:r>
      <w:r>
        <w:rPr>
          <w:rFonts w:ascii="Times New Roman" w:cs="Times New Roman" w:eastAsia="Times New Roman" w:hAnsi="Times New Roman"/>
          <w:sz w:val="18"/>
          <w:szCs w:val="18"/>
          <w:color w:val="auto"/>
        </w:rPr>
        <w:t>”) the affected Party shall promptly notify the other Party in writing (a “</w:t>
      </w:r>
      <w:r>
        <w:rPr>
          <w:rFonts w:ascii="Times New Roman" w:cs="Times New Roman" w:eastAsia="Times New Roman" w:hAnsi="Times New Roman"/>
          <w:sz w:val="18"/>
          <w:szCs w:val="18"/>
          <w:b w:val="1"/>
          <w:bCs w:val="1"/>
          <w:color w:val="auto"/>
        </w:rPr>
        <w:t>Change of Law Notice</w:t>
      </w:r>
      <w:r>
        <w:rPr>
          <w:rFonts w:ascii="Times New Roman" w:cs="Times New Roman" w:eastAsia="Times New Roman" w:hAnsi="Times New Roman"/>
          <w:sz w:val="18"/>
          <w:szCs w:val="18"/>
          <w:color w:val="auto"/>
        </w:rPr>
        <w:t>”) of the Change of Law and any such notice shall contain a description of the Change of Law and the exact obligations under this Agreement which the affected Party is delayed or prevented from performing and/or the manner in which such Party’s obligations are performed as a result of such Change of Law (the “</w:t>
      </w:r>
      <w:r>
        <w:rPr>
          <w:rFonts w:ascii="Times New Roman" w:cs="Times New Roman" w:eastAsia="Times New Roman" w:hAnsi="Times New Roman"/>
          <w:sz w:val="18"/>
          <w:szCs w:val="18"/>
          <w:b w:val="1"/>
          <w:bCs w:val="1"/>
          <w:color w:val="auto"/>
        </w:rPr>
        <w:t>Affected Obligations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668" w:right="20" w:hanging="315"/>
        <w:spacing w:after="0" w:line="254" w:lineRule="auto"/>
        <w:tabs>
          <w:tab w:leader="none" w:pos="2668"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of a Change of Law Notice, the respective Chief Executive Officers of the Parties, or their designates (“</w:t>
      </w:r>
      <w:r>
        <w:rPr>
          <w:rFonts w:ascii="Times New Roman" w:cs="Times New Roman" w:eastAsia="Times New Roman" w:hAnsi="Times New Roman"/>
          <w:sz w:val="18"/>
          <w:szCs w:val="18"/>
          <w:b w:val="1"/>
          <w:bCs w:val="1"/>
          <w:color w:val="auto"/>
        </w:rPr>
        <w:t>Designated Representatives</w:t>
      </w:r>
      <w:r>
        <w:rPr>
          <w:rFonts w:ascii="Times New Roman" w:cs="Times New Roman" w:eastAsia="Times New Roman" w:hAnsi="Times New Roman"/>
          <w:sz w:val="18"/>
          <w:szCs w:val="18"/>
          <w:color w:val="auto"/>
        </w:rPr>
        <w:t>”) will meet within three (3) calendar days and, in good faith, use their commercially reasonable efforts to agree on amendments to this Agreement necessary and appropriate to take account of the Change of Law, so that this Agreement may continue in force (a “</w:t>
      </w:r>
      <w:r>
        <w:rPr>
          <w:rFonts w:ascii="Times New Roman" w:cs="Times New Roman" w:eastAsia="Times New Roman" w:hAnsi="Times New Roman"/>
          <w:sz w:val="18"/>
          <w:szCs w:val="18"/>
          <w:b w:val="1"/>
          <w:bCs w:val="1"/>
          <w:color w:val="auto"/>
        </w:rPr>
        <w:t>Change of Law Amendment</w:t>
      </w:r>
      <w:r>
        <w:rPr>
          <w:rFonts w:ascii="Times New Roman" w:cs="Times New Roman" w:eastAsia="Times New Roman" w:hAnsi="Times New Roman"/>
          <w:sz w:val="18"/>
          <w:szCs w:val="18"/>
          <w:color w:val="auto"/>
        </w:rPr>
        <w:t>”). All Change of Law Amendments shall be agreed to by the Designated Representatives of the Parties no later than five (5) calendar days from the date of the Change of Law Notice, or such later date as the Designated Representatives may mutually agree in writing (the “</w:t>
      </w:r>
      <w:r>
        <w:rPr>
          <w:rFonts w:ascii="Times New Roman" w:cs="Times New Roman" w:eastAsia="Times New Roman" w:hAnsi="Times New Roman"/>
          <w:sz w:val="18"/>
          <w:szCs w:val="18"/>
          <w:b w:val="1"/>
          <w:bCs w:val="1"/>
          <w:color w:val="auto"/>
        </w:rPr>
        <w:t>Change Period</w:t>
      </w:r>
      <w:r>
        <w:rPr>
          <w:rFonts w:ascii="Times New Roman" w:cs="Times New Roman" w:eastAsia="Times New Roman" w:hAnsi="Times New Roman"/>
          <w:sz w:val="18"/>
          <w:szCs w:val="18"/>
          <w:color w:val="auto"/>
        </w:rPr>
        <w:t>”). Without limiting the generality of the foregoing, where a Change of Law Amendment would result in additional costs being incurred disproportionately by one Party, the Parties shall negotiate in good faith to ensure that the contractual arrangements remain beneficial to both Parties.</w:t>
      </w:r>
    </w:p>
    <w:p>
      <w:pPr>
        <w:spacing w:after="0" w:line="188" w:lineRule="exact"/>
        <w:rPr>
          <w:rFonts w:ascii="Times New Roman" w:cs="Times New Roman" w:eastAsia="Times New Roman" w:hAnsi="Times New Roman"/>
          <w:sz w:val="18"/>
          <w:szCs w:val="18"/>
          <w:color w:val="auto"/>
        </w:rPr>
      </w:pPr>
    </w:p>
    <w:p>
      <w:pPr>
        <w:ind w:left="2688" w:right="60" w:hanging="321"/>
        <w:spacing w:after="0" w:line="273" w:lineRule="auto"/>
        <w:tabs>
          <w:tab w:leader="none" w:pos="2688" w:val="left"/>
        </w:tabs>
        <w:numPr>
          <w:ilvl w:val="3"/>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Change Period the obligation of the affected Party to perform the Affected Obligations shall be suspended and the affected Party shall not suffer or incur any liability to the non-affected Party or other Person in connection with its delayed, modified and/or non-performance of the Affected Obligations, as the case may be; provided, however, that the affected Party has used and continues to use its good faith, commercially reasonable efforts to minimize the impact of its delay, modified and/or non-performance of the Affected Obligations, including cooperating and collaborating with the non-affected Party to impose interim procedures and/or workarounds to minimize the impact of its delay, modification and/or non-performance of the Affected Obligations.</w:t>
      </w:r>
    </w:p>
    <w:p>
      <w:pPr>
        <w:spacing w:after="0" w:line="167" w:lineRule="exact"/>
        <w:rPr>
          <w:rFonts w:ascii="Times New Roman" w:cs="Times New Roman" w:eastAsia="Times New Roman" w:hAnsi="Times New Roman"/>
          <w:sz w:val="17"/>
          <w:szCs w:val="17"/>
          <w:color w:val="auto"/>
        </w:rPr>
      </w:pPr>
    </w:p>
    <w:p>
      <w:pPr>
        <w:ind w:left="848" w:hanging="331"/>
        <w:spacing w:after="0"/>
        <w:tabs>
          <w:tab w:leader="none" w:pos="8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PRODUCTS; REJECTED PRODUCTS</w:t>
      </w:r>
    </w:p>
    <w:p>
      <w:pPr>
        <w:sectPr>
          <w:pgSz w:w="11900" w:h="16838" w:orient="portrait"/>
          <w:cols w:equalWidth="0" w:num="1">
            <w:col w:w="11068"/>
          </w:cols>
          <w:pgMar w:left="472" w:top="121" w:right="359" w:bottom="0" w:gutter="0" w:footer="0" w:header="0"/>
        </w:sectPr>
      </w:pPr>
    </w:p>
    <w:bookmarkStart w:id="78" w:name="page79"/>
    <w:bookmarkEnd w:id="78"/>
    <w:p>
      <w:pPr>
        <w:ind w:left="1488" w:hanging="323"/>
        <w:spacing w:after="0"/>
        <w:tabs>
          <w:tab w:leader="none" w:pos="14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Specifications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80"/>
        <w:spacing w:after="0" w:line="266" w:lineRule="auto"/>
        <w:rPr>
          <w:sz w:val="20"/>
          <w:szCs w:val="20"/>
          <w:color w:val="auto"/>
        </w:rPr>
      </w:pPr>
      <w:r>
        <w:rPr>
          <w:rFonts w:ascii="Times New Roman" w:cs="Times New Roman" w:eastAsia="Times New Roman" w:hAnsi="Times New Roman"/>
          <w:sz w:val="18"/>
          <w:szCs w:val="18"/>
          <w:color w:val="auto"/>
        </w:rPr>
        <w:t>Prior to delivering any Products to Aphria, Aphria Diamond shall conduct such tests described in the Specifications and inspect each lot of Products for compliance with the applicable Specifications, consistent with Applicable Law and will ensure that all such Products have been approved by Aphria Diamond’s quality assurance person prior to delivery.</w:t>
      </w:r>
    </w:p>
    <w:p>
      <w:pPr>
        <w:spacing w:after="0" w:line="176" w:lineRule="exact"/>
        <w:rPr>
          <w:sz w:val="20"/>
          <w:szCs w:val="20"/>
          <w:color w:val="auto"/>
        </w:rPr>
      </w:pPr>
    </w:p>
    <w:p>
      <w:pPr>
        <w:ind w:left="1388" w:hanging="331"/>
        <w:spacing w:after="0"/>
        <w:tabs>
          <w:tab w:leader="none" w:pos="13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Rejection of 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8"/>
          <w:szCs w:val="18"/>
          <w:color w:val="auto"/>
        </w:rPr>
        <w:t>Other than notice provided pursuant to Section 5.1, if following delivery any Product fails to conform to the Specifications, Aphria may reject such Product (a “</w:t>
      </w:r>
      <w:r>
        <w:rPr>
          <w:rFonts w:ascii="Times New Roman" w:cs="Times New Roman" w:eastAsia="Times New Roman" w:hAnsi="Times New Roman"/>
          <w:sz w:val="18"/>
          <w:szCs w:val="18"/>
          <w:b w:val="1"/>
          <w:bCs w:val="1"/>
          <w:color w:val="auto"/>
        </w:rPr>
        <w:t>Rejected Product</w:t>
      </w:r>
      <w:r>
        <w:rPr>
          <w:rFonts w:ascii="Times New Roman" w:cs="Times New Roman" w:eastAsia="Times New Roman" w:hAnsi="Times New Roman"/>
          <w:sz w:val="18"/>
          <w:szCs w:val="18"/>
          <w:color w:val="auto"/>
        </w:rPr>
        <w:t>”) within five (5) days after receipt thereof. Aphria will provide written notice to Aphria Diamond of any Rejected Product within such five (5) day period setting out in reasonable detail how such Rejected Product fails to conform to the Specifications. Aphria Diamond shall not charge Aphria for any Rejected Product or shall reimburse or credit the cost to Aphria of any Rejected Product that may already have paid by Aphria. If Aphria fails to deliver a notice regarding Rejected Product within five (5) days of receipt thereof, the Product shall be deemed to be accepted by Aphria. All Products accepted by Aphria, whether accepted following the replacement by Aphria Diamond or the resolution pursuant to Section 6.3, will be invoiced by Aphria Diamond to Aphria at the Price Per Gram. Other than the remedy set forth in Section 5.1, the provisions of this Section shall be Aphria’s sole remedy with respect to the Rejected Product.</w:t>
      </w:r>
    </w:p>
    <w:p>
      <w:pPr>
        <w:spacing w:after="0" w:line="192" w:lineRule="exact"/>
        <w:rPr>
          <w:sz w:val="20"/>
          <w:szCs w:val="20"/>
          <w:color w:val="auto"/>
        </w:rPr>
      </w:pPr>
    </w:p>
    <w:p>
      <w:pPr>
        <w:ind w:left="1388" w:hanging="331"/>
        <w:spacing w:after="0"/>
        <w:tabs>
          <w:tab w:leader="none" w:pos="13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460"/>
        <w:spacing w:after="0" w:line="272" w:lineRule="auto"/>
        <w:rPr>
          <w:sz w:val="20"/>
          <w:szCs w:val="20"/>
          <w:color w:val="auto"/>
        </w:rPr>
      </w:pPr>
      <w:r>
        <w:rPr>
          <w:rFonts w:ascii="Times New Roman" w:cs="Times New Roman" w:eastAsia="Times New Roman" w:hAnsi="Times New Roman"/>
          <w:sz w:val="17"/>
          <w:szCs w:val="17"/>
          <w:color w:val="auto"/>
        </w:rPr>
        <w:t>In the event of a dispute regarding whether any Rejected Product complies with the Specifications, Aphria and Aphria Diamond shall utilize an independent laboratory as may be acceptable to both Aphria Diamond and Aphria, acting reasonably (the “</w:t>
      </w:r>
      <w:r>
        <w:rPr>
          <w:rFonts w:ascii="Times New Roman" w:cs="Times New Roman" w:eastAsia="Times New Roman" w:hAnsi="Times New Roman"/>
          <w:sz w:val="17"/>
          <w:szCs w:val="17"/>
          <w:b w:val="1"/>
          <w:bCs w:val="1"/>
          <w:color w:val="auto"/>
        </w:rPr>
        <w:t>Independent Laboratory</w:t>
      </w:r>
      <w:r>
        <w:rPr>
          <w:rFonts w:ascii="Times New Roman" w:cs="Times New Roman" w:eastAsia="Times New Roman" w:hAnsi="Times New Roman"/>
          <w:sz w:val="17"/>
          <w:szCs w:val="17"/>
          <w:color w:val="auto"/>
        </w:rPr>
        <w:t>”), to evaluate whether such Rejected Product conforms with the applicable Specifications. If such issue is submitted to the Independent Laboratory for resolution,</w:t>
      </w:r>
    </w:p>
    <w:p>
      <w:pPr>
        <w:spacing w:after="0" w:line="2" w:lineRule="exact"/>
        <w:rPr>
          <w:sz w:val="20"/>
          <w:szCs w:val="20"/>
          <w:color w:val="auto"/>
        </w:rPr>
      </w:pPr>
    </w:p>
    <w:p>
      <w:pPr>
        <w:ind w:left="8" w:right="20" w:hanging="8"/>
        <w:spacing w:after="0" w:line="251" w:lineRule="auto"/>
        <w:tabs>
          <w:tab w:leader="none" w:pos="2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Diamond and Aphria will furnish or cause to be furnished to the Independent Laboratory such documents and information relating to the disputed issue as the Independent Laboratory may request and are available to that Party or its agents and will be afforded the opportunity to make written submissions to the Independent Laboratory; and (ii) the determination by the Independent Laboratory, as set forth in a notice to be delivered to both Aphria Diamond and Aphria within five (5) days of the submission to the Independent Laboratory of the issues remaining in dispute, will be final, binding and conclusive on the Parties, absent clerical manifest error. If such Independent Laboratory determines that a Rejected Product complies with the Specifications, Aphria will bear full responsibility for any fees charged by the Independent Laboratory in respect of testing such Rejected Product and will be obligated to purchase such Product and accept shipment of such Product, subject to the terms and conditions set forth in this Agreement. If such Independent Laboratory determines that a Rejected Product does not comply with the Specifications, Aphria Diamond will bear full responsibility for any fees charged by the Independent Laboratory in respect of testing such Rejected Product. The terms and existence of any dispute regarding a Rejected Product shall be kept in the strictest and utmost confidence by the Parties, consistent with the confidentiality obligations of the Parties for Arbitration proceedings under Section 15.2.</w:t>
      </w:r>
    </w:p>
    <w:p>
      <w:pPr>
        <w:spacing w:after="0" w:line="192" w:lineRule="exact"/>
        <w:rPr>
          <w:rFonts w:ascii="Times New Roman" w:cs="Times New Roman" w:eastAsia="Times New Roman" w:hAnsi="Times New Roman"/>
          <w:sz w:val="18"/>
          <w:szCs w:val="18"/>
          <w:color w:val="auto"/>
        </w:rPr>
      </w:pPr>
    </w:p>
    <w:p>
      <w:pPr>
        <w:ind w:left="1388" w:hanging="331"/>
        <w:spacing w:after="0"/>
        <w:tabs>
          <w:tab w:leader="none" w:pos="13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Regarding a Rejected Product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8"/>
          <w:szCs w:val="18"/>
          <w:color w:val="auto"/>
        </w:rPr>
        <w:t>Aphria Diamond will, at its own expense: (i) replace any Rejected Product as soon as practicable, and in any event, (a) within five (5) days of Aphria’s notice of rejection or, (b) in the event of a dispute regarding such Rejected Product that is resolved by an Independent Laboratory, within fourteen (14) days of the determination by such Independent Laboratory that such Rejected Product does not conform to the Specifications; and (ii) promptly arrange for and pay all costs associated with the disposal and, if deemed necessary by Aphria Diamond, the destruction of such Rejected Product. Any disposal or destruction of Rejected Product shall be in accordance with all Applicable Laws.</w:t>
      </w:r>
    </w:p>
    <w:p>
      <w:pPr>
        <w:spacing w:after="0" w:line="183" w:lineRule="exact"/>
        <w:rPr>
          <w:sz w:val="20"/>
          <w:szCs w:val="20"/>
          <w:color w:val="auto"/>
        </w:rPr>
      </w:pPr>
    </w:p>
    <w:p>
      <w:pPr>
        <w:ind w:left="1388" w:hanging="331"/>
        <w:spacing w:after="0"/>
        <w:tabs>
          <w:tab w:leader="none" w:pos="13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8"/>
          <w:szCs w:val="18"/>
          <w:color w:val="auto"/>
        </w:rPr>
        <w:t>Aphria acknowledges that it shall be responsible for maintaining and managing its inventory of accepted Products and that, except as otherwise set forth in this Agreement, no accepted Products delivered by Aphria Diamond in accordance with this Agreement shall be returnable to Aphria Diamond without Aphria Diamond’s prior written consent, which consent may not be unreasonably withheld. Except as otherwise set forth in this Agreement, all accepted Products that expire while in the possession of Aphria shall be destroyed at Aphria’s own expense and in accordance with Applicable Laws.</w:t>
      </w:r>
    </w:p>
    <w:p>
      <w:pPr>
        <w:spacing w:after="0" w:line="180" w:lineRule="exact"/>
        <w:rPr>
          <w:sz w:val="20"/>
          <w:szCs w:val="20"/>
          <w:color w:val="auto"/>
        </w:rPr>
      </w:pPr>
    </w:p>
    <w:p>
      <w:pPr>
        <w:ind w:left="1388" w:hanging="331"/>
        <w:spacing w:after="0"/>
        <w:tabs>
          <w:tab w:leader="none" w:pos="13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Product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
        <w:spacing w:after="0" w:line="271" w:lineRule="auto"/>
        <w:rPr>
          <w:sz w:val="20"/>
          <w:szCs w:val="20"/>
          <w:color w:val="auto"/>
        </w:rPr>
      </w:pPr>
      <w:r>
        <w:rPr>
          <w:rFonts w:ascii="Times New Roman" w:cs="Times New Roman" w:eastAsia="Times New Roman" w:hAnsi="Times New Roman"/>
          <w:sz w:val="17"/>
          <w:szCs w:val="17"/>
          <w:color w:val="auto"/>
        </w:rPr>
        <w:t>Following Aphria Diamond’s Acceptance of a Purchase Order, Aphria Diamond will not make any change to any Products which are included in such Purchase Order or the production process in respect of any Products which are included in such Purchase Order unless: (i) such change is required by the Canadian Regulatory Authority or Applicable Laws and Aphria Diamond has provided reasonable detail to Aphria in respect of such change, including whether any such change would result in an increase or decrease in the purchase price of such Product (a “</w:t>
      </w:r>
      <w:r>
        <w:rPr>
          <w:rFonts w:ascii="Times New Roman" w:cs="Times New Roman" w:eastAsia="Times New Roman" w:hAnsi="Times New Roman"/>
          <w:sz w:val="17"/>
          <w:szCs w:val="17"/>
          <w:b w:val="1"/>
          <w:bCs w:val="1"/>
          <w:color w:val="auto"/>
        </w:rPr>
        <w:t>Required Change</w:t>
      </w:r>
      <w:r>
        <w:rPr>
          <w:rFonts w:ascii="Times New Roman" w:cs="Times New Roman" w:eastAsia="Times New Roman" w:hAnsi="Times New Roman"/>
          <w:sz w:val="17"/>
          <w:szCs w:val="17"/>
          <w:color w:val="auto"/>
        </w:rPr>
        <w:t>”); or (ii)(a) such change is proposed by Aphria Diamond in order to maintain or improve the quality of any Product; (b) Aphria Diamond has provided reasonable detail to Aphria in respect of such change, including whether any such change would result in an increase or decrease in the purchase price of such Product; and (c) Aphria Diamond has obtained the prior written consent of Aphria for such change, which consent may be withheld in Aphria’s sole discretion (an “</w:t>
      </w:r>
      <w:r>
        <w:rPr>
          <w:rFonts w:ascii="Times New Roman" w:cs="Times New Roman" w:eastAsia="Times New Roman" w:hAnsi="Times New Roman"/>
          <w:sz w:val="17"/>
          <w:szCs w:val="17"/>
          <w:b w:val="1"/>
          <w:bCs w:val="1"/>
          <w:color w:val="auto"/>
        </w:rPr>
        <w:t>Optional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Change</w:t>
      </w:r>
      <w:r>
        <w:rPr>
          <w:rFonts w:ascii="Times New Roman" w:cs="Times New Roman" w:eastAsia="Times New Roman" w:hAnsi="Times New Roman"/>
          <w:sz w:val="17"/>
          <w:szCs w:val="17"/>
          <w:color w:val="auto"/>
        </w:rPr>
        <w:t>”). Upon adoption of any Required Change or any Optional Change, such Required Change or Optional Change, as the case may be,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part of the Specifications for such Product. Aphria shall solely bear the costs associated with any Required Change or any Optional Change.</w:t>
      </w:r>
    </w:p>
    <w:p>
      <w:pPr>
        <w:spacing w:after="0" w:line="173" w:lineRule="exact"/>
        <w:rPr>
          <w:sz w:val="20"/>
          <w:szCs w:val="20"/>
          <w:color w:val="auto"/>
        </w:rPr>
      </w:pPr>
    </w:p>
    <w:p>
      <w:pPr>
        <w:ind w:left="1388" w:hanging="331"/>
        <w:spacing w:after="0"/>
        <w:tabs>
          <w:tab w:leader="none" w:pos="13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Storage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300"/>
        <w:spacing w:after="0" w:line="261" w:lineRule="auto"/>
        <w:rPr>
          <w:sz w:val="20"/>
          <w:szCs w:val="20"/>
          <w:color w:val="auto"/>
        </w:rPr>
      </w:pPr>
      <w:r>
        <w:rPr>
          <w:rFonts w:ascii="Times New Roman" w:cs="Times New Roman" w:eastAsia="Times New Roman" w:hAnsi="Times New Roman"/>
          <w:sz w:val="18"/>
          <w:szCs w:val="18"/>
          <w:color w:val="auto"/>
        </w:rPr>
        <w:t>Aphria Diamond shall store the Products at the Aphria Diamond Facility in accordance with the Specifications, Good Production Practices and Applicable Laws, consistent with the same practices and procedures used by Aphria Diamond in its own operations and in respect of its other Aphria Diamond relationships. Aphria will have the right to inspect, from time to time, the Aphria Diamond Facility subject to the conditions provided under Section 5.6.</w:t>
      </w:r>
    </w:p>
    <w:p>
      <w:pPr>
        <w:spacing w:after="0" w:line="180" w:lineRule="exact"/>
        <w:rPr>
          <w:sz w:val="20"/>
          <w:szCs w:val="20"/>
          <w:color w:val="auto"/>
        </w:rPr>
      </w:pPr>
    </w:p>
    <w:p>
      <w:pPr>
        <w:ind w:left="1388" w:hanging="331"/>
        <w:spacing w:after="0"/>
        <w:tabs>
          <w:tab w:leader="none" w:pos="13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Bulk Transfer Transaction Form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360"/>
        <w:spacing w:after="0" w:line="258" w:lineRule="auto"/>
        <w:rPr>
          <w:sz w:val="20"/>
          <w:szCs w:val="20"/>
          <w:color w:val="auto"/>
        </w:rPr>
      </w:pPr>
      <w:r>
        <w:rPr>
          <w:rFonts w:ascii="Times New Roman" w:cs="Times New Roman" w:eastAsia="Times New Roman" w:hAnsi="Times New Roman"/>
          <w:sz w:val="18"/>
          <w:szCs w:val="18"/>
          <w:color w:val="auto"/>
        </w:rPr>
        <w:t>As applicable and prior to each shipment of Products, the Parties agree to complete a bulk transfer transaction form and such other documents as otherwise may be required by Applicable Laws. The quantities listed on the bulk transfer transaction form must be in line with approved amounts for possession, storage, sale and distribution of the Products under the cultivation licence for the Aphria Facility and the Aphria Diamond Facility. If applicable, the bulk transfer transaction form must be signed by both Aphria Diamond and Aphria and be submitted to the Canadian Regulatory Authority (Health Canada) a minimum of ten (10) Business Days in advance of each shipment or such other time period as may be specified by any</w:t>
      </w:r>
    </w:p>
    <w:p>
      <w:pPr>
        <w:sectPr>
          <w:pgSz w:w="11900" w:h="16838" w:orient="portrait"/>
          <w:cols w:equalWidth="0" w:num="1">
            <w:col w:w="11088"/>
          </w:cols>
          <w:pgMar w:left="472" w:top="337" w:right="339" w:bottom="0" w:gutter="0" w:footer="0" w:header="0"/>
        </w:sectPr>
      </w:pPr>
    </w:p>
    <w:bookmarkStart w:id="79" w:name="page80"/>
    <w:bookmarkEnd w:id="79"/>
    <w:p>
      <w:pPr>
        <w:ind w:right="580"/>
        <w:spacing w:after="0" w:line="282" w:lineRule="auto"/>
        <w:rPr>
          <w:sz w:val="20"/>
          <w:szCs w:val="20"/>
          <w:color w:val="auto"/>
        </w:rPr>
      </w:pPr>
      <w:r>
        <w:rPr>
          <w:rFonts w:ascii="Times New Roman" w:cs="Times New Roman" w:eastAsia="Times New Roman" w:hAnsi="Times New Roman"/>
          <w:sz w:val="18"/>
          <w:szCs w:val="18"/>
          <w:color w:val="auto"/>
        </w:rPr>
        <w:t>Canadian Regulatory Authority. The Parties acknowledge and agree that Aphria Diamond may not ship any Products if it has been directed by the Canadian Regulatory Authority (Health Canada) not to do so.</w:t>
      </w:r>
    </w:p>
    <w:p>
      <w:pPr>
        <w:spacing w:after="0" w:line="162" w:lineRule="exact"/>
        <w:rPr>
          <w:sz w:val="20"/>
          <w:szCs w:val="20"/>
          <w:color w:val="auto"/>
        </w:rPr>
      </w:pPr>
    </w:p>
    <w:p>
      <w:pPr>
        <w:ind w:left="1380" w:hanging="331"/>
        <w:spacing w:after="0"/>
        <w:tabs>
          <w:tab w:leader="none" w:pos="1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Life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Unless otherwise agreed upon by the Parties, Aphria Diamond shall ensure that all Products supplied to Aphria will be quality assurance released and delivered to Aphria no later than two (2) months after the Product has left the grow room. Where both Parties agree to storage at the Aphria Diamond Facility at Aphria’s request, any quality issues that are found as a result of such storage are the responsibility of Aphria. Aphria Diamond is only responsible for ensuring the Product meets the Specification at the time of release.</w:t>
      </w:r>
    </w:p>
    <w:p>
      <w:pPr>
        <w:spacing w:after="0" w:line="180" w:lineRule="exact"/>
        <w:rPr>
          <w:sz w:val="20"/>
          <w:szCs w:val="20"/>
          <w:color w:val="auto"/>
        </w:rPr>
      </w:pPr>
    </w:p>
    <w:p>
      <w:pPr>
        <w:ind w:left="1280" w:hanging="325"/>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Shipping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Aphria Diamond will ship the Products in accordance with Applicable Laws at Aphria’s sole expense. Such shipments will occur weekly, so long as there is Product released and available to ship. In respect of Products shipped to the Aphria Facility in Leamington, all such Products will be delivered FOB Aphria’s Facility.</w:t>
      </w:r>
    </w:p>
    <w:p>
      <w:pPr>
        <w:spacing w:after="0" w:line="176" w:lineRule="exact"/>
        <w:rPr>
          <w:sz w:val="20"/>
          <w:szCs w:val="20"/>
          <w:color w:val="auto"/>
        </w:rPr>
      </w:pPr>
    </w:p>
    <w:p>
      <w:pPr>
        <w:ind w:left="1280" w:hanging="325"/>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Product Handling Instructions for Shipment and Storage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Aphria Diamond will prepare each Product for transportation with due care in accordance with the Specifications, consistent with the Applicable Law, the Specifications and the Quality Agreement.</w:t>
      </w:r>
    </w:p>
    <w:p>
      <w:pPr>
        <w:spacing w:after="0" w:line="158" w:lineRule="exact"/>
        <w:rPr>
          <w:sz w:val="20"/>
          <w:szCs w:val="20"/>
          <w:color w:val="auto"/>
        </w:rPr>
      </w:pPr>
    </w:p>
    <w:p>
      <w:pPr>
        <w:ind w:left="840" w:hanging="331"/>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ORDERS</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2380" w:right="280" w:hanging="318"/>
        <w:spacing w:after="0" w:line="286" w:lineRule="auto"/>
        <w:tabs>
          <w:tab w:leader="none" w:pos="2380"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will be ordered by Aphria by the issuance of pre-numbered purchase orders (“</w:t>
      </w:r>
      <w:r>
        <w:rPr>
          <w:rFonts w:ascii="Times New Roman" w:cs="Times New Roman" w:eastAsia="Times New Roman" w:hAnsi="Times New Roman"/>
          <w:sz w:val="18"/>
          <w:szCs w:val="18"/>
          <w:b w:val="1"/>
          <w:bCs w:val="1"/>
          <w:color w:val="auto"/>
        </w:rPr>
        <w:t>Purchase Orders</w:t>
      </w:r>
      <w:r>
        <w:rPr>
          <w:rFonts w:ascii="Times New Roman" w:cs="Times New Roman" w:eastAsia="Times New Roman" w:hAnsi="Times New Roman"/>
          <w:sz w:val="18"/>
          <w:szCs w:val="18"/>
          <w:color w:val="auto"/>
        </w:rPr>
        <w:t>”). All Purchase Orders are subject to acceptance by Aphria Diamond before they become binding on Aphria Diamond.</w:t>
      </w:r>
    </w:p>
    <w:p>
      <w:pPr>
        <w:spacing w:after="0" w:line="158" w:lineRule="exact"/>
        <w:rPr>
          <w:rFonts w:ascii="Times New Roman" w:cs="Times New Roman" w:eastAsia="Times New Roman" w:hAnsi="Times New Roman"/>
          <w:sz w:val="18"/>
          <w:szCs w:val="18"/>
          <w:color w:val="auto"/>
        </w:rPr>
      </w:pPr>
    </w:p>
    <w:p>
      <w:pPr>
        <w:ind w:left="2340" w:right="140" w:hanging="319"/>
        <w:spacing w:after="0" w:line="261" w:lineRule="auto"/>
        <w:tabs>
          <w:tab w:leader="none" w:pos="2340"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Order will designate the desired delivery dates for the Products and packaging configurations for the Products and will specify the Aphria Facility ordering the Products. Aphria shall not be required to deliver, and Aphria Diamond shall not accept, Purchase Orders for any Product to be delivered after the date of termination or expiration of this Agreement.</w:t>
      </w:r>
    </w:p>
    <w:p>
      <w:pPr>
        <w:spacing w:after="0" w:line="179" w:lineRule="exact"/>
        <w:rPr>
          <w:rFonts w:ascii="Times New Roman" w:cs="Times New Roman" w:eastAsia="Times New Roman" w:hAnsi="Times New Roman"/>
          <w:sz w:val="18"/>
          <w:szCs w:val="18"/>
          <w:color w:val="auto"/>
        </w:rPr>
      </w:pPr>
    </w:p>
    <w:p>
      <w:pPr>
        <w:ind w:left="2300" w:right="100" w:hanging="333"/>
        <w:spacing w:after="0" w:line="257" w:lineRule="auto"/>
        <w:tabs>
          <w:tab w:leader="none" w:pos="2300"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of accepted Products by Aphria Diamond to Aphria will be subject to the provisions of this Agreement and will not be subject to the terms and conditions contained in any Purchase Order of Aphria or confirmation of Aphria Diamond, except insofar as any such Purchase Order or confirmation establishes: (a) the type of Product to be sold;</w:t>
      </w:r>
    </w:p>
    <w:p>
      <w:pPr>
        <w:spacing w:after="0" w:line="1" w:lineRule="exact"/>
        <w:rPr>
          <w:rFonts w:ascii="Times New Roman" w:cs="Times New Roman" w:eastAsia="Times New Roman" w:hAnsi="Times New Roman"/>
          <w:sz w:val="18"/>
          <w:szCs w:val="18"/>
          <w:color w:val="auto"/>
        </w:rPr>
      </w:pPr>
    </w:p>
    <w:p>
      <w:pPr>
        <w:ind w:left="230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quantity of Products to be sold; (c) the delivery dates for those Products; (d) the packaging configuration for those Products; and I the location to which those Products are to be delivered.</w:t>
      </w:r>
    </w:p>
    <w:p>
      <w:pPr>
        <w:spacing w:after="0" w:line="181" w:lineRule="exact"/>
        <w:rPr>
          <w:rFonts w:ascii="Times New Roman" w:cs="Times New Roman" w:eastAsia="Times New Roman" w:hAnsi="Times New Roman"/>
          <w:sz w:val="18"/>
          <w:szCs w:val="18"/>
          <w:color w:val="auto"/>
        </w:rPr>
      </w:pPr>
    </w:p>
    <w:p>
      <w:pPr>
        <w:ind w:left="2300" w:right="220" w:hanging="333"/>
        <w:spacing w:after="0" w:line="282" w:lineRule="auto"/>
        <w:tabs>
          <w:tab w:leader="none" w:pos="230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Aphria shall have no obligation to purchase any quantities of Products that are not specifically set out in a Purchase Order provided by Aphria and accepted by Aphria Diamond.</w:t>
      </w:r>
    </w:p>
    <w:p>
      <w:pPr>
        <w:spacing w:after="0" w:line="162" w:lineRule="exact"/>
        <w:rPr>
          <w:sz w:val="20"/>
          <w:szCs w:val="20"/>
          <w:color w:val="auto"/>
        </w:rPr>
      </w:pPr>
    </w:p>
    <w:p>
      <w:pPr>
        <w:ind w:left="1380" w:hanging="331"/>
        <w:spacing w:after="0"/>
        <w:tabs>
          <w:tab w:leader="none" w:pos="1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Aphria Diamond shall use commercially reasonable efforts to deliver Products to Aphria within seven (7) days of the delivery date specified in the applicable Purchase Order, unless otherwise mutually agreed in writing by the Parties. Aphria Diamond shall not be liable for any delay in delivery if Aphria Diamond used commercially reasonable efforts to deliver Products within the time periods specified herein.</w:t>
      </w:r>
    </w:p>
    <w:p>
      <w:pPr>
        <w:spacing w:after="0" w:line="176" w:lineRule="exact"/>
        <w:rPr>
          <w:sz w:val="20"/>
          <w:szCs w:val="20"/>
          <w:color w:val="auto"/>
        </w:rPr>
      </w:pPr>
    </w:p>
    <w:p>
      <w:pPr>
        <w:ind w:left="1380" w:hanging="331"/>
        <w:spacing w:after="0"/>
        <w:tabs>
          <w:tab w:leader="none" w:pos="1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Supply Levels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Aphria Diamond anticipates that it will be unable to supply at least ninety percent (90%) (in grams) of the quantity of a Product ordered pursuant to a Purchase Order, Aphria Diamond shall notify Aphria as soon as reasonably practicable prior to the date on which Product is to be delivered to Aphria as contemplated in Section 7.2.</w:t>
      </w:r>
    </w:p>
    <w:p>
      <w:pPr>
        <w:spacing w:after="0" w:line="172" w:lineRule="exact"/>
        <w:rPr>
          <w:sz w:val="20"/>
          <w:szCs w:val="20"/>
          <w:color w:val="auto"/>
        </w:rPr>
      </w:pPr>
    </w:p>
    <w:p>
      <w:pPr>
        <w:ind w:left="840" w:hanging="331"/>
        <w:spacing w:after="0"/>
        <w:tabs>
          <w:tab w:leader="none" w:pos="8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PRICE AND PAYMENT</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 of Aphria Diamond Product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of the Product (the “</w:t>
      </w:r>
      <w:r>
        <w:rPr>
          <w:rFonts w:ascii="Times New Roman" w:cs="Times New Roman" w:eastAsia="Times New Roman" w:hAnsi="Times New Roman"/>
          <w:sz w:val="18"/>
          <w:szCs w:val="18"/>
          <w:b w:val="1"/>
          <w:bCs w:val="1"/>
          <w:color w:val="auto"/>
        </w:rPr>
        <w:t>Price Per Gram</w:t>
      </w:r>
      <w:r>
        <w:rPr>
          <w:rFonts w:ascii="Times New Roman" w:cs="Times New Roman" w:eastAsia="Times New Roman" w:hAnsi="Times New Roman"/>
          <w:sz w:val="18"/>
          <w:szCs w:val="18"/>
          <w:color w:val="auto"/>
        </w:rPr>
        <w:t>”) shall be as set forth in Schedule B.</w:t>
      </w:r>
    </w:p>
    <w:p>
      <w:pPr>
        <w:spacing w:after="0" w:line="229" w:lineRule="exact"/>
        <w:rPr>
          <w:sz w:val="20"/>
          <w:szCs w:val="20"/>
          <w:color w:val="auto"/>
        </w:rPr>
      </w:pPr>
    </w:p>
    <w:p>
      <w:pPr>
        <w:ind w:left="1380" w:hanging="331"/>
        <w:spacing w:after="0"/>
        <w:tabs>
          <w:tab w:leader="none" w:pos="1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and Inspections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Aphria Diamond will maintain accurate records containing sufficient data from which the purchase price payable pursuant to this Agreement may be calculated. Aphria Diamond will maintain those records for two (2) years after the end of the applicable contract year to which those records relate. Promptly following any request by Aphria, Aphria Diamond will permit examination of those records by Aphria during Aphria Diamond’s customary business hours.</w:t>
      </w:r>
    </w:p>
    <w:p>
      <w:pPr>
        <w:spacing w:after="0" w:line="180" w:lineRule="exact"/>
        <w:rPr>
          <w:sz w:val="20"/>
          <w:szCs w:val="20"/>
          <w:color w:val="auto"/>
        </w:rPr>
      </w:pPr>
    </w:p>
    <w:p>
      <w:pPr>
        <w:ind w:left="1380" w:hanging="331"/>
        <w:spacing w:after="0"/>
        <w:tabs>
          <w:tab w:leader="none" w:pos="1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80" w:right="120" w:hanging="331"/>
        <w:spacing w:after="0" w:line="282" w:lineRule="auto"/>
        <w:tabs>
          <w:tab w:leader="none" w:pos="1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all Products will be paid within thirty (30) days following the receipt of the invoice by Aphria from Aphria Diamond for Products delivered to Aphria during the preceding month, and/or consistent with past practices established between the parties.</w:t>
      </w:r>
    </w:p>
    <w:p>
      <w:pPr>
        <w:spacing w:after="0" w:line="162" w:lineRule="exact"/>
        <w:rPr>
          <w:sz w:val="20"/>
          <w:szCs w:val="20"/>
          <w:color w:val="auto"/>
        </w:rPr>
      </w:pPr>
    </w:p>
    <w:p>
      <w:pPr>
        <w:jc w:val="both"/>
        <w:ind w:left="1380" w:right="120" w:hanging="331"/>
        <w:spacing w:after="0" w:line="312" w:lineRule="auto"/>
        <w:tabs>
          <w:tab w:leader="none" w:pos="1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All prices under this Agreement shall be exclusive of applicable sales tax, for which Aphria will be responsible. Any payments under this Agreement shall be paid in full without any deduction or withholding of taxes, except to the extent required</w:t>
      </w:r>
    </w:p>
    <w:p>
      <w:pPr>
        <w:sectPr>
          <w:pgSz w:w="11900" w:h="16838" w:orient="portrait"/>
          <w:cols w:equalWidth="0" w:num="1">
            <w:col w:w="11080"/>
          </w:cols>
          <w:pgMar w:left="480" w:top="121" w:right="339" w:bottom="0" w:gutter="0" w:footer="0" w:header="0"/>
        </w:sectPr>
      </w:pPr>
    </w:p>
    <w:bookmarkStart w:id="80" w:name="page81"/>
    <w:bookmarkEnd w:id="80"/>
    <w:p>
      <w:pPr>
        <w:ind w:left="1380" w:right="140"/>
        <w:spacing w:after="0" w:line="266" w:lineRule="auto"/>
        <w:rPr>
          <w:sz w:val="20"/>
          <w:szCs w:val="20"/>
          <w:color w:val="auto"/>
        </w:rPr>
      </w:pPr>
      <w:r>
        <w:rPr>
          <w:rFonts w:ascii="Times New Roman" w:cs="Times New Roman" w:eastAsia="Times New Roman" w:hAnsi="Times New Roman"/>
          <w:sz w:val="18"/>
          <w:szCs w:val="18"/>
          <w:color w:val="auto"/>
        </w:rPr>
        <w:t>by law. If any taxes are required to be deducted or withheld by Aphria pursuant to legal requirements, Aphria will (i) pay the taxes to the taxing authority, and (ii) send proof of such payment to Aphria Diamond. Each Party agrees to use commercially reasonable efforts to assist the other Party in claiming any legal exemptions from the respective obligation to deduct or withhold tax.</w:t>
      </w:r>
    </w:p>
    <w:p>
      <w:pPr>
        <w:spacing w:after="0" w:line="172" w:lineRule="exact"/>
        <w:rPr>
          <w:sz w:val="20"/>
          <w:szCs w:val="20"/>
          <w:color w:val="auto"/>
        </w:rPr>
      </w:pPr>
    </w:p>
    <w:p>
      <w:pPr>
        <w:ind w:left="840" w:hanging="331"/>
        <w:spacing w:after="0"/>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QUALITY; PHARMACOVIGILANCE</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Complaints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ten (10) days after receiving a complaint regarding the quality of any Product, the Party that received such complaint will provide a copy of such complaint to the other Party. Aphria Diamond, in cooperation with Aphria, will promptly investigate any such complaint and will, as soon as reasonably practicable but in any event within thirty (30) days after receiving such complaint, provide a report to Aphria setting out the findings of such investigation in reasonable detail. Aphria shall be responsible for filing with the Canadian Regulatory Authority any report that may be required in respect of a quality complaint regarding any Product.</w:t>
      </w:r>
    </w:p>
    <w:p>
      <w:pPr>
        <w:spacing w:after="0" w:line="183" w:lineRule="exact"/>
        <w:rPr>
          <w:sz w:val="20"/>
          <w:szCs w:val="20"/>
          <w:color w:val="auto"/>
        </w:rPr>
      </w:pPr>
    </w:p>
    <w:p>
      <w:pPr>
        <w:ind w:left="1380" w:right="100" w:hanging="331"/>
        <w:spacing w:after="0" w:line="261" w:lineRule="auto"/>
        <w:tabs>
          <w:tab w:leader="none" w:pos="13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xml:space="preserve"> Each Party is responsible for fulfilling its technical, quality and Good Production Practices. The Parties agree to comply with the terms of the quality agreement (“</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which Quality Agreement shall be in the form attached hereto as Exhibit I to Schedule A. In the event of any conflict between the terms of the Quality Agreement and any other term of this Agreement, the terms of this Agreement shall be paramount.</w:t>
      </w:r>
    </w:p>
    <w:p>
      <w:pPr>
        <w:spacing w:after="0" w:line="175"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RECALLS</w:t>
      </w:r>
    </w:p>
    <w:p>
      <w:pPr>
        <w:spacing w:after="0" w:line="229" w:lineRule="exact"/>
        <w:rPr>
          <w:rFonts w:ascii="Times New Roman" w:cs="Times New Roman" w:eastAsia="Times New Roman" w:hAnsi="Times New Roman"/>
          <w:sz w:val="18"/>
          <w:szCs w:val="18"/>
          <w:color w:val="auto"/>
        </w:rPr>
      </w:pPr>
    </w:p>
    <w:p>
      <w:pPr>
        <w:ind w:left="1480" w:hanging="323"/>
        <w:spacing w:after="0" w:line="252" w:lineRule="auto"/>
        <w:tabs>
          <w:tab w:leader="none" w:pos="148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any Governmental Authority issues a request, directive or order that a Product be recalled, or (ii) a court of competent jurisdiction orders such a recall, or (iii) Aphria, after consultation with Aphria Diamond, reasonably determines that a Product should be recalled because the Product does not conform to Specifications, or (iv) Aphria Diamond, after consultation with Aphria, reasonably determines that a Product should be recalled for any reason, the Parties shall take all appropriate corrective actions reasonably requested by the other Party hereto or by any Governmental Authority. In the event that such recall results from the breach of Aphria Diamond’s representations, warranties and/or covenants under this Agreement, or Aphria Diamond is otherwise responsible for the recall, Aphria Diamond shall be responsible for 100% of the Expenses of the Recall. In the event the recall results from the breach of Aphria’s representations, warranties and/or covenants under this Agreement, or Aphria is otherwise responsible for the recall, Aphria shall be responsible for one hundred percent (100%) of Expenses of the Recall. In the event of a recall that is neither Party’s fault, the Parties shall evenly split the Expenses of the Recall. In the event of a recall that is the fault of both Parties, the Parties shall allocate the Expenses of the Recall between each of the Parties based on each Party’s respective culpability for such recall, with the Parties acting reasonably. For the purposes of this Agreement, “</w:t>
      </w:r>
      <w:r>
        <w:rPr>
          <w:rFonts w:ascii="Times New Roman" w:cs="Times New Roman" w:eastAsia="Times New Roman" w:hAnsi="Times New Roman"/>
          <w:sz w:val="18"/>
          <w:szCs w:val="18"/>
          <w:b w:val="1"/>
          <w:bCs w:val="1"/>
          <w:color w:val="auto"/>
        </w:rPr>
        <w:t>Expenses of the Recall</w:t>
      </w:r>
      <w:r>
        <w:rPr>
          <w:rFonts w:ascii="Times New Roman" w:cs="Times New Roman" w:eastAsia="Times New Roman" w:hAnsi="Times New Roman"/>
          <w:sz w:val="18"/>
          <w:szCs w:val="18"/>
          <w:color w:val="auto"/>
        </w:rPr>
        <w:t>” shall mean the reasonable and direct costs and expenses of notification of customers and destruction or return of the recalled Product, as well as any reasonable and direct out-of-pocket costs, solely in connection with any corrective action taken by Aphria Diamond. For greater certainty, Expenses of the Recall shall not include any indirect or consequential costs, loss of profits, business revenues, business interruption and the like, of either Party. Aphria shall lead and conduct a recall in accordance with its standard operating procedures and the Quality Agreement and Aphria Diamond shall fully cooperate with Aphria to assist with the recall process as necessary.</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1480" w:right="40" w:hanging="323"/>
        <w:spacing w:after="0" w:line="256" w:lineRule="auto"/>
        <w:tabs>
          <w:tab w:leader="none" w:pos="148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Allocation of Fault. </w:t>
      </w:r>
      <w:r>
        <w:rPr>
          <w:rFonts w:ascii="Times New Roman" w:cs="Times New Roman" w:eastAsia="Times New Roman" w:hAnsi="Times New Roman"/>
          <w:sz w:val="18"/>
          <w:szCs w:val="18"/>
          <w:color w:val="auto"/>
        </w:rPr>
        <w:t>If the Parties disagree as to the allocation of fault described above, Aphria Diamond shall deliver the samples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recalled Product to an Independent Laboratory for analytical testing to confirm the Product’s conformance to the Specifications and whether the Product does not conform with the Specifications as a result of a deficiency in the Rooted Cuttings provided by Aphria to Aphria Diamond. All costs and expenses associated with such third party testing shall be for the account of the Aphria if it is determined by the Independent Laboratory that the recalled Product did not meet the Specifications as a result of a deficiency in the Rooted Cuttings provided by Aphria Diamond, otherwise all costs and expenses for such third party testing shall be for the account of Aphria Diamond.</w:t>
      </w:r>
    </w:p>
    <w:p>
      <w:pPr>
        <w:spacing w:after="0" w:line="182"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p>
    <w:p>
      <w:pPr>
        <w:spacing w:after="0" w:line="229" w:lineRule="exact"/>
        <w:rPr>
          <w:rFonts w:ascii="Times New Roman" w:cs="Times New Roman" w:eastAsia="Times New Roman" w:hAnsi="Times New Roman"/>
          <w:sz w:val="18"/>
          <w:szCs w:val="18"/>
          <w:color w:val="auto"/>
        </w:rPr>
      </w:pPr>
    </w:p>
    <w:p>
      <w:pPr>
        <w:ind w:left="1480" w:right="20" w:hanging="323"/>
        <w:spacing w:after="0" w:line="254" w:lineRule="auto"/>
        <w:tabs>
          <w:tab w:leader="none" w:pos="148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shall be excused for any failure or delay in performing any of its obligations under this Agreement (other than payment obligations), if such failure or delay is caused by, or contributed to by, Force Majeure, or if performance of this Agreement becomes commercially impractical as a result of Force Majeure, provided that such Party shall (i) promptly notify the other Party in writing of the occurrence or circumstance upon which it intends to rely to excuse its performance, and (ii) promptly resume performance after the cause of such delay is removed. For purposes of this Agreement,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shall mean any act of God, accident, explosion, fire, storm, earthquake, flood, drought, riot, embargo, civil commotion, war, act of war, terrorism, act or order of any Governmental Authority or inability to obtain or delay in the delivery of raw materials, parts or completed merchandise by Aphria Diamond thereof, but shall specifically exclude labour disputes of either Party.</w:t>
      </w:r>
    </w:p>
    <w:p>
      <w:pPr>
        <w:spacing w:after="0" w:line="187"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2380" w:right="440" w:hanging="318"/>
        <w:spacing w:after="0" w:line="282" w:lineRule="auto"/>
        <w:tabs>
          <w:tab w:leader="none" w:pos="2380"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acknowledges that it does not have, and shall not acquire any interest in any of the other Party’s intellectual property unless otherwise expressly agreed in writing.</w:t>
      </w:r>
    </w:p>
    <w:p>
      <w:pPr>
        <w:spacing w:after="0" w:line="161" w:lineRule="exact"/>
        <w:rPr>
          <w:rFonts w:ascii="Times New Roman" w:cs="Times New Roman" w:eastAsia="Times New Roman" w:hAnsi="Times New Roman"/>
          <w:sz w:val="18"/>
          <w:szCs w:val="18"/>
          <w:color w:val="auto"/>
        </w:rPr>
      </w:pPr>
    </w:p>
    <w:p>
      <w:pPr>
        <w:jc w:val="both"/>
        <w:ind w:left="2340" w:right="240" w:hanging="319"/>
        <w:spacing w:after="0" w:line="266" w:lineRule="auto"/>
        <w:tabs>
          <w:tab w:leader="none" w:pos="2340"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not to use any trade names or trademarks of the other Party, except as specifically authorized by the other Party in writing or under this Agreement both as to the names or marks which may be used and as to the manner and prominence of use, except as required under Applicable Law.</w:t>
      </w:r>
    </w:p>
    <w:p>
      <w:pPr>
        <w:spacing w:after="0" w:line="175" w:lineRule="exact"/>
        <w:rPr>
          <w:rFonts w:ascii="Times New Roman" w:cs="Times New Roman" w:eastAsia="Times New Roman" w:hAnsi="Times New Roman"/>
          <w:sz w:val="18"/>
          <w:szCs w:val="18"/>
          <w:color w:val="auto"/>
        </w:rPr>
      </w:pPr>
    </w:p>
    <w:p>
      <w:pPr>
        <w:ind w:left="2300" w:right="60" w:hanging="333"/>
        <w:spacing w:after="0" w:line="289" w:lineRule="auto"/>
        <w:tabs>
          <w:tab w:leader="none" w:pos="2300" w:val="left"/>
        </w:tabs>
        <w:numPr>
          <w:ilvl w:val="3"/>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Aphria hereby grants to Aphria Diamond, the exclusive, limited, royalty free, revocable licence to use the word mark “Aphria” in Canada, solely as part of the composite name “Aphria Diamond” to connote the operating entity of 1974568 ONTARIO LIMITED. This limited licence will be automatically revoked and terminated by Aphria upon the termination</w:t>
      </w:r>
    </w:p>
    <w:p>
      <w:pPr>
        <w:sectPr>
          <w:pgSz w:w="11900" w:h="16838" w:orient="portrait"/>
          <w:cols w:equalWidth="0" w:num="1">
            <w:col w:w="11080"/>
          </w:cols>
          <w:pgMar w:left="480" w:top="121" w:right="339" w:bottom="0" w:gutter="0" w:footer="0" w:header="0"/>
        </w:sectPr>
      </w:pPr>
    </w:p>
    <w:bookmarkStart w:id="81" w:name="page82"/>
    <w:bookmarkEnd w:id="81"/>
    <w:p>
      <w:pPr>
        <w:ind w:left="2300" w:right="100"/>
        <w:spacing w:after="0" w:line="282" w:lineRule="auto"/>
        <w:rPr>
          <w:sz w:val="20"/>
          <w:szCs w:val="20"/>
          <w:color w:val="auto"/>
        </w:rPr>
      </w:pPr>
      <w:r>
        <w:rPr>
          <w:rFonts w:ascii="Times New Roman" w:cs="Times New Roman" w:eastAsia="Times New Roman" w:hAnsi="Times New Roman"/>
          <w:sz w:val="18"/>
          <w:szCs w:val="18"/>
          <w:color w:val="auto"/>
        </w:rPr>
        <w:t>of this Agreement or the winding up, liquidation, reorganisation, dissolution, bankruptcy or sale of all or substantially all of the assets of 1974568 ONTARIO LIMITED.</w:t>
      </w:r>
    </w:p>
    <w:p>
      <w:pPr>
        <w:spacing w:after="0" w:line="158" w:lineRule="exact"/>
        <w:rPr>
          <w:sz w:val="20"/>
          <w:szCs w:val="20"/>
          <w:color w:val="auto"/>
        </w:rPr>
      </w:pPr>
    </w:p>
    <w:p>
      <w:pPr>
        <w:ind w:left="740" w:hanging="325"/>
        <w:spacing w:after="0"/>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 INDEMNIFICATION AND LIMITATION OF LIABILITY</w:t>
      </w:r>
    </w:p>
    <w:p>
      <w:pPr>
        <w:spacing w:after="0" w:line="229" w:lineRule="exact"/>
        <w:rPr>
          <w:sz w:val="20"/>
          <w:szCs w:val="20"/>
          <w:color w:val="auto"/>
        </w:rPr>
      </w:pPr>
    </w:p>
    <w:p>
      <w:pPr>
        <w:ind w:left="1480" w:hanging="323"/>
        <w:spacing w:after="0"/>
        <w:tabs>
          <w:tab w:leader="none" w:pos="1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Party will (i) at all times during the Term and continuing for a period of two (2) years after the date of any expiration or termination of this Agreement, maintain in full force and effect, for the benefit of itself and the other Party, commercial general liability insurance which is sufficient to adequately protect against the risks associated with its ongoing business, including the risks which might possibly arise in connection with the transactions contemplated by this Agreement and in any event, will maintain product liability insurance in an amount not less than five million dollars ($5,000,000) for each occurrence and in the aggregate (it being understood that either Party may self-insure a portion of such coverage as may be commercially reasonable and furnishes adequate protection as described above), and (ii) use its commercially reasonable efforts to cause its insurer of such policy to provide that policy cannot be terminated or canceled without giving the other Party thirty (30) days prior written notice. During the Term, each Party’s insurance policy will name the other Party as an additional insured. Upon request by the other Party from time to time but not more often than once annually, each Party shall furnish the other with a certificate of insurance evidencing that such insurance coverage is in force.</w:t>
      </w:r>
    </w:p>
    <w:p>
      <w:pPr>
        <w:spacing w:after="0" w:line="188" w:lineRule="exact"/>
        <w:rPr>
          <w:sz w:val="20"/>
          <w:szCs w:val="20"/>
          <w:color w:val="auto"/>
        </w:rPr>
      </w:pPr>
    </w:p>
    <w:p>
      <w:pPr>
        <w:ind w:left="1380" w:hanging="331"/>
        <w:spacing w:after="0"/>
        <w:tabs>
          <w:tab w:leader="none" w:pos="1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Aphria Diamond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Aphria Diamond shall indemnify, defend and hold Aphria, and its respective officers, directors, employees, and representatives harmless from and against any and all losses, liabilities, damages, costs and expenses, including reasonable legal fees and disbursements (collectively,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claimed by a third party pursuant to any and all suits, investigations, claims or demands by third parties to the extent resulting from or arising out of: (i) any breach by Aphria Diamond, its Affiliates or their respective officers, directors, employees, or representatives of any representation, warranty and/or covenant of Aphria Diamond under this Agreement; (ii) any negligence or willful misconduct by Aphria Diamond, its Affiliates or their respective officers, directors, employees, or representatives; (iii) a Product defect caused by the failure of Aphria Diamond, its Affiliates or their respective officers, directors, employees, or representatives to comply with Good Production Practices and Applicable Laws; (iv) any product liability action arising from or in connection with the sale of the Products (including, design defect claims, product defect claims, or claims under strict liability in tort, except to the extent such product liability action arises from an indemnified event pursuant to Section 13.3); and/or (v) any failure to properly dispose of or destroy any Rejected Product in accordance with Applicable Laws.</w:t>
      </w:r>
    </w:p>
    <w:p>
      <w:pPr>
        <w:spacing w:after="0" w:line="194" w:lineRule="exact"/>
        <w:rPr>
          <w:sz w:val="20"/>
          <w:szCs w:val="20"/>
          <w:color w:val="auto"/>
        </w:rPr>
      </w:pPr>
    </w:p>
    <w:p>
      <w:pPr>
        <w:ind w:left="1380" w:hanging="331"/>
        <w:spacing w:after="0"/>
        <w:tabs>
          <w:tab w:leader="none" w:pos="1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Aphria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Aphria shall indemnify, defend and hold Aphria Diamond and its respective officers, directors, employees, and representatives harmless from and against any and all Damages claimed by a third party pursuant to any and all suits, investigations, claims or demands by third parties to the extent resulting from or arising out of: (i) any breach by Aphria or its respective officers, directors, employees or representatives of any representation, warranty and/or covenant of Aphria under this Agreement; (ii) any negligence or willful misconduct by Aphria or its respective officers, directors, employees or representatives; (iii) a Product defect caused by Aphria or its respective officers, directors, employees, or representatives; (iv) any product liability action arising from or in connection with the sale of Products (including design defect claims, product defect claims, or claims under strict liability in tort, except to the extent such product liability action arises from an indemnified event pursuant to Section 13.2).</w:t>
      </w:r>
    </w:p>
    <w:p>
      <w:pPr>
        <w:spacing w:after="0" w:line="189" w:lineRule="exact"/>
        <w:rPr>
          <w:sz w:val="20"/>
          <w:szCs w:val="20"/>
          <w:color w:val="auto"/>
        </w:rPr>
      </w:pPr>
    </w:p>
    <w:p>
      <w:pPr>
        <w:ind w:left="1380" w:hanging="331"/>
        <w:spacing w:after="0"/>
        <w:tabs>
          <w:tab w:leader="none" w:pos="1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obligations and rights of the each of the Parties as an Indemnifying Party (as defined below) or as an Indemnified Party (as defined below) under Section 13.2 or 13.3, as the case may be, with respect to claims of any third party that are subject to indemnification as provided for in Sections 13.2 or 13.3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shall be governed by and be contingent upon the following additional terms and conditions set forth in this Section 13.4. As soon as a Party becomes aware of a Third Party Claim (actual or threatened) for which it intends to seek indemnification under Section 13.2 (in the case of Aphria) or Section 13.3 (in the case of Aphria Diamond) (the Party seeking indemnification being referred to as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 Party obligated for indemnification being referred to as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the Indemnified Party shall give the Indemnifying Party prompt written notice and shall permit the Indemnifying Party to have control over the defense of such Third Party Claim. The Indemnified Party agrees to provide all reasonable information and assistance to the Indemnifying Party in such defense. The Indemnifying Party is authorized to direct all aspects of the defense for which it has an obligation of indemnification and defense hereunder, including selection of counsel, discovery, motions and settlement, provided that the Indemnifying Party may not settle or dispose of any such matter in any manner which would confess wrongdoing or otherwise adversely impact the rights or interest of the Indemnified Party without the prior written consent of the Indemnified Party, which consent may not be unreasonably withheld, conditioned or delayed.</w:t>
      </w:r>
    </w:p>
    <w:p>
      <w:pPr>
        <w:spacing w:after="0" w:line="190" w:lineRule="exact"/>
        <w:rPr>
          <w:sz w:val="20"/>
          <w:szCs w:val="20"/>
          <w:color w:val="auto"/>
        </w:rPr>
      </w:pPr>
    </w:p>
    <w:p>
      <w:pPr>
        <w:ind w:left="1380" w:right="120" w:hanging="331"/>
        <w:spacing w:after="0" w:line="253" w:lineRule="auto"/>
        <w:tabs>
          <w:tab w:leader="none" w:pos="13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APHRIA DIAMOND OR ANY OF ITS CONTRACTORS BE LIABLE FOR ANY INDIRECT, SPECIAL, INCIDENTAL, CONSEQUENTIAL, PUNITIVE OR EXEMPLARY DAMAGES, LOSS OF REVENUE OR LOSS OF PROFITS, REGARDLESS OF THE FORM OF ACTION, WHETHER IN CONTRACT OR IN TORT INCLUDING NEGLIGENCE OR INDEMNITY, EVEN IF ADVISED OF THE POSSIBILITY OF SUCH DAMAGES. OTHER THAN IN THE EVENT OF A RECALL, NEGLIGENCE OR WILLFUL MISCONDUCT. THE LIABILITY OF APHRIA DIAMOND OR ANY OF ITS CONTRACTORS SHALL NOT EXCEED THE AMOUNTS PAID OR PAYABLE TO APHRIA DIAMOND BY APHRIA PURSUANT TO THIS AGREEMENT IN THE PRECEDING THREE MONTHS FROM THE DATE OF THE CLAIM, REGARDLESS OF THE FORM OF ACTION, WHETHER IN CONTRACT OR IN TORT (INCLUDING AS SET OUT IN SECTION 13.2), EVEN IF ADVISED OF THE POSSIBILITY OF SUCH DAMAGES. APHRIA DIAMOND DISCLAIMS ALL IMPLIED WARRANTIES AND IMPLIED CONDITIONS.</w:t>
      </w:r>
    </w:p>
    <w:p>
      <w:pPr>
        <w:spacing w:after="0" w:line="190"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following events or circumstances shall constitute a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this Agreement:</w:t>
      </w:r>
    </w:p>
    <w:p>
      <w:pPr>
        <w:spacing w:after="0" w:line="229" w:lineRule="exact"/>
        <w:rPr>
          <w:sz w:val="20"/>
          <w:szCs w:val="20"/>
          <w:color w:val="auto"/>
        </w:rPr>
      </w:pPr>
    </w:p>
    <w:p>
      <w:pPr>
        <w:jc w:val="both"/>
        <w:ind w:left="2380" w:right="200" w:hanging="318"/>
        <w:spacing w:after="0" w:line="261" w:lineRule="auto"/>
        <w:tabs>
          <w:tab w:leader="none" w:pos="2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(a) admits its inability or is unable to pay its debts generally as they become due; (b) ceases to carry on business in the ordinary course; (c) is adjudged (or is sought by a creditor to be adjudged) a bankrupt or insolvent;</w:t>
      </w:r>
    </w:p>
    <w:p>
      <w:pPr>
        <w:ind w:left="2380" w:right="1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 makes an assignment or arrangement with or for the benefit of creditors; (e) has a custodian or receiver or receiver manager or any other official with similar powers appointed for it or a substantial portion of its properties or assets and</w:t>
      </w:r>
    </w:p>
    <w:p>
      <w:pPr>
        <w:sectPr>
          <w:pgSz w:w="11900" w:h="16838" w:orient="portrait"/>
          <w:cols w:equalWidth="0" w:num="1">
            <w:col w:w="11080"/>
          </w:cols>
          <w:pgMar w:left="480" w:top="121" w:right="339" w:bottom="0" w:gutter="0" w:footer="0" w:header="0"/>
        </w:sectPr>
      </w:pPr>
    </w:p>
    <w:bookmarkStart w:id="82" w:name="page83"/>
    <w:bookmarkEnd w:id="82"/>
    <w:p>
      <w:pPr>
        <w:ind w:left="2380" w:right="40"/>
        <w:spacing w:after="0" w:line="282" w:lineRule="auto"/>
        <w:rPr>
          <w:sz w:val="20"/>
          <w:szCs w:val="20"/>
          <w:color w:val="auto"/>
        </w:rPr>
      </w:pPr>
      <w:r>
        <w:rPr>
          <w:rFonts w:ascii="Times New Roman" w:cs="Times New Roman" w:eastAsia="Times New Roman" w:hAnsi="Times New Roman"/>
          <w:sz w:val="18"/>
          <w:szCs w:val="18"/>
          <w:color w:val="auto"/>
        </w:rPr>
        <w:t>such appointment is not dismissed or discharged within thirty (30) days thereof; or (f) seeks protection from its creditors under legislation affecting the rights of creditors generally or similar legislation;</w:t>
      </w:r>
    </w:p>
    <w:p>
      <w:pPr>
        <w:spacing w:after="0" w:line="158" w:lineRule="exact"/>
        <w:rPr>
          <w:sz w:val="20"/>
          <w:szCs w:val="20"/>
          <w:color w:val="auto"/>
        </w:rPr>
      </w:pPr>
    </w:p>
    <w:p>
      <w:pPr>
        <w:ind w:left="1380" w:right="40" w:hanging="331"/>
        <w:spacing w:after="0" w:line="259" w:lineRule="auto"/>
        <w:tabs>
          <w:tab w:leader="none" w:pos="13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Default by a Party hereto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the other Party (the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may by notice to the Defaulting Party declare the Defaulting Party to be in default and the Non-Defaulting Party, in its sole and absolute discretion, may terminate its rights and obligations under this Agreement by giving notice (an “</w:t>
      </w:r>
      <w:r>
        <w:rPr>
          <w:rFonts w:ascii="Times New Roman" w:cs="Times New Roman" w:eastAsia="Times New Roman" w:hAnsi="Times New Roman"/>
          <w:sz w:val="18"/>
          <w:szCs w:val="18"/>
          <w:b w:val="1"/>
          <w:bCs w:val="1"/>
          <w:color w:val="auto"/>
        </w:rPr>
        <w:t>Early Termination Notice</w:t>
      </w:r>
      <w:r>
        <w:rPr>
          <w:rFonts w:ascii="Times New Roman" w:cs="Times New Roman" w:eastAsia="Times New Roman" w:hAnsi="Times New Roman"/>
          <w:sz w:val="18"/>
          <w:szCs w:val="18"/>
          <w:color w:val="auto"/>
        </w:rPr>
        <w:t>”) to the Defaulting Party, without prejudice to its rights under this Agreement accrued to the date of termination and its rights to seek damages as a result of such Default and termination.</w:t>
      </w:r>
    </w:p>
    <w:p>
      <w:pPr>
        <w:spacing w:after="0" w:line="18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Regulatory Authority</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both"/>
        <w:ind w:left="2380" w:right="220" w:hanging="318"/>
        <w:spacing w:after="0" w:line="276" w:lineRule="auto"/>
        <w:tabs>
          <w:tab w:leader="none" w:pos="2380" w:val="left"/>
        </w:tabs>
        <w:numPr>
          <w:ilvl w:val="3"/>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Canadian Regulatory Authority or any third party challenges a Product and such challenge is reasonably likely, in the mutual determination of both Parties, to impact the commercial viability of such Product, Aphria may, upon thirty</w:t>
      </w:r>
    </w:p>
    <w:p>
      <w:pPr>
        <w:ind w:left="2380" w:right="160" w:firstLine="6"/>
        <w:spacing w:after="0" w:line="255" w:lineRule="auto"/>
        <w:tabs>
          <w:tab w:leader="none" w:pos="2725" w:val="left"/>
        </w:tabs>
        <w:numPr>
          <w:ilvl w:val="4"/>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to Aphria Diamond, (a) terminate its rights and obligations under this Agreement with respect to the Products that are subject to such challenge; and (b) cancel those portions of its existing Purchase Orders, without penalty or recourse by Aphria Diamond, relating to the Products that are subject to such challenge.</w:t>
      </w:r>
    </w:p>
    <w:p>
      <w:pPr>
        <w:spacing w:after="0" w:line="185" w:lineRule="exact"/>
        <w:rPr>
          <w:rFonts w:ascii="Times New Roman" w:cs="Times New Roman" w:eastAsia="Times New Roman" w:hAnsi="Times New Roman"/>
          <w:sz w:val="18"/>
          <w:szCs w:val="18"/>
          <w:color w:val="auto"/>
        </w:rPr>
      </w:pPr>
    </w:p>
    <w:p>
      <w:pPr>
        <w:ind w:left="2340" w:right="80" w:hanging="319"/>
        <w:spacing w:after="0" w:line="253" w:lineRule="auto"/>
        <w:tabs>
          <w:tab w:leader="none" w:pos="2340" w:val="left"/>
        </w:tabs>
        <w:numPr>
          <w:ilvl w:val="3"/>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Canadian Regulatory Authority provides notice to a Party that it intends to seek the withdrawal from the market of any of the Products, either Party shall have the right, but not the obligation, to challenge the Canadian Regulatory Authority’s proposed action and exhaust all avenues of redress available to such Party. If, following such challenge, the Canadian Regulatory Authority prevails in its effort to withdraw from the market any of the Products, as evidenced by a final, non-appealable administrative or legal order, then either Party may immediately upon written notice to the other Party: (a) terminate its rights and obligations under this Agreement with respect to the Products that are subject to such withdrawal; and (b) cancel those portions of any existing Purchase Orders, without penalty or recourse, relating to the Products that are subject to such withdrawal. In the event that a Party determines not to challenge the proposed regulatory action, the other Party may immediately upon written notice to such Party terminate its rights and obligations under this Agreement with respect to such Products (including under any Purchase Order).</w:t>
      </w:r>
    </w:p>
    <w:p>
      <w:pPr>
        <w:spacing w:after="0" w:line="190"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rFonts w:ascii="Times New Roman" w:cs="Times New Roman" w:eastAsia="Times New Roman" w:hAnsi="Times New Roman"/>
          <w:sz w:val="18"/>
          <w:szCs w:val="18"/>
          <w:color w:val="auto"/>
        </w:rPr>
      </w:pPr>
    </w:p>
    <w:p>
      <w:pPr>
        <w:ind w:left="1480" w:hanging="323"/>
        <w:spacing w:after="0"/>
        <w:tabs>
          <w:tab w:leader="none" w:pos="148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Litigious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for disputes requiring resolution pursuant to Section 6.3 of this Agreement, any dispute, controversy or claim arising out of or in connection with this Agreement, including any question regarding its existence, validity, interpretation, breach or termination (a “</w:t>
      </w:r>
      <w:r>
        <w:rPr>
          <w:rFonts w:ascii="Times New Roman" w:cs="Times New Roman" w:eastAsia="Times New Roman" w:hAnsi="Times New Roman"/>
          <w:sz w:val="18"/>
          <w:szCs w:val="18"/>
          <w:b w:val="1"/>
          <w:bCs w:val="1"/>
          <w:color w:val="auto"/>
        </w:rPr>
        <w:t>Litigious Dispute</w:t>
      </w:r>
      <w:r>
        <w:rPr>
          <w:rFonts w:ascii="Times New Roman" w:cs="Times New Roman" w:eastAsia="Times New Roman" w:hAnsi="Times New Roman"/>
          <w:sz w:val="18"/>
          <w:szCs w:val="18"/>
          <w:color w:val="auto"/>
        </w:rPr>
        <w:t>”), shall be referred, upon written notice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given by one Party to the other, to a senior executive from each Party. The senior executives shall seek to resolve the Litigious Dispute on an amicable basis within thirty (30) days of the Notice of Dispute being received. If both Parties agree, the Litigious Dispute may be referred to mediation before a mediator mutually agreed upon by the Parties or, failing such agreement, to be appointed by the ADR Institute of Canada, Inc. (the “</w:t>
      </w:r>
      <w:r>
        <w:rPr>
          <w:rFonts w:ascii="Times New Roman" w:cs="Times New Roman" w:eastAsia="Times New Roman" w:hAnsi="Times New Roman"/>
          <w:sz w:val="18"/>
          <w:szCs w:val="18"/>
          <w:b w:val="1"/>
          <w:bCs w:val="1"/>
          <w:color w:val="auto"/>
        </w:rPr>
        <w:t>ADRIC</w:t>
      </w:r>
      <w:r>
        <w:rPr>
          <w:rFonts w:ascii="Times New Roman" w:cs="Times New Roman" w:eastAsia="Times New Roman" w:hAnsi="Times New Roman"/>
          <w:sz w:val="18"/>
          <w:szCs w:val="18"/>
          <w:color w:val="auto"/>
        </w:rPr>
        <w:t>”). The Parties shall equally share the costs of the mediator, the mediation venue and the ADRIC.</w:t>
      </w:r>
    </w:p>
    <w:p>
      <w:pPr>
        <w:spacing w:after="0" w:line="187" w:lineRule="exact"/>
        <w:rPr>
          <w:sz w:val="20"/>
          <w:szCs w:val="20"/>
          <w:color w:val="auto"/>
        </w:rPr>
      </w:pPr>
    </w:p>
    <w:p>
      <w:pPr>
        <w:ind w:left="1380" w:hanging="331"/>
        <w:spacing w:after="0"/>
        <w:tabs>
          <w:tab w:leader="none" w:pos="1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the Litigious Dispute is not resolved within thirty (30) days of receipt of the Dispute Notice, the Litigious Dispute shall be referred to and finally resolved by arbitration in accordance with the Arbitration Rules of the ADR Institute of Canada, Inc.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but, subject to the agreement of both Parties, the ADRIC is not required to administer the arbitration (the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Unless otherwise agreed to in writing by the Parties:</w:t>
      </w:r>
    </w:p>
    <w:p>
      <w:pPr>
        <w:spacing w:after="0" w:line="176" w:lineRule="exact"/>
        <w:rPr>
          <w:sz w:val="20"/>
          <w:szCs w:val="20"/>
          <w:color w:val="auto"/>
        </w:rPr>
      </w:pPr>
    </w:p>
    <w:p>
      <w:pPr>
        <w:ind w:left="2380" w:hanging="318"/>
        <w:spacing w:after="0" w:line="261" w:lineRule="auto"/>
        <w:tabs>
          <w:tab w:leader="none" w:pos="2380" w:val="left"/>
        </w:tabs>
        <w:numPr>
          <w:ilvl w:val="4"/>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before one (1) arbitrator mutually agreed upon by the Parties. If the Parties are unable to agree upon an arbitrator within ten (10) Business Days of the commencement of the Arbitration, the arbitrator shall be appointed in accordance with the Rules and the Arbitration shall proceed thereafter as an administered arbitration under the auspices of the ADRIC;</w:t>
      </w:r>
    </w:p>
    <w:p>
      <w:pPr>
        <w:spacing w:after="0" w:line="179" w:lineRule="exact"/>
        <w:rPr>
          <w:rFonts w:ascii="Times New Roman" w:cs="Times New Roman" w:eastAsia="Times New Roman" w:hAnsi="Times New Roman"/>
          <w:sz w:val="18"/>
          <w:szCs w:val="18"/>
          <w:color w:val="auto"/>
        </w:rPr>
      </w:pPr>
    </w:p>
    <w:p>
      <w:pPr>
        <w:ind w:left="2340" w:hanging="319"/>
        <w:spacing w:after="0"/>
        <w:tabs>
          <w:tab w:leader="none" w:pos="2340" w:val="left"/>
        </w:tabs>
        <w:numPr>
          <w:ilvl w:val="4"/>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the Arbitration shall be Toronto, Ontario, Canada;</w:t>
      </w:r>
    </w:p>
    <w:p>
      <w:pPr>
        <w:spacing w:after="0" w:line="225" w:lineRule="exact"/>
        <w:rPr>
          <w:rFonts w:ascii="Times New Roman" w:cs="Times New Roman" w:eastAsia="Times New Roman" w:hAnsi="Times New Roman"/>
          <w:sz w:val="18"/>
          <w:szCs w:val="18"/>
          <w:color w:val="auto"/>
        </w:rPr>
      </w:pPr>
    </w:p>
    <w:p>
      <w:pPr>
        <w:ind w:left="2300" w:hanging="333"/>
        <w:spacing w:after="0"/>
        <w:tabs>
          <w:tab w:leader="none" w:pos="2300" w:val="left"/>
        </w:tabs>
        <w:numPr>
          <w:ilvl w:val="4"/>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of the Arbitration shall be English;</w:t>
      </w:r>
    </w:p>
    <w:p>
      <w:pPr>
        <w:spacing w:after="0" w:line="225" w:lineRule="exact"/>
        <w:rPr>
          <w:rFonts w:ascii="Times New Roman" w:cs="Times New Roman" w:eastAsia="Times New Roman" w:hAnsi="Times New Roman"/>
          <w:sz w:val="18"/>
          <w:szCs w:val="18"/>
          <w:color w:val="auto"/>
        </w:rPr>
      </w:pPr>
    </w:p>
    <w:p>
      <w:pPr>
        <w:jc w:val="both"/>
        <w:ind w:left="2300" w:right="180" w:hanging="333"/>
        <w:spacing w:after="0" w:line="266" w:lineRule="auto"/>
        <w:tabs>
          <w:tab w:leader="none" w:pos="2300" w:val="left"/>
        </w:tabs>
        <w:numPr>
          <w:ilvl w:val="3"/>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or determination of the arbitrator shall be final and binding on the Parties and there will be no appeal on any ground, including, for certainty, any appeal on a question of law, a question of fact, or a question of mixed fact and law; and</w:t>
      </w:r>
    </w:p>
    <w:p>
      <w:pPr>
        <w:spacing w:after="0" w:line="175" w:lineRule="exact"/>
        <w:rPr>
          <w:rFonts w:ascii="Times New Roman" w:cs="Times New Roman" w:eastAsia="Times New Roman" w:hAnsi="Times New Roman"/>
          <w:sz w:val="18"/>
          <w:szCs w:val="18"/>
          <w:color w:val="auto"/>
        </w:rPr>
      </w:pPr>
    </w:p>
    <w:p>
      <w:pPr>
        <w:ind w:left="2340" w:right="20" w:hanging="319"/>
        <w:spacing w:after="0" w:line="261" w:lineRule="auto"/>
        <w:tabs>
          <w:tab w:leader="none" w:pos="2340" w:val="left"/>
        </w:tabs>
        <w:numPr>
          <w:ilvl w:val="3"/>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relating to the Arbitration, including all documents created in the course of or for the purposes of the Arbitration and any interim or final decision, order or award in the Arbitration, shall be kept confidential and shall not be disclosed by any Party to any third party (excluding their respective legal counsel and where necessary, financial advisors) without the prior written consent of the other Party, or unless required by Applicable Laws.</w:t>
      </w:r>
    </w:p>
    <w:p>
      <w:pPr>
        <w:spacing w:after="0" w:line="179" w:lineRule="exact"/>
        <w:rPr>
          <w:rFonts w:ascii="Times New Roman" w:cs="Times New Roman" w:eastAsia="Times New Roman" w:hAnsi="Times New Roman"/>
          <w:sz w:val="18"/>
          <w:szCs w:val="18"/>
          <w:color w:val="auto"/>
        </w:rPr>
      </w:pPr>
    </w:p>
    <w:p>
      <w:pPr>
        <w:ind w:left="1380" w:right="20" w:hanging="331"/>
        <w:spacing w:after="0" w:line="258" w:lineRule="auto"/>
        <w:tabs>
          <w:tab w:leader="none" w:pos="13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Urgent Interim Measures</w:t>
      </w:r>
      <w:r>
        <w:rPr>
          <w:rFonts w:ascii="Times New Roman" w:cs="Times New Roman" w:eastAsia="Times New Roman" w:hAnsi="Times New Roman"/>
          <w:sz w:val="18"/>
          <w:szCs w:val="18"/>
          <w:color w:val="auto"/>
        </w:rPr>
        <w:t>. Notwithstanding the timelines set out in Sections 15.1 and 15.2 above, to the extent that any Party has a Litigious Dispute that requires urgent interlocutory relief or urgent interim measures, that Party may commence an urgent interim measures application pursuant to the Rules. Any such application shall proceed as an Arbitration administered by the ADRIC. The Parties shall not commence legal proceedings in any court in connection with a request for urgent interlocutory relief or urgent interim measures.</w:t>
      </w:r>
    </w:p>
    <w:p>
      <w:pPr>
        <w:spacing w:after="0" w:line="179"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rFonts w:ascii="Times New Roman" w:cs="Times New Roman" w:eastAsia="Times New Roman" w:hAnsi="Times New Roman"/>
          <w:sz w:val="18"/>
          <w:szCs w:val="18"/>
          <w:color w:val="auto"/>
        </w:rPr>
      </w:pPr>
    </w:p>
    <w:p>
      <w:pPr>
        <w:jc w:val="both"/>
        <w:ind w:left="1480" w:hanging="323"/>
        <w:spacing w:after="0" w:line="266" w:lineRule="auto"/>
        <w:tabs>
          <w:tab w:leader="none" w:pos="148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The Parties hereto acknowledge that this Agreement, together with all documents referred to in this Agreement and all schedules attached hereto, sets forth the entire agreement and understanding of the Parties and supersedes all prior and contemporaneous written and/or oral agreements and/or understandings with respect to the subject matter of this Agreement,</w:t>
      </w:r>
    </w:p>
    <w:p>
      <w:pPr>
        <w:sectPr>
          <w:pgSz w:w="11900" w:h="16838" w:orient="portrait"/>
          <w:cols w:equalWidth="0" w:num="1">
            <w:col w:w="11080"/>
          </w:cols>
          <w:pgMar w:left="480" w:top="121" w:right="339" w:bottom="0" w:gutter="0" w:footer="0" w:header="0"/>
        </w:sectPr>
      </w:pPr>
    </w:p>
    <w:bookmarkStart w:id="83" w:name="page84"/>
    <w:bookmarkEnd w:id="83"/>
    <w:p>
      <w:pPr>
        <w:ind w:left="1488" w:right="320"/>
        <w:spacing w:after="0" w:line="289" w:lineRule="auto"/>
        <w:rPr>
          <w:sz w:val="20"/>
          <w:szCs w:val="20"/>
          <w:color w:val="auto"/>
        </w:rPr>
      </w:pPr>
      <w:r>
        <w:rPr>
          <w:rFonts w:ascii="Times New Roman" w:cs="Times New Roman" w:eastAsia="Times New Roman" w:hAnsi="Times New Roman"/>
          <w:sz w:val="17"/>
          <w:szCs w:val="17"/>
          <w:color w:val="auto"/>
        </w:rPr>
        <w:t>including the Original Supply Agreement and any other ancillary agreements among the Parties. No modification of any of the terms of this Agreement or any amendments thereto shall be deemed to be valid unless in writing and signed by the Party against whom enforcement is sought. No course of dealing or usage of trade shall be used to modify the terms and conditions herein.</w:t>
      </w:r>
    </w:p>
    <w:p>
      <w:pPr>
        <w:spacing w:after="0" w:line="158" w:lineRule="exact"/>
        <w:rPr>
          <w:sz w:val="20"/>
          <w:szCs w:val="20"/>
          <w:color w:val="auto"/>
        </w:rPr>
      </w:pPr>
    </w:p>
    <w:p>
      <w:pPr>
        <w:ind w:left="1488" w:hanging="323"/>
        <w:spacing w:after="0"/>
        <w:tabs>
          <w:tab w:leader="none" w:pos="14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All currency amounts in this Agreement are stated in Canadian dollars.</w:t>
      </w:r>
    </w:p>
    <w:p>
      <w:pPr>
        <w:spacing w:after="0" w:line="225" w:lineRule="exact"/>
        <w:rPr>
          <w:sz w:val="20"/>
          <w:szCs w:val="20"/>
          <w:color w:val="auto"/>
        </w:rPr>
      </w:pPr>
    </w:p>
    <w:p>
      <w:pPr>
        <w:ind w:left="1388" w:hanging="331"/>
        <w:spacing w:after="0"/>
        <w:tabs>
          <w:tab w:leader="none" w:pos="13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80"/>
        <w:spacing w:after="0" w:line="282" w:lineRule="auto"/>
        <w:rPr>
          <w:sz w:val="20"/>
          <w:szCs w:val="20"/>
          <w:color w:val="auto"/>
        </w:rPr>
      </w:pPr>
      <w:r>
        <w:rPr>
          <w:rFonts w:ascii="Times New Roman" w:cs="Times New Roman" w:eastAsia="Times New Roman" w:hAnsi="Times New Roman"/>
          <w:sz w:val="18"/>
          <w:szCs w:val="18"/>
          <w:color w:val="auto"/>
        </w:rPr>
        <w:t>No waiver by either Party of any default or other breach of this Agreement shall be effective unless in writing, nor will any waiver operate as a waiver of any other default or other breach of this Agreement, including the same default or breach on a future occasion.</w:t>
      </w:r>
    </w:p>
    <w:p>
      <w:pPr>
        <w:spacing w:after="0" w:line="162" w:lineRule="exact"/>
        <w:rPr>
          <w:sz w:val="20"/>
          <w:szCs w:val="20"/>
          <w:color w:val="auto"/>
        </w:rPr>
      </w:pPr>
    </w:p>
    <w:p>
      <w:pPr>
        <w:ind w:left="1388" w:hanging="331"/>
        <w:spacing w:after="0"/>
        <w:tabs>
          <w:tab w:leader="none" w:pos="13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to Third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Each Party represents and warrants that its obligations under this Agreement do not violate any of its obligations, express or implied, undertaken with any third party.</w:t>
      </w:r>
    </w:p>
    <w:p>
      <w:pPr>
        <w:spacing w:after="0" w:line="162" w:lineRule="exact"/>
        <w:rPr>
          <w:sz w:val="20"/>
          <w:szCs w:val="20"/>
          <w:color w:val="auto"/>
        </w:rPr>
      </w:pPr>
    </w:p>
    <w:p>
      <w:pPr>
        <w:ind w:left="1388" w:hanging="331"/>
        <w:spacing w:after="0"/>
        <w:tabs>
          <w:tab w:leader="none" w:pos="138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80"/>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successors, permitted assigns and transferee of each of the Parties. This Agreement may not be assigned or transferred by either Party without the prior written consent of the other Party, which consent will not be unreasonably withheld, conditioned or delayed. A Party may, however, assign its rights hereunder to an affiliate with the written consent of the other Party which shall not be unreasonably withheld. No assignment shall release the original Party hereto from its duties and obligations under this Agreement.</w:t>
      </w:r>
    </w:p>
    <w:p>
      <w:pPr>
        <w:spacing w:after="0" w:line="180" w:lineRule="exact"/>
        <w:rPr>
          <w:sz w:val="20"/>
          <w:szCs w:val="20"/>
          <w:color w:val="auto"/>
        </w:rPr>
      </w:pPr>
    </w:p>
    <w:p>
      <w:pPr>
        <w:ind w:left="1388" w:right="220" w:hanging="331"/>
        <w:spacing w:after="0" w:line="258" w:lineRule="auto"/>
        <w:tabs>
          <w:tab w:leader="none" w:pos="13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will be governed by, and construed, interpreted and enforced in accordance with, the laws in force in the Province of Ontario (excluding any rule or principle of the conflict of laws which might refer such construction or interpretation to the laws of another jurisdiction) and the laws of Canada applicable therein. The Parties hereby irrevocably attorn to the exclusive jurisdiction of the courts of the Province of Ontario for any legal proceedings arising out of this Agreement or the performance of the obligations hereunder.</w:t>
      </w:r>
    </w:p>
    <w:p>
      <w:pPr>
        <w:spacing w:after="0" w:line="183" w:lineRule="exact"/>
        <w:rPr>
          <w:rFonts w:ascii="Times New Roman" w:cs="Times New Roman" w:eastAsia="Times New Roman" w:hAnsi="Times New Roman"/>
          <w:sz w:val="18"/>
          <w:szCs w:val="18"/>
          <w:color w:val="auto"/>
        </w:rPr>
      </w:pPr>
    </w:p>
    <w:p>
      <w:pPr>
        <w:ind w:left="1388" w:hanging="331"/>
        <w:spacing w:after="0"/>
        <w:tabs>
          <w:tab w:leader="none" w:pos="13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800"/>
        <w:spacing w:after="0" w:line="282" w:lineRule="auto"/>
        <w:rPr>
          <w:sz w:val="20"/>
          <w:szCs w:val="20"/>
          <w:color w:val="auto"/>
        </w:rPr>
      </w:pPr>
      <w:r>
        <w:rPr>
          <w:rFonts w:ascii="Times New Roman" w:cs="Times New Roman" w:eastAsia="Times New Roman" w:hAnsi="Times New Roman"/>
          <w:sz w:val="18"/>
          <w:szCs w:val="18"/>
          <w:color w:val="auto"/>
        </w:rPr>
        <w:t>Time is of the essence of each provision of this Agreement, including with respect to delivery of Products, and no extension or variation of this Agreement shall operate as a waiver of this provision.</w:t>
      </w:r>
    </w:p>
    <w:p>
      <w:pPr>
        <w:spacing w:after="0" w:line="162" w:lineRule="exact"/>
        <w:rPr>
          <w:sz w:val="20"/>
          <w:szCs w:val="20"/>
          <w:color w:val="auto"/>
        </w:rPr>
      </w:pPr>
    </w:p>
    <w:p>
      <w:pPr>
        <w:ind w:left="1388" w:hanging="331"/>
        <w:spacing w:after="0"/>
        <w:tabs>
          <w:tab w:leader="none" w:pos="13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notice or other communication required or permitted to be given pursuant to this Agreement shall be deemed to have been sufficiently given if in</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writing and either delivered by e-mail, facsimile transmission (with electronic receipt), overnight courier service against receipt or sent by registered 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certified mail, return receipt requested, addressed as indicated below:</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to Aphria Diamond: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1974568 Ontario Limited.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2237 Essex Rd. 31</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Kingsville, Ontario, N9Y 2E5</w:t>
      </w:r>
    </w:p>
    <w:p>
      <w:pPr>
        <w:spacing w:after="0" w:line="9"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to Aphria: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Aphria Inc.</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98 Talbot Street West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Leamington, Ontario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N8H 1M8</w:t>
      </w:r>
    </w:p>
    <w:p>
      <w:pPr>
        <w:spacing w:after="0" w:line="9"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With copy to: ***</w:t>
      </w:r>
    </w:p>
    <w:p>
      <w:pPr>
        <w:spacing w:after="0" w:line="9"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7"/>
          <w:szCs w:val="17"/>
          <w:color w:val="auto"/>
        </w:rPr>
        <w:t>Notice so given will be deemed to have been given and received on: (i) the same day the notice is sent if transmission of the notice is by e-mail or facsimile sent before 4:00 pm (recipient’s time) on a Business Day; (ii) the next Business Day following the date that the notice is sent if transmission of the notice is by e-mail or facsimile transmission sent on a day that is not a Business Day or sent on or after 4:00 pm (recipient’s time) on a Business Day;</w:t>
      </w:r>
    </w:p>
    <w:p>
      <w:pPr>
        <w:jc w:val="both"/>
        <w:ind w:left="8" w:right="180" w:hanging="8"/>
        <w:spacing w:after="0" w:line="255" w:lineRule="auto"/>
        <w:tabs>
          <w:tab w:leader="none" w:pos="3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of delivery of the notice by overnight courier service; or (iv) on the seventh Business Day following the day of mailing. Any party from time to time by notice given pursuant to the terms of this Agreement may change its address for the purpose of this Agreement. In the event of actual or threatened disruption of postal service, notice will be delivered by overnight courier service or sent by facsimile or e-mail.</w:t>
      </w:r>
    </w:p>
    <w:p>
      <w:pPr>
        <w:spacing w:after="0" w:line="186" w:lineRule="exact"/>
        <w:rPr>
          <w:sz w:val="20"/>
          <w:szCs w:val="20"/>
          <w:color w:val="auto"/>
        </w:rPr>
      </w:pPr>
    </w:p>
    <w:p>
      <w:pPr>
        <w:ind w:left="1388" w:hanging="331"/>
        <w:spacing w:after="0"/>
        <w:tabs>
          <w:tab w:leader="none" w:pos="13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80"/>
        <w:spacing w:after="0" w:line="261" w:lineRule="auto"/>
        <w:rPr>
          <w:sz w:val="20"/>
          <w:szCs w:val="20"/>
          <w:color w:val="auto"/>
        </w:rPr>
      </w:pPr>
      <w:r>
        <w:rPr>
          <w:rFonts w:ascii="Times New Roman" w:cs="Times New Roman" w:eastAsia="Times New Roman" w:hAnsi="Times New Roman"/>
          <w:sz w:val="18"/>
          <w:szCs w:val="18"/>
          <w:color w:val="auto"/>
        </w:rPr>
        <w:t>If any provision hereof should be held invalid, illegal or unenforceable in any respect in any jurisdiction, then, to the fullest extent permitted by Applicable Law, all other provisions hereof shall remain in full force and effect in such jurisdiction and shall be liberally construed in order to carry out the intentions of the Parties hereto as nearly as may be possible; provided, however, that nothing herein shall be construed so as to defeat the overall intention of the Parties.</w:t>
      </w:r>
    </w:p>
    <w:p>
      <w:pPr>
        <w:spacing w:after="0" w:line="180" w:lineRule="exact"/>
        <w:rPr>
          <w:sz w:val="20"/>
          <w:szCs w:val="20"/>
          <w:color w:val="auto"/>
        </w:rPr>
      </w:pPr>
    </w:p>
    <w:p>
      <w:pPr>
        <w:ind w:left="1288" w:hanging="325"/>
        <w:spacing w:after="0"/>
        <w:tabs>
          <w:tab w:leader="none" w:pos="128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500"/>
        <w:spacing w:after="0" w:line="282" w:lineRule="auto"/>
        <w:rPr>
          <w:sz w:val="20"/>
          <w:szCs w:val="20"/>
          <w:color w:val="auto"/>
        </w:rPr>
      </w:pPr>
      <w:r>
        <w:rPr>
          <w:rFonts w:ascii="Times New Roman" w:cs="Times New Roman" w:eastAsia="Times New Roman" w:hAnsi="Times New Roman"/>
          <w:sz w:val="18"/>
          <w:szCs w:val="18"/>
          <w:color w:val="auto"/>
        </w:rPr>
        <w:t>The headings used in this Agreement are for convenience only and are not a part of this Agreement. This Agreement shall be deemed to have been drafted jointly by both Aphria and Aphria Diamond for purposes of interpreting any of the terms or provisions of this Agreement.</w:t>
      </w:r>
    </w:p>
    <w:p>
      <w:pPr>
        <w:spacing w:after="0" w:line="162" w:lineRule="exact"/>
        <w:rPr>
          <w:sz w:val="20"/>
          <w:szCs w:val="20"/>
          <w:color w:val="auto"/>
        </w:rPr>
      </w:pPr>
    </w:p>
    <w:p>
      <w:pPr>
        <w:ind w:left="1288" w:hanging="325"/>
        <w:spacing w:after="0"/>
        <w:tabs>
          <w:tab w:leader="none" w:pos="12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ectPr>
          <w:pgSz w:w="11900" w:h="16838" w:orient="portrait"/>
          <w:cols w:equalWidth="0" w:num="1">
            <w:col w:w="11088"/>
          </w:cols>
          <w:pgMar w:left="472" w:top="121" w:right="339" w:bottom="0" w:gutter="0" w:footer="0" w:header="0"/>
        </w:sectPr>
      </w:pPr>
    </w:p>
    <w:bookmarkStart w:id="84" w:name="page85"/>
    <w:bookmarkEnd w:id="8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counterparts, when so executed and delivered, shall be deemed to be an original, and all of which counterparts, taken together, shall constitute one and the same instrument. Any counterpart may be signed and transmitted by facsimile or PDF with the same force and effect as if such counterpart was a signed original.</w:t>
      </w:r>
    </w:p>
    <w:p>
      <w:pPr>
        <w:spacing w:after="0" w:line="176" w:lineRule="exact"/>
        <w:rPr>
          <w:sz w:val="20"/>
          <w:szCs w:val="20"/>
          <w:color w:val="auto"/>
        </w:rPr>
      </w:pPr>
    </w:p>
    <w:p>
      <w:pPr>
        <w:ind w:left="1280" w:hanging="325"/>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Parties agree that each is acting as an independent contractor with respect to the other and nothing contained in this Agreement is intended, or is to be construed, to constitute Aphria and Aphria Diamond as partners or joint venturers or Aphria or Aphria Diamond as an agent of the other. Neither Party hereto shall have any express or implied right or authority to assume or create any obligations on behalf of or in the name of the other Party or to bind the other Party to any contract, agreement or undertaking.</w:t>
      </w:r>
    </w:p>
    <w:p>
      <w:pPr>
        <w:spacing w:after="0" w:line="180" w:lineRule="exact"/>
        <w:rPr>
          <w:sz w:val="20"/>
          <w:szCs w:val="20"/>
          <w:color w:val="auto"/>
        </w:rPr>
      </w:pPr>
    </w:p>
    <w:p>
      <w:pPr>
        <w:ind w:left="1280" w:hanging="325"/>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Parties shall sign such further and other documents and shall perform and cause to be done and performed such further and other acts and things as may be necessary or desirable in order to give full effect to this Agreement.</w:t>
      </w:r>
    </w:p>
    <w:p>
      <w:pPr>
        <w:spacing w:after="0" w:line="162" w:lineRule="exact"/>
        <w:rPr>
          <w:sz w:val="20"/>
          <w:szCs w:val="20"/>
          <w:color w:val="auto"/>
        </w:rPr>
      </w:pPr>
    </w:p>
    <w:p>
      <w:pPr>
        <w:ind w:left="1280" w:hanging="325"/>
        <w:spacing w:after="0" w:line="266" w:lineRule="auto"/>
        <w:tabs>
          <w:tab w:leader="none" w:pos="1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following sections shall survive the expiration or termination of this Agreement, regardless of the reasons for its expiration or termination, in addition to any other provision which by law or by its nature should survive: 1, 8.1, 8.2, 10, 12, 13, 15, 16, Schedule A, Exhibit I and Schedule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241300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80" w:top="121" w:right="399" w:bottom="1440" w:gutter="0" w:footer="0" w:header="0"/>
        </w:sectPr>
      </w:pPr>
    </w:p>
    <w:bookmarkStart w:id="85" w:name="page86"/>
    <w:bookmarkEnd w:id="85"/>
    <w:p>
      <w:pPr>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each caused this Agreement to be executed by their duly authorized officers as of the date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1974568 ONTARIO LIMITED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5715</wp:posOffset>
            </wp:positionV>
            <wp:extent cx="3265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APHRIA INC.</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5715</wp:posOffset>
            </wp:positionV>
            <wp:extent cx="3265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80"/>
          </w:cols>
          <w:pgMar w:left="480" w:top="57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EXHIBIT 10.2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WAIVER TO CREDIT AGREEMENT</w:t>
      </w:r>
    </w:p>
    <w:p>
      <w:pPr>
        <w:spacing w:after="0" w:line="223" w:lineRule="exact"/>
        <w:rPr>
          <w:sz w:val="20"/>
          <w:szCs w:val="20"/>
          <w:color w:val="auto"/>
        </w:rPr>
      </w:pPr>
    </w:p>
    <w:p>
      <w:pPr>
        <w:jc w:val="both"/>
        <w:ind w:left="160" w:firstLine="648"/>
        <w:spacing w:after="0" w:line="261" w:lineRule="auto"/>
        <w:rPr>
          <w:sz w:val="20"/>
          <w:szCs w:val="20"/>
          <w:color w:val="auto"/>
        </w:rPr>
      </w:pPr>
      <w:r>
        <w:rPr>
          <w:rFonts w:ascii="Times New Roman" w:cs="Times New Roman" w:eastAsia="Times New Roman" w:hAnsi="Times New Roman"/>
          <w:sz w:val="18"/>
          <w:szCs w:val="18"/>
          <w:color w:val="auto"/>
        </w:rPr>
        <w:t>THIS WAIVER TO CREDIT AGREEMENT dated as of January 5, 2024 (this “</w:t>
      </w:r>
      <w:r>
        <w:rPr>
          <w:rFonts w:ascii="Times New Roman" w:cs="Times New Roman" w:eastAsia="Times New Roman" w:hAnsi="Times New Roman"/>
          <w:sz w:val="18"/>
          <w:szCs w:val="18"/>
          <w:i w:val="1"/>
          <w:iCs w:val="1"/>
          <w:u w:val="single" w:color="auto"/>
          <w:color w:val="auto"/>
        </w:rPr>
        <w:t>Waiver</w:t>
      </w:r>
      <w:r>
        <w:rPr>
          <w:rFonts w:ascii="Times New Roman" w:cs="Times New Roman" w:eastAsia="Times New Roman" w:hAnsi="Times New Roman"/>
          <w:sz w:val="18"/>
          <w:szCs w:val="18"/>
          <w:color w:val="auto"/>
        </w:rPr>
        <w:t>”) is by and among FOUR TWENTY CORPORATION, a Delaware corporation (the “</w:t>
      </w:r>
      <w:r>
        <w:rPr>
          <w:rFonts w:ascii="Times New Roman" w:cs="Times New Roman" w:eastAsia="Times New Roman" w:hAnsi="Times New Roman"/>
          <w:sz w:val="18"/>
          <w:szCs w:val="18"/>
          <w:i w:val="1"/>
          <w:iCs w:val="1"/>
          <w:u w:val="single" w:color="auto"/>
          <w:color w:val="auto"/>
        </w:rPr>
        <w:t>Borrower</w:t>
      </w:r>
      <w:r>
        <w:rPr>
          <w:rFonts w:ascii="Times New Roman" w:cs="Times New Roman" w:eastAsia="Times New Roman" w:hAnsi="Times New Roman"/>
          <w:sz w:val="18"/>
          <w:szCs w:val="18"/>
          <w:color w:val="auto"/>
        </w:rPr>
        <w:t>”), the Guarantors identified on the signature pages hereto, the Lenders identified on the signature pages hereto and BANK OF AMERICA, N.A., in its capacity as Administrative Agent (in such capacity, the “</w:t>
      </w:r>
      <w:r>
        <w:rPr>
          <w:rFonts w:ascii="Times New Roman" w:cs="Times New Roman" w:eastAsia="Times New Roman" w:hAnsi="Times New Roman"/>
          <w:sz w:val="18"/>
          <w:szCs w:val="18"/>
          <w:i w:val="1"/>
          <w:iCs w:val="1"/>
          <w:u w:val="single" w:color="auto"/>
          <w:color w:val="auto"/>
        </w:rPr>
        <w:t>Administrative Agent</w:t>
      </w:r>
      <w:r>
        <w:rPr>
          <w:rFonts w:ascii="Times New Roman" w:cs="Times New Roman" w:eastAsia="Times New Roman" w:hAnsi="Times New Roman"/>
          <w:sz w:val="18"/>
          <w:szCs w:val="18"/>
          <w:color w:val="auto"/>
        </w:rPr>
        <w:t>”), Swingline Lender and L/C Issuer.</w:t>
      </w:r>
    </w:p>
    <w:p>
      <w:pPr>
        <w:spacing w:after="0" w:line="1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left="160" w:firstLine="648"/>
        <w:spacing w:after="0" w:line="266" w:lineRule="auto"/>
        <w:rPr>
          <w:sz w:val="20"/>
          <w:szCs w:val="20"/>
          <w:color w:val="auto"/>
        </w:rPr>
      </w:pPr>
      <w:r>
        <w:rPr>
          <w:rFonts w:ascii="Times New Roman" w:cs="Times New Roman" w:eastAsia="Times New Roman" w:hAnsi="Times New Roman"/>
          <w:sz w:val="18"/>
          <w:szCs w:val="18"/>
          <w:color w:val="auto"/>
        </w:rPr>
        <w:t>WHEREAS, a credit facility has been extended to the Borrower pursuant to the Credit Agreement dated as of June 30, 2023 by and among the Borrower, the Guarantors identified therein, the Lenders identified therein and Bank of America, N.A., as Administrative Agent, Swingline Lender and L/C Issuer (as amended, modified, supplemented, restated and extended from time to time, the “</w:t>
      </w: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the Borrower has informed the Administrative Agent that a potential Event of Default may exist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of the Credit Agreement as a result of the Borrower’s potential failure to comply with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of the Credit Agreement with respect to the four Fiscal Quarter Period ended November 30, 2023 (the “</w:t>
      </w:r>
      <w:r>
        <w:rPr>
          <w:rFonts w:ascii="Times New Roman" w:cs="Times New Roman" w:eastAsia="Times New Roman" w:hAnsi="Times New Roman"/>
          <w:sz w:val="18"/>
          <w:szCs w:val="18"/>
          <w:i w:val="1"/>
          <w:iCs w:val="1"/>
          <w:u w:val="single" w:color="auto"/>
          <w:color w:val="auto"/>
        </w:rPr>
        <w:t>Potential 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WHEREAS, the Loan Parties have requested that the Lenders waive the Potential Event of Default; and</w:t>
      </w:r>
    </w:p>
    <w:p>
      <w:pPr>
        <w:spacing w:after="0" w:line="225" w:lineRule="exact"/>
        <w:rPr>
          <w:sz w:val="20"/>
          <w:szCs w:val="20"/>
          <w:color w:val="auto"/>
        </w:rPr>
      </w:pPr>
    </w:p>
    <w:p>
      <w:pPr>
        <w:jc w:val="both"/>
        <w:ind w:left="160" w:firstLine="648"/>
        <w:spacing w:after="0" w:line="282" w:lineRule="auto"/>
        <w:rPr>
          <w:sz w:val="20"/>
          <w:szCs w:val="20"/>
          <w:color w:val="auto"/>
        </w:rPr>
      </w:pPr>
      <w:r>
        <w:rPr>
          <w:rFonts w:ascii="Times New Roman" w:cs="Times New Roman" w:eastAsia="Times New Roman" w:hAnsi="Times New Roman"/>
          <w:sz w:val="18"/>
          <w:szCs w:val="18"/>
          <w:color w:val="auto"/>
        </w:rPr>
        <w:t>WHEREAS, the Required Lenders are willing to waive the Potential Event of Default to the Credit Agreement, in accordance with and subject to the terms and conditions set forth herein.</w:t>
      </w:r>
    </w:p>
    <w:p>
      <w:pPr>
        <w:spacing w:after="0" w:line="162" w:lineRule="exact"/>
        <w:rPr>
          <w:sz w:val="20"/>
          <w:szCs w:val="20"/>
          <w:color w:val="auto"/>
        </w:rPr>
      </w:pPr>
    </w:p>
    <w:p>
      <w:pPr>
        <w:jc w:val="both"/>
        <w:ind w:left="1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the parties hereto agree as follows:</w:t>
      </w:r>
    </w:p>
    <w:p>
      <w:pPr>
        <w:spacing w:after="0" w:line="162" w:lineRule="exact"/>
        <w:rPr>
          <w:sz w:val="20"/>
          <w:szCs w:val="20"/>
          <w:color w:val="auto"/>
        </w:rPr>
      </w:pPr>
    </w:p>
    <w:p>
      <w:pPr>
        <w:ind w:left="880" w:right="280" w:hanging="319"/>
        <w:spacing w:after="0" w:line="282" w:lineRule="auto"/>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herein but not otherwise defined herein shall have the meanings provided to such terms in the Credit Agreement as amended hereby.</w:t>
      </w:r>
    </w:p>
    <w:p>
      <w:pPr>
        <w:spacing w:after="0" w:line="161" w:lineRule="exact"/>
        <w:rPr>
          <w:rFonts w:ascii="Times New Roman" w:cs="Times New Roman" w:eastAsia="Times New Roman" w:hAnsi="Times New Roman"/>
          <w:sz w:val="18"/>
          <w:szCs w:val="18"/>
          <w:color w:val="auto"/>
        </w:rPr>
      </w:pPr>
    </w:p>
    <w:p>
      <w:pPr>
        <w:ind w:left="880" w:right="240" w:hanging="319"/>
        <w:spacing w:after="0" w:line="256" w:lineRule="auto"/>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Notwithstanding the provisions of the Credit Agreement to the contrary, the Required Lenders hereby temporarily waive, on a one-time basis, the Potential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the failure of the Borrower to enter into an amendment to the Credit Agreement with the Administrative Agent, the requisite Lenders, the Swingline Lender and the L/C Issuer on or prior to March 31, 2024 (the “</w:t>
      </w:r>
      <w:r>
        <w:rPr>
          <w:rFonts w:ascii="Times New Roman" w:cs="Times New Roman" w:eastAsia="Times New Roman" w:hAnsi="Times New Roman"/>
          <w:sz w:val="18"/>
          <w:szCs w:val="18"/>
          <w:i w:val="1"/>
          <w:iCs w:val="1"/>
          <w:u w:val="single" w:color="auto"/>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Amendment</w:t>
      </w:r>
      <w:r>
        <w:rPr>
          <w:rFonts w:ascii="Times New Roman" w:cs="Times New Roman" w:eastAsia="Times New Roman" w:hAnsi="Times New Roman"/>
          <w:sz w:val="18"/>
          <w:szCs w:val="18"/>
          <w:color w:val="auto"/>
        </w:rPr>
        <w:t>”) to address the financial covenants and/or such other matters as may be agreed to between the parties hereto shall,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Potential Event of Default is an actual Event of Default, result in an immediate Event of Default and (b) to the extent the Proposed Amendment is duly executed by the parties hereto on or before March 31, 2024, this Waiver shall become permanent.</w:t>
      </w:r>
    </w:p>
    <w:p>
      <w:pPr>
        <w:spacing w:after="0" w:line="187" w:lineRule="exact"/>
        <w:rPr>
          <w:sz w:val="20"/>
          <w:szCs w:val="20"/>
          <w:color w:val="auto"/>
        </w:rPr>
      </w:pPr>
    </w:p>
    <w:p>
      <w:pPr>
        <w:jc w:val="both"/>
        <w:ind w:left="160" w:firstLine="648"/>
        <w:spacing w:after="0" w:line="254" w:lineRule="auto"/>
        <w:rPr>
          <w:sz w:val="20"/>
          <w:szCs w:val="20"/>
          <w:color w:val="auto"/>
        </w:rPr>
      </w:pPr>
      <w:r>
        <w:rPr>
          <w:rFonts w:ascii="Times New Roman" w:cs="Times New Roman" w:eastAsia="Times New Roman" w:hAnsi="Times New Roman"/>
          <w:sz w:val="18"/>
          <w:szCs w:val="18"/>
          <w:color w:val="auto"/>
        </w:rPr>
        <w:t>This waiver shall be effective only to the extent specifically set forth herein and shall not (a) be construed as a waiver of any breach, Default or Event of Default other than as specifically waived herein nor as a waiver of any breach, Default or Event of Default of which the Lenders have not been informed by the Loan Parties, (b) affect the right of the Lenders to demand compliance by the Loan Parties with all terms and conditions of the Loan Documents, except as specifically modified or waived by this Waiver, (c) be deemed a waiver of any transaction or future action on the part of the Loan Parties requiring the Lenders’ or the Required Lenders’ consent or approval under the Loan Documents, or (d) except as waived hereby, be deemed or construed to be a waiver or release of, or a limitation upon, the Administrative Agent’s or the Lenders’ exercise of any rights or remedies under the Credit Agreement or any other Loan Document, whether arising as a consequence of any Default or Event of Default (other than the Potential Event of Default) which may now exist or otherwise, all such rights and remedies hereby being expressly reserved.</w:t>
      </w:r>
    </w:p>
    <w:p>
      <w:pPr>
        <w:spacing w:after="0" w:line="192" w:lineRule="exact"/>
        <w:rPr>
          <w:sz w:val="20"/>
          <w:szCs w:val="20"/>
          <w:color w:val="auto"/>
        </w:rPr>
      </w:pPr>
    </w:p>
    <w:p>
      <w:pPr>
        <w:ind w:left="880" w:right="360" w:hanging="319"/>
        <w:spacing w:after="0" w:line="261" w:lineRule="auto"/>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Waiver shall be and become effective as of the date hereof when the following conditions precedent have been satisfied:</w:t>
      </w:r>
    </w:p>
    <w:p>
      <w:pPr>
        <w:ind w:left="1540" w:right="60" w:hanging="317"/>
        <w:spacing w:after="0" w:line="260"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Waiver, which collectively shall have been duly executed on behalf of each of the Borrower, the Guarantors, the Administrative Agent, each Lender, the Swingline Lender and the L/C Issuer;</w:t>
      </w:r>
    </w:p>
    <w:p>
      <w:pPr>
        <w:spacing w:after="0" w:line="1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Waiver, no Default or Event of Default shall exist;</w:t>
      </w:r>
    </w:p>
    <w:p>
      <w:pPr>
        <w:spacing w:after="0" w:line="225" w:lineRule="exact"/>
        <w:rPr>
          <w:rFonts w:ascii="Times New Roman" w:cs="Times New Roman" w:eastAsia="Times New Roman" w:hAnsi="Times New Roman"/>
          <w:sz w:val="18"/>
          <w:szCs w:val="18"/>
          <w:color w:val="auto"/>
        </w:rPr>
      </w:pPr>
    </w:p>
    <w:p>
      <w:pPr>
        <w:ind w:left="1540" w:right="160" w:hanging="317"/>
        <w:spacing w:after="0" w:line="282"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fees and expenses required to be paid to the Administrative Agent and the Lenders on or before the date hereof; and</w:t>
      </w:r>
    </w:p>
    <w:p>
      <w:pPr>
        <w:spacing w:after="0" w:line="161"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and legal matters in connection with the transactions contemplated by this Waiver shall be reasonably satisfactory in form and substance to the Administrative Agent and its counsel.</w:t>
      </w:r>
    </w:p>
    <w:p>
      <w:pPr>
        <w:spacing w:after="0" w:line="161" w:lineRule="exact"/>
        <w:rPr>
          <w:rFonts w:ascii="Times New Roman" w:cs="Times New Roman" w:eastAsia="Times New Roman" w:hAnsi="Times New Roman"/>
          <w:sz w:val="18"/>
          <w:szCs w:val="18"/>
          <w:color w:val="auto"/>
        </w:rPr>
      </w:pPr>
    </w:p>
    <w:p>
      <w:pPr>
        <w:ind w:left="880" w:right="300" w:hanging="319"/>
        <w:spacing w:after="0" w:line="258" w:lineRule="auto"/>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agree to reimburse the Administrative Agent for all reasonable out-of-pocket expenses incurred by the Administrative Agent and its Affiliates (including, but not limited to, (A) the reasonable fees, charges and disbursements of one (1) counsel (and one (1) special counsel or 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preparation, execution and delivery of this Waiver.</w:t>
      </w:r>
    </w:p>
    <w:p>
      <w:pPr>
        <w:spacing w:after="0" w:line="183" w:lineRule="exact"/>
        <w:rPr>
          <w:rFonts w:ascii="Times New Roman" w:cs="Times New Roman" w:eastAsia="Times New Roman" w:hAnsi="Times New Roman"/>
          <w:sz w:val="18"/>
          <w:szCs w:val="18"/>
          <w:color w:val="auto"/>
        </w:rPr>
      </w:pPr>
    </w:p>
    <w:p>
      <w:pPr>
        <w:ind w:left="880" w:right="60" w:hanging="319"/>
        <w:spacing w:after="0" w:line="266" w:lineRule="auto"/>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is a “Loan Document”</w:t>
      </w:r>
      <w:r>
        <w:rPr>
          <w:rFonts w:ascii="Times New Roman" w:cs="Times New Roman" w:eastAsia="Times New Roman" w:hAnsi="Times New Roman"/>
          <w:sz w:val="18"/>
          <w:szCs w:val="18"/>
          <w:color w:val="auto"/>
        </w:rPr>
        <w:t>. This Waiver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Waiver.</w:t>
      </w:r>
    </w:p>
    <w:p>
      <w:pPr>
        <w:spacing w:after="0" w:line="175" w:lineRule="exact"/>
        <w:rPr>
          <w:rFonts w:ascii="Times New Roman" w:cs="Times New Roman" w:eastAsia="Times New Roman" w:hAnsi="Times New Roman"/>
          <w:sz w:val="18"/>
          <w:szCs w:val="18"/>
          <w:color w:val="auto"/>
        </w:rPr>
      </w:pPr>
    </w:p>
    <w:p>
      <w:pPr>
        <w:ind w:left="880" w:hanging="319"/>
        <w:spacing w:after="0"/>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Each Loan Party represents and warrants as follows:</w:t>
      </w:r>
    </w:p>
    <w:p>
      <w:pPr>
        <w:spacing w:after="0" w:line="27"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taken all necessary corporate or other organizational action to authorize the execution, delivery and performance of this Waiver.</w:t>
      </w:r>
    </w:p>
    <w:p>
      <w:pPr>
        <w:spacing w:after="0" w:line="206" w:lineRule="exact"/>
        <w:rPr>
          <w:rFonts w:ascii="Times New Roman" w:cs="Times New Roman" w:eastAsia="Times New Roman" w:hAnsi="Times New Roman"/>
          <w:sz w:val="18"/>
          <w:szCs w:val="18"/>
          <w:color w:val="auto"/>
        </w:rPr>
      </w:pPr>
    </w:p>
    <w:p>
      <w:pPr>
        <w:ind w:left="1540" w:right="480" w:hanging="331"/>
        <w:spacing w:after="0" w:line="266"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Waiver has been duly executed and delivered by such Loan Party and constitutes its legal, valid and binding obligations, enforceable in accordance with its terms, subject to applicable bankruptcy, insolvency, reorganization, moratorium or other laws affecting creditors’ rights generally and subject to general principles of equity.</w:t>
      </w:r>
    </w:p>
    <w:p>
      <w:pPr>
        <w:sectPr>
          <w:pgSz w:w="11900" w:h="16838" w:orient="portrait"/>
          <w:cols w:equalWidth="0" w:num="1">
            <w:col w:w="11240"/>
          </w:cols>
          <w:pgMar w:left="320" w:top="121" w:right="339" w:bottom="0" w:gutter="0" w:footer="0" w:header="0"/>
        </w:sectPr>
      </w:pPr>
    </w:p>
    <w:bookmarkStart w:id="87" w:name="page88"/>
    <w:bookmarkEnd w:id="87"/>
    <w:p>
      <w:pPr>
        <w:ind w:left="1080" w:right="20" w:hanging="317"/>
        <w:spacing w:after="0" w:line="289" w:lineRule="auto"/>
        <w:tabs>
          <w:tab w:leader="none" w:pos="1080"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approval, consent, exemption, authorization, or other action by, or notice to, or filing with, any Governmental Authority or any other Person is necessary or required in connection with the execution, delivery or performance by, or enforcement against, such Loan Party of this Waiver, other than authorizations, approvals, actions, notices and filings which have been duly obtained, taken or made.</w:t>
      </w:r>
    </w:p>
    <w:p>
      <w:pPr>
        <w:spacing w:after="0" w:line="157" w:lineRule="exact"/>
        <w:rPr>
          <w:rFonts w:ascii="Times New Roman" w:cs="Times New Roman" w:eastAsia="Times New Roman" w:hAnsi="Times New Roman"/>
          <w:sz w:val="17"/>
          <w:szCs w:val="17"/>
          <w:color w:val="auto"/>
        </w:rPr>
      </w:pPr>
    </w:p>
    <w:p>
      <w:pPr>
        <w:ind w:left="1080" w:hanging="331"/>
        <w:spacing w:after="0" w:line="256" w:lineRule="auto"/>
        <w:tabs>
          <w:tab w:leader="none" w:pos="108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Loan Party of this Waiver does not and will not (i) contravene the terms of any of such Loan Party’s Organization Documents; (ii) conflict with or result in any breach or contravention of, or the creation of (or the requirement to create) any Lien under, or require any payment to be made under (1) any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(iii) violate any Applicable Law.</w:t>
      </w:r>
    </w:p>
    <w:p>
      <w:pPr>
        <w:spacing w:after="0" w:line="187" w:lineRule="exact"/>
        <w:rPr>
          <w:rFonts w:ascii="Times New Roman" w:cs="Times New Roman" w:eastAsia="Times New Roman" w:hAnsi="Times New Roman"/>
          <w:sz w:val="18"/>
          <w:szCs w:val="18"/>
          <w:color w:val="auto"/>
        </w:rPr>
      </w:pPr>
    </w:p>
    <w:p>
      <w:pPr>
        <w:ind w:left="420" w:hanging="319"/>
        <w:spacing w:after="0" w:line="254" w:lineRule="auto"/>
        <w:tabs>
          <w:tab w:leader="none" w:pos="4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No Default</w:t>
      </w:r>
      <w:r>
        <w:rPr>
          <w:rFonts w:ascii="Times New Roman" w:cs="Times New Roman" w:eastAsia="Times New Roman" w:hAnsi="Times New Roman"/>
          <w:sz w:val="18"/>
          <w:szCs w:val="18"/>
          <w:color w:val="auto"/>
        </w:rPr>
        <w:t xml:space="preserve">. Each Loan Party represents and warrants to the Administrative Agent and each Lender that, after giving effect to this Waiver, (a) the representations and warranties of the Borrower and each Loan Party contained in Article II or Article V of the Credit Agreement or any other Loan Document or which are contained in any document furnished at any time under or in connection therewith,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hereof, and except that for purposes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 of the Credit Agreement, and (b) no Default exists.</w:t>
      </w:r>
    </w:p>
    <w:p>
      <w:pPr>
        <w:spacing w:after="0" w:line="191" w:lineRule="exact"/>
        <w:rPr>
          <w:rFonts w:ascii="Times New Roman" w:cs="Times New Roman" w:eastAsia="Times New Roman" w:hAnsi="Times New Roman"/>
          <w:sz w:val="18"/>
          <w:szCs w:val="18"/>
          <w:color w:val="auto"/>
        </w:rPr>
      </w:pPr>
    </w:p>
    <w:p>
      <w:pPr>
        <w:ind w:left="420" w:right="120" w:hanging="319"/>
        <w:spacing w:after="0" w:line="261" w:lineRule="auto"/>
        <w:tabs>
          <w:tab w:leader="none" w:pos="4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Obligations</w:t>
      </w:r>
      <w:r>
        <w:rPr>
          <w:rFonts w:ascii="Times New Roman" w:cs="Times New Roman" w:eastAsia="Times New Roman" w:hAnsi="Times New Roman"/>
          <w:sz w:val="18"/>
          <w:szCs w:val="18"/>
          <w:color w:val="auto"/>
        </w:rPr>
        <w:t>. Each Loan Party (a) acknowledges and consents to all of the terms and conditions of this Waiver, (b) affirms all of its obligations under the Loan Documents, as modified hereby, and (c) agrees that this Waiver and all documents, agreements and instruments executed in connection with this Waiver do not operate to reduce or discharge such Loan Party’s obligations under the Loan Documents.</w:t>
      </w:r>
    </w:p>
    <w:p>
      <w:pPr>
        <w:spacing w:after="0" w:line="179" w:lineRule="exact"/>
        <w:rPr>
          <w:rFonts w:ascii="Times New Roman" w:cs="Times New Roman" w:eastAsia="Times New Roman" w:hAnsi="Times New Roman"/>
          <w:sz w:val="18"/>
          <w:szCs w:val="18"/>
          <w:color w:val="auto"/>
        </w:rPr>
      </w:pPr>
    </w:p>
    <w:p>
      <w:pPr>
        <w:ind w:left="420" w:right="40" w:hanging="319"/>
        <w:spacing w:after="0" w:line="254" w:lineRule="auto"/>
        <w:tabs>
          <w:tab w:leader="none" w:pos="4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Security Interests</w:t>
      </w:r>
      <w:r>
        <w:rPr>
          <w:rFonts w:ascii="Times New Roman" w:cs="Times New Roman" w:eastAsia="Times New Roman" w:hAnsi="Times New Roman"/>
          <w:sz w:val="18"/>
          <w:szCs w:val="18"/>
          <w:color w:val="auto"/>
        </w:rPr>
        <w:t>. Each Loan Party (a) ratifies and affirms that each of the Liens granted in or pursuant to the Loan Documents and confirms and agrees that such Liens are valid and subsisting and (b) agrees that this Waiver and all documents, agreements and instruments executed in connection with this Waiver do not in any manner impair or otherwise adversely affect any of the Liens granted in or pursuant to the Loan Documents. Without limiting the foregoing, each Loan Party confirms and agrees that each of the Liens granted in or pursuant to the Loan Documents by such Loan Party secure all of the Obligations as amended hereby and hereby re-grants a security interest and liens in all of its right, title and interest in the Collateral, as defined in, and on the terms set forth in, the Security Agreement, to secure all of the Obligations as amended hereby and, further, ratifies and reaffirms as of the date hereof that the security constituted by the Collateral Documents continue to secure the payment of liabilities and obligations of the Loan Parties under the Loan Documents.</w:t>
      </w:r>
    </w:p>
    <w:p>
      <w:pPr>
        <w:spacing w:after="0" w:line="19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Except as modified hereby, all of the terms and provisions of the Loan Documents shall remain in full force and effect.</w:t>
      </w:r>
    </w:p>
    <w:p>
      <w:pPr>
        <w:spacing w:after="0" w:line="225" w:lineRule="exact"/>
        <w:rPr>
          <w:rFonts w:ascii="Times New Roman" w:cs="Times New Roman" w:eastAsia="Times New Roman" w:hAnsi="Times New Roman"/>
          <w:sz w:val="18"/>
          <w:szCs w:val="18"/>
          <w:color w:val="auto"/>
        </w:rPr>
      </w:pPr>
    </w:p>
    <w:p>
      <w:pPr>
        <w:ind w:left="340" w:right="20" w:hanging="333"/>
        <w:spacing w:after="0" w:line="258"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Record</w:t>
      </w:r>
      <w:r>
        <w:rPr>
          <w:rFonts w:ascii="Times New Roman" w:cs="Times New Roman" w:eastAsia="Times New Roman" w:hAnsi="Times New Roman"/>
          <w:sz w:val="18"/>
          <w:szCs w:val="18"/>
          <w:color w:val="auto"/>
        </w:rPr>
        <w:t>. This Waiver may be executed in any number of counterparts, each of which when so executed and delivered shall be an original, but all of which shall constitute one and the same instrument. Delivery of an executed counterpart of a signature page of this Waiver or any other document required to be delivered hereunder, by fax transmission or e-mail transmission (e.g. “pdf” or “tif”) shall be effective as delivery of a manually executed counterpart of this Agreement. Without limiting the foregoing, upon the request of any party, such fax transmission or e-mail transmission shall be promptly followed by such manually executed counterpart.</w:t>
      </w:r>
    </w:p>
    <w:p>
      <w:pPr>
        <w:spacing w:after="0" w:line="183" w:lineRule="exact"/>
        <w:rPr>
          <w:rFonts w:ascii="Times New Roman" w:cs="Times New Roman" w:eastAsia="Times New Roman" w:hAnsi="Times New Roman"/>
          <w:sz w:val="18"/>
          <w:szCs w:val="18"/>
          <w:color w:val="auto"/>
        </w:rPr>
      </w:pPr>
    </w:p>
    <w:p>
      <w:pPr>
        <w:ind w:left="340" w:hanging="333"/>
        <w:spacing w:after="0" w:line="261"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WAIVER AND ANY CLAIMS, CONTROVERSY, DISPUTE OR CAUSE OF ACTION (WHETHER IN CONTRACT OR TORT OR OTHERWISE) BASED UPON, ARISING OUT OF OR RELATING TO THIS WAIVER AND THE TRANSACTIONS CONTEMPLATED HEREBY SHALL BE GOVERNED BY, AND CONSTRUED IN ACCORDANCE WITH, THE LAW OF THE STATE OF NEW YORK.</w:t>
      </w:r>
    </w:p>
    <w:p>
      <w:pPr>
        <w:spacing w:after="0" w:line="179" w:lineRule="exact"/>
        <w:rPr>
          <w:rFonts w:ascii="Times New Roman" w:cs="Times New Roman" w:eastAsia="Times New Roman" w:hAnsi="Times New Roman"/>
          <w:sz w:val="18"/>
          <w:szCs w:val="18"/>
          <w:color w:val="auto"/>
        </w:rPr>
      </w:pPr>
    </w:p>
    <w:p>
      <w:pPr>
        <w:ind w:left="340" w:right="40" w:hanging="333"/>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Service of Process; Waiver of Jury Trial</w:t>
      </w:r>
      <w:r>
        <w:rPr>
          <w:rFonts w:ascii="Times New Roman" w:cs="Times New Roman" w:eastAsia="Times New Roman" w:hAnsi="Times New Roman"/>
          <w:sz w:val="18"/>
          <w:szCs w:val="18"/>
          <w:color w:val="auto"/>
        </w:rPr>
        <w:t xml:space="preserve">. The jurisdiction, service of process and waiver of jury trial provisions set forth in </w:t>
      </w:r>
      <w:r>
        <w:rPr>
          <w:rFonts w:ascii="Times New Roman" w:cs="Times New Roman" w:eastAsia="Times New Roman" w:hAnsi="Times New Roman"/>
          <w:sz w:val="18"/>
          <w:szCs w:val="18"/>
          <w:u w:val="single" w:color="auto"/>
          <w:color w:val="auto"/>
        </w:rPr>
        <w:t>Sections 11.14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11.15</w:t>
      </w:r>
      <w:r>
        <w:rPr>
          <w:rFonts w:ascii="Times New Roman" w:cs="Times New Roman" w:eastAsia="Times New Roman" w:hAnsi="Times New Roman"/>
          <w:sz w:val="18"/>
          <w:szCs w:val="18"/>
          <w:color w:val="auto"/>
        </w:rPr>
        <w:t xml:space="preserve"> of the Credit Agreement are hereby incorporated by reference, mutatis mutandis</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240030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21" w:right="359" w:bottom="1440" w:gutter="0" w:footer="0" w:header="0"/>
        </w:sectPr>
      </w:pPr>
    </w:p>
    <w:bookmarkStart w:id="88" w:name="page89"/>
    <w:bookmarkEnd w:id="88"/>
    <w:p>
      <w:pPr>
        <w:ind w:left="800"/>
        <w:spacing w:after="0"/>
        <w:rPr>
          <w:sz w:val="20"/>
          <w:szCs w:val="20"/>
          <w:color w:val="auto"/>
        </w:rPr>
      </w:pPr>
      <w:r>
        <w:rPr>
          <w:rFonts w:ascii="Times New Roman" w:cs="Times New Roman" w:eastAsia="Times New Roman" w:hAnsi="Times New Roman"/>
          <w:sz w:val="18"/>
          <w:szCs w:val="18"/>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have caused this Waiver to be duly executed as of the date first above written.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tc>
        <w:tc>
          <w:tcPr>
            <w:tcW w:w="7860" w:type="dxa"/>
            <w:vAlign w:val="bottom"/>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rPr>
              <w:t>FOUR TWENTY CORPORATION</w:t>
            </w:r>
            <w:r>
              <w:rPr>
                <w:rFonts w:ascii="Times New Roman" w:cs="Times New Roman" w:eastAsia="Times New Roman" w:hAnsi="Times New Roman"/>
                <w:sz w:val="18"/>
                <w:szCs w:val="18"/>
                <w:color w:val="auto"/>
              </w:rPr>
              <w:t>,</w:t>
            </w:r>
          </w:p>
        </w:tc>
      </w:tr>
      <w:tr>
        <w:trPr>
          <w:trHeight w:val="218"/>
        </w:trPr>
        <w:tc>
          <w:tcPr>
            <w:tcW w:w="110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7860" w:type="dxa"/>
            <w:vAlign w:val="bottom"/>
            <w:gridSpan w:val="4"/>
          </w:tcPr>
          <w:p>
            <w:pPr>
              <w:ind w:left="22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194"/>
        </w:trPr>
        <w:tc>
          <w:tcPr>
            <w:tcW w:w="1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540" w:type="dxa"/>
            <w:vAlign w:val="bottom"/>
          </w:tcPr>
          <w:p>
            <w:pPr>
              <w:ind w:left="224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r>
      <w:tr>
        <w:trPr>
          <w:trHeight w:val="218"/>
        </w:trPr>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Carl Merton</w:t>
            </w:r>
          </w:p>
        </w:tc>
      </w:tr>
      <w:tr>
        <w:trPr>
          <w:trHeight w:val="234"/>
        </w:trPr>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74"/>
        </w:trPr>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-676910</wp:posOffset>
            </wp:positionV>
            <wp:extent cx="28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9" w:name="page90"/>
    <w:bookmarkEnd w:id="89"/>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DOUBLE DIAMOND DISTILLERY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Colorado limited liability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7976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Name: Carl Merton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SWEETWATER COLORADO BREWING COMPANY,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7976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Name: Carl Merton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MONTAUK BREWING COMPANY,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7976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Name: Carl Merton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TILRAY HOLDCO M,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-19050</wp:posOffset>
            </wp:positionV>
            <wp:extent cx="17976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Name: Carl Merton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TILRAY BEVERAGES, LLC</w:t>
            </w:r>
            <w:r>
              <w:rPr>
                <w:rFonts w:ascii="Times New Roman" w:cs="Times New Roman" w:eastAsia="Times New Roman" w:hAnsi="Times New Roman"/>
                <w:sz w:val="18"/>
                <w:szCs w:val="18"/>
                <w:color w:val="auto"/>
              </w:rPr>
              <w:t>,</w:t>
            </w:r>
          </w:p>
        </w:tc>
        <w:tc>
          <w:tcPr>
            <w:tcW w:w="7640" w:type="dxa"/>
            <w:vAlign w:val="bottom"/>
          </w:tcPr>
          <w:p>
            <w:pPr>
              <w:spacing w:after="0"/>
              <w:rPr>
                <w:sz w:val="19"/>
                <w:szCs w:val="19"/>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764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640" w:type="dxa"/>
            <w:vAlign w:val="bottom"/>
          </w:tcPr>
          <w:p>
            <w:pPr>
              <w:spacing w:after="0"/>
              <w:rPr>
                <w:sz w:val="18"/>
                <w:szCs w:val="18"/>
                <w:color w:val="auto"/>
              </w:rPr>
            </w:pPr>
          </w:p>
        </w:tc>
      </w:tr>
      <w:tr>
        <w:trPr>
          <w:trHeight w:val="216"/>
        </w:trPr>
        <w:tc>
          <w:tcPr>
            <w:tcW w:w="36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Carl Merton</w:t>
            </w:r>
          </w:p>
        </w:tc>
      </w:tr>
      <w:tr>
        <w:trPr>
          <w:trHeight w:val="234"/>
        </w:trPr>
        <w:tc>
          <w:tcPr>
            <w:tcW w:w="36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60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r>
      <w:tr>
        <w:trPr>
          <w:trHeight w:val="67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TILRAY ABC, LLC</w:t>
            </w:r>
            <w:r>
              <w:rPr>
                <w:rFonts w:ascii="Times New Roman" w:cs="Times New Roman" w:eastAsia="Times New Roman" w:hAnsi="Times New Roman"/>
                <w:sz w:val="18"/>
                <w:szCs w:val="18"/>
                <w:color w:val="auto"/>
              </w:rPr>
              <w:t>,</w:t>
            </w:r>
          </w:p>
        </w:tc>
        <w:tc>
          <w:tcPr>
            <w:tcW w:w="7640" w:type="dxa"/>
            <w:vAlign w:val="bottom"/>
          </w:tcPr>
          <w:p>
            <w:pPr>
              <w:spacing w:after="0"/>
              <w:rPr>
                <w:sz w:val="24"/>
                <w:szCs w:val="24"/>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764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640" w:type="dxa"/>
            <w:vAlign w:val="bottom"/>
          </w:tcPr>
          <w:p>
            <w:pPr>
              <w:spacing w:after="0"/>
              <w:rPr>
                <w:sz w:val="18"/>
                <w:szCs w:val="18"/>
                <w:color w:val="auto"/>
              </w:rPr>
            </w:pPr>
          </w:p>
        </w:tc>
      </w:tr>
      <w:tr>
        <w:trPr>
          <w:trHeight w:val="216"/>
        </w:trPr>
        <w:tc>
          <w:tcPr>
            <w:tcW w:w="36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Carl Merton</w:t>
            </w:r>
          </w:p>
        </w:tc>
      </w:tr>
      <w:tr>
        <w:trPr>
          <w:trHeight w:val="234"/>
        </w:trPr>
        <w:tc>
          <w:tcPr>
            <w:tcW w:w="36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60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r>
      <w:tr>
        <w:trPr>
          <w:trHeight w:val="67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AMERICAN BEVERAGE CRAFTS, LLC</w:t>
            </w:r>
            <w:r>
              <w:rPr>
                <w:rFonts w:ascii="Times New Roman" w:cs="Times New Roman" w:eastAsia="Times New Roman" w:hAnsi="Times New Roman"/>
                <w:sz w:val="18"/>
                <w:szCs w:val="18"/>
                <w:color w:val="auto"/>
              </w:rPr>
              <w:t>,</w:t>
            </w:r>
          </w:p>
        </w:tc>
        <w:tc>
          <w:tcPr>
            <w:tcW w:w="7640" w:type="dxa"/>
            <w:vAlign w:val="bottom"/>
          </w:tcPr>
          <w:p>
            <w:pPr>
              <w:spacing w:after="0"/>
              <w:rPr>
                <w:sz w:val="24"/>
                <w:szCs w:val="24"/>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764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640" w:type="dxa"/>
            <w:vAlign w:val="bottom"/>
          </w:tcPr>
          <w:p>
            <w:pPr>
              <w:spacing w:after="0"/>
              <w:rPr>
                <w:sz w:val="18"/>
                <w:szCs w:val="18"/>
                <w:color w:val="auto"/>
              </w:rPr>
            </w:pPr>
          </w:p>
        </w:tc>
      </w:tr>
      <w:tr>
        <w:trPr>
          <w:trHeight w:val="216"/>
        </w:trPr>
        <w:tc>
          <w:tcPr>
            <w:tcW w:w="36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Carl Merton</w:t>
            </w:r>
          </w:p>
        </w:tc>
      </w:tr>
      <w:tr>
        <w:trPr>
          <w:trHeight w:val="234"/>
        </w:trPr>
        <w:tc>
          <w:tcPr>
            <w:tcW w:w="36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60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r>
      <w:tr>
        <w:trPr>
          <w:trHeight w:val="405"/>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tc>
        <w:tc>
          <w:tcPr>
            <w:tcW w:w="726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tc>
      </w:tr>
      <w:tr>
        <w:trPr>
          <w:trHeight w:val="218"/>
        </w:trPr>
        <w:tc>
          <w:tcPr>
            <w:tcW w:w="2300" w:type="dxa"/>
            <w:vAlign w:val="bottom"/>
            <w:tcBorders>
              <w:top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72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194"/>
        </w:trPr>
        <w:tc>
          <w:tcPr>
            <w:tcW w:w="2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0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auto"/>
                <w:w w:val="92"/>
              </w:rPr>
              <w:t>By:</w:t>
            </w:r>
          </w:p>
        </w:tc>
        <w:tc>
          <w:tcPr>
            <w:tcW w:w="304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218"/>
        </w:trPr>
        <w:tc>
          <w:tcPr>
            <w:tcW w:w="2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Name: Erik M. Truette</w:t>
            </w:r>
          </w:p>
        </w:tc>
      </w:tr>
      <w:tr>
        <w:trPr>
          <w:trHeight w:val="234"/>
        </w:trPr>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358"/>
        </w:trPr>
        <w:tc>
          <w:tcPr>
            <w:tcW w:w="2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7980" w:type="dxa"/>
            <w:vAlign w:val="bottom"/>
            <w:gridSpan w:val="3"/>
          </w:tcPr>
          <w:p>
            <w:pPr>
              <w:ind w:left="236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tc>
      </w:tr>
      <w:tr>
        <w:trPr>
          <w:trHeight w:val="218"/>
        </w:trPr>
        <w:tc>
          <w:tcPr>
            <w:tcW w:w="860" w:type="dxa"/>
            <w:vAlign w:val="bottom"/>
            <w:tcBorders>
              <w:top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9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as a Lender, L/C Issuer and Swingline Lender</w:t>
            </w:r>
          </w:p>
        </w:tc>
      </w:tr>
      <w:tr>
        <w:trPr>
          <w:trHeight w:val="194"/>
        </w:trPr>
        <w:tc>
          <w:tcPr>
            <w:tcW w:w="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20" w:type="dxa"/>
            <w:vAlign w:val="bottom"/>
          </w:tcPr>
          <w:p>
            <w:pPr>
              <w:ind w:left="2360"/>
              <w:spacing w:after="0" w:line="194" w:lineRule="exact"/>
              <w:rPr>
                <w:sz w:val="20"/>
                <w:szCs w:val="20"/>
                <w:color w:val="auto"/>
              </w:rPr>
            </w:pPr>
            <w:r>
              <w:rPr>
                <w:rFonts w:ascii="Times New Roman" w:cs="Times New Roman" w:eastAsia="Times New Roman" w:hAnsi="Times New Roman"/>
                <w:sz w:val="18"/>
                <w:szCs w:val="18"/>
                <w:color w:val="auto"/>
                <w:w w:val="92"/>
              </w:rPr>
              <w:t>By:</w:t>
            </w:r>
          </w:p>
        </w:tc>
        <w:tc>
          <w:tcPr>
            <w:tcW w:w="310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r>
      <w:tr>
        <w:trPr>
          <w:trHeight w:val="218"/>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9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Name: Charles Hart</w:t>
            </w:r>
          </w:p>
        </w:tc>
      </w:tr>
      <w:tr>
        <w:trPr>
          <w:trHeight w:val="234"/>
        </w:trPr>
        <w:tc>
          <w:tcPr>
            <w:tcW w:w="8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9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358"/>
        </w:trPr>
        <w:tc>
          <w:tcPr>
            <w:tcW w:w="8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92" w:name="page93"/>
    <w:bookmarkEnd w:id="92"/>
    <w:p>
      <w:pPr>
        <w:ind w:left="4500"/>
        <w:spacing w:after="0"/>
        <w:rPr>
          <w:sz w:val="20"/>
          <w:szCs w:val="20"/>
          <w:color w:val="auto"/>
        </w:rPr>
      </w:pPr>
      <w:r>
        <w:rPr>
          <w:rFonts w:ascii="Times New Roman" w:cs="Times New Roman" w:eastAsia="Times New Roman" w:hAnsi="Times New Roman"/>
          <w:sz w:val="17"/>
          <w:szCs w:val="17"/>
          <w:b w:val="1"/>
          <w:bCs w:val="1"/>
          <w:color w:val="auto"/>
        </w:rPr>
        <w:t>PINNACLE BANK, A TENNESSEE BANK</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-19050</wp:posOffset>
            </wp:positionV>
            <wp:extent cx="19970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Name:  Chris Gruehn</w:t>
      </w:r>
    </w:p>
    <w:p>
      <w:pPr>
        <w:spacing w:after="0" w:line="9"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3" w:name="page94"/>
    <w:bookmarkEnd w:id="93"/>
    <w:p>
      <w:pPr>
        <w:ind w:left="4500"/>
        <w:spacing w:after="0"/>
        <w:rPr>
          <w:sz w:val="20"/>
          <w:szCs w:val="20"/>
          <w:color w:val="auto"/>
        </w:rPr>
      </w:pPr>
      <w:r>
        <w:rPr>
          <w:rFonts w:ascii="Times New Roman" w:cs="Times New Roman" w:eastAsia="Times New Roman" w:hAnsi="Times New Roman"/>
          <w:sz w:val="17"/>
          <w:szCs w:val="17"/>
          <w:b w:val="1"/>
          <w:bCs w:val="1"/>
          <w:color w:val="auto"/>
        </w:rPr>
        <w:t>CITY NATIONAL BANK</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-19050</wp:posOffset>
            </wp:positionV>
            <wp:extent cx="1997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4" w:name="page95"/>
    <w:bookmarkEnd w:id="94"/>
    <w:p>
      <w:pPr>
        <w:ind w:left="4500"/>
        <w:spacing w:after="0"/>
        <w:rPr>
          <w:sz w:val="20"/>
          <w:szCs w:val="20"/>
          <w:color w:val="auto"/>
        </w:rPr>
      </w:pPr>
      <w:r>
        <w:rPr>
          <w:rFonts w:ascii="Times New Roman" w:cs="Times New Roman" w:eastAsia="Times New Roman" w:hAnsi="Times New Roman"/>
          <w:sz w:val="17"/>
          <w:szCs w:val="17"/>
          <w:b w:val="1"/>
          <w:bCs w:val="1"/>
          <w:color w:val="auto"/>
        </w:rPr>
        <w:t>THE TORONTO-DOMINION BANK, NEW YORK BRANCH</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-19050</wp:posOffset>
            </wp:positionV>
            <wp:extent cx="19970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9400"/>
          </w:cols>
          <w:pgMar w:left="1440" w:top="792" w:right="10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November 30,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November 30,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upperLetter"/>
      <w:start w:val="29"/>
    </w:lvl>
  </w:abstractNum>
  <w:abstractNum w:abstractNumId="3">
    <w:nsid w:val="77AE35EB"/>
    <w:multiLevelType w:val="hybridMultilevel"/>
    <w:lvl w:ilvl="0">
      <w:lvlJc w:val="left"/>
      <w:lvlText w:val="%1)"/>
      <w:numFmt w:val="lowerLetter"/>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1)"/>
      <w:numFmt w:val="decimal"/>
      <w:start w:val="1"/>
    </w:lvl>
  </w:abstractNum>
  <w:abstractNum w:abstractNumId="13">
    <w:nsid w:val="5DB70AE5"/>
    <w:multiLevelType w:val="hybridMultilevel"/>
    <w:lvl w:ilvl="0">
      <w:lvlJc w:val="left"/>
      <w:lvlText w:val="(%1)"/>
      <w:numFmt w:val="decimal"/>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1)"/>
      <w:numFmt w:val="decimal"/>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1."/>
      <w:numFmt w:val="upperLetter"/>
      <w:start w:val="1"/>
    </w:lvl>
  </w:abstractNum>
  <w:abstractNum w:abstractNumId="22">
    <w:nsid w:val="168E121F"/>
    <w:multiLevelType w:val="hybridMultilevel"/>
    <w:lvl w:ilvl="0">
      <w:lvlJc w:val="left"/>
      <w:lvlText w:val="%1."/>
      <w:numFmt w:val="upperLetter"/>
      <w:start w:val="2"/>
    </w:lvl>
  </w:abstractNum>
  <w:abstractNum w:abstractNumId="23">
    <w:nsid w:val="1EBA5D23"/>
    <w:multiLevelType w:val="hybridMultilevel"/>
    <w:lvl w:ilvl="0">
      <w:lvlJc w:val="left"/>
      <w:lvlText w:val="%1."/>
      <w:numFmt w:val="upperLetter"/>
      <w:start w:val="3"/>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lowerLetter"/>
      <w:start w:val="1"/>
    </w:lvl>
    <w:lvl w:ilvl="1">
      <w:lvlJc w:val="left"/>
      <w:lvlText w:val="(%2)"/>
      <w:numFmt w:val="lowerLetter"/>
      <w:start w:val="61"/>
    </w:lvl>
  </w:abstractNum>
  <w:abstractNum w:abstractNumId="26">
    <w:nsid w:val="540A471C"/>
    <w:multiLevelType w:val="hybridMultilevel"/>
    <w:lvl w:ilvl="0">
      <w:lvlJc w:val="left"/>
      <w:lvlText w:val="(%1)"/>
      <w:numFmt w:val="lowerLetter"/>
      <w:start w:val="2"/>
    </w:lvl>
    <w:lvl w:ilvl="1">
      <w:lvlJc w:val="left"/>
      <w:lvlText w:val="%2"/>
      <w:numFmt w:val="lowerLetter"/>
      <w:start w:val="1"/>
    </w:lvl>
  </w:abstractNum>
  <w:abstractNum w:abstractNumId="27">
    <w:nsid w:val="7BD3EE7B"/>
    <w:multiLevelType w:val="hybridMultilevel"/>
    <w:lvl w:ilvl="0">
      <w:lvlJc w:val="left"/>
      <w:lvlText w:val="%1."/>
      <w:numFmt w:val="decimal"/>
      <w:start w:val="2"/>
    </w:lvl>
  </w:abstractNum>
  <w:abstractNum w:abstractNumId="28">
    <w:nsid w:val="51D9C564"/>
    <w:multiLevelType w:val="hybridMultilevel"/>
    <w:lvl w:ilvl="0">
      <w:lvlJc w:val="left"/>
      <w:lvlText w:val="(%1)"/>
      <w:numFmt w:val="lowerLetter"/>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upperLetter"/>
      <w:start w:val="1"/>
    </w:lvl>
  </w:abstractNum>
  <w:abstractNum w:abstractNumId="31">
    <w:nsid w:val="11447B73"/>
    <w:multiLevelType w:val="hybridMultilevel"/>
    <w:lvl w:ilvl="0">
      <w:lvlJc w:val="left"/>
      <w:lvlText w:val="%1."/>
      <w:numFmt w:val="upperLetter"/>
      <w:start w:val="3"/>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1)"/>
      <w:numFmt w:val="lowerLetter"/>
      <w:start w:val="1"/>
    </w:lvl>
  </w:abstractNum>
  <w:abstractNum w:abstractNumId="34">
    <w:nsid w:val="8F2B15E"/>
    <w:multiLevelType w:val="hybridMultilevel"/>
    <w:lvl w:ilvl="0">
      <w:lvlJc w:val="left"/>
      <w:lvlText w:val="%1."/>
      <w:numFmt w:val="decimal"/>
      <w:start w:val="3"/>
    </w:lvl>
  </w:abstractNum>
  <w:abstractNum w:abstractNumId="35">
    <w:nsid w:val="1A32234B"/>
    <w:multiLevelType w:val="hybridMultilevel"/>
    <w:lvl w:ilvl="0">
      <w:lvlJc w:val="left"/>
      <w:lvlText w:val="%1."/>
      <w:numFmt w:val="upperLetter"/>
      <w:start w:val="2"/>
    </w:lvl>
  </w:abstractNum>
  <w:abstractNum w:abstractNumId="36">
    <w:nsid w:val="3B0FD379"/>
    <w:multiLevelType w:val="hybridMultilevel"/>
    <w:lvl w:ilvl="0">
      <w:lvlJc w:val="left"/>
      <w:lvlText w:val="%1."/>
      <w:numFmt w:val="upperLetter"/>
      <w:start w:val="1"/>
    </w:lvl>
    <w:lvl w:ilvl="1">
      <w:lvlJc w:val="left"/>
      <w:lvlText w:val="(%2)"/>
      <w:numFmt w:val="lowerRoman"/>
      <w:start w:val="1"/>
    </w:lvl>
  </w:abstractNum>
  <w:abstractNum w:abstractNumId="37">
    <w:nsid w:val="68EB2F63"/>
    <w:multiLevelType w:val="hybridMultilevel"/>
    <w:lvl w:ilvl="0">
      <w:lvlJc w:val="left"/>
      <w:lvlText w:val="%1"/>
      <w:numFmt w:val="upperLetter"/>
      <w:start w:val="1"/>
    </w:lvl>
    <w:lvl w:ilvl="1">
      <w:lvlJc w:val="left"/>
      <w:lvlText w:val="(%2)"/>
      <w:numFmt w:val="lowerRoman"/>
      <w:start w:val="10"/>
    </w:lvl>
  </w:abstractNum>
  <w:abstractNum w:abstractNumId="38">
    <w:nsid w:val="4962813B"/>
    <w:multiLevelType w:val="hybridMultilevel"/>
    <w:lvl w:ilvl="0">
      <w:lvlJc w:val="left"/>
      <w:lvlText w:val="%1."/>
      <w:numFmt w:val="upperLetter"/>
      <w:start w:val="2"/>
    </w:lvl>
    <w:lvl w:ilvl="1">
      <w:lvlJc w:val="left"/>
      <w:lvlText w:val="%2"/>
      <w:numFmt w:val="lowerRoman"/>
      <w:start w:val="1"/>
    </w:lvl>
  </w:abstractNum>
  <w:abstractNum w:abstractNumId="39">
    <w:nsid w:val="60B6DF70"/>
    <w:multiLevelType w:val="hybridMultilevel"/>
    <w:lvl w:ilvl="0">
      <w:lvlJc w:val="left"/>
      <w:lvlText w:val="%1."/>
      <w:numFmt w:val="upperLetter"/>
      <w:start w:val="4"/>
    </w:lvl>
  </w:abstractNum>
  <w:abstractNum w:abstractNumId="40">
    <w:nsid w:val="6A5EE64"/>
    <w:multiLevelType w:val="hybridMultilevel"/>
    <w:lvl w:ilvl="0">
      <w:lvlJc w:val="left"/>
      <w:lvlText w:val="%1."/>
      <w:numFmt w:val="upperLetter"/>
      <w:start w:val="5"/>
    </w:lvl>
  </w:abstractNum>
  <w:abstractNum w:abstractNumId="41">
    <w:nsid w:val="14330624"/>
    <w:multiLevelType w:val="hybridMultilevel"/>
    <w:lvl w:ilvl="0">
      <w:lvlJc w:val="left"/>
      <w:lvlText w:val="%1."/>
      <w:numFmt w:val="upperLetter"/>
      <w:start w:val="1"/>
    </w:lvl>
    <w:lvl w:ilvl="1">
      <w:lvlJc w:val="left"/>
      <w:lvlText w:val="*"/>
      <w:numFmt w:val="bullet"/>
      <w:start w:val="1"/>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1"/>
      <w:numFmt w:val="decimal"/>
      <w:start w:val="1"/>
    </w:lvl>
    <w:lvl w:ilvl="1">
      <w:lvlJc w:val="left"/>
      <w:lvlText w:val="%2."/>
      <w:numFmt w:val="decimal"/>
      <w:start w:val="1"/>
    </w:lvl>
  </w:abstractNum>
  <w:abstractNum w:abstractNumId="44">
    <w:nsid w:val="71EA1109"/>
    <w:multiLevelType w:val="hybridMultilevel"/>
    <w:lvl w:ilvl="0">
      <w:lvlJc w:val="left"/>
      <w:lvlText w:val="%1."/>
      <w:numFmt w:val="decimal"/>
      <w:start w:val="11"/>
    </w:lvl>
    <w:lvl w:ilvl="1">
      <w:lvlJc w:val="left"/>
      <w:lvlText w:val="%2"/>
      <w:numFmt w:val="decimal"/>
      <w:start w:val="1"/>
    </w:lvl>
  </w:abstractNum>
  <w:abstractNum w:abstractNumId="45">
    <w:nsid w:val="100F59DC"/>
    <w:multiLevelType w:val="hybridMultilevel"/>
    <w:lvl w:ilvl="0">
      <w:lvlJc w:val="left"/>
      <w:lvlText w:val="%1."/>
      <w:numFmt w:val="decimal"/>
      <w:start w:val="18"/>
    </w:lvl>
  </w:abstractNum>
  <w:abstractNum w:abstractNumId="46">
    <w:nsid w:val="7FB7E0AA"/>
    <w:multiLevelType w:val="hybridMultilevel"/>
    <w:lvl w:ilvl="0">
      <w:lvlJc w:val="left"/>
      <w:lvlText w:val="%1."/>
      <w:numFmt w:val="decimal"/>
      <w:start w:val="42"/>
    </w:lvl>
  </w:abstractNum>
  <w:abstractNum w:abstractNumId="47">
    <w:nsid w:val="6EB5BD4"/>
    <w:multiLevelType w:val="hybridMultilevel"/>
    <w:lvl w:ilvl="0">
      <w:lvlJc w:val="left"/>
      <w:lvlText w:val="%1"/>
      <w:numFmt w:val="decimal"/>
      <w:start w:val="1"/>
    </w:lvl>
    <w:lvl w:ilvl="1">
      <w:lvlJc w:val="left"/>
      <w:lvlText w:val="%2."/>
      <w:numFmt w:val="decimal"/>
      <w:start w:val="68"/>
    </w:lvl>
    <w:lvl w:ilvl="2">
      <w:lvlJc w:val="left"/>
      <w:lvlText w:val="%3"/>
      <w:numFmt w:val="decimal"/>
      <w:start w:val="1"/>
    </w:lvl>
    <w:lvl w:ilvl="3">
      <w:lvlJc w:val="left"/>
      <w:lvlText w:val="%4"/>
      <w:numFmt w:val="lowerRoman"/>
      <w:start w:val="1"/>
    </w:lvl>
    <w:lvl w:ilvl="4">
      <w:lvlJc w:val="left"/>
      <w:lvlText w:val="%5"/>
      <w:numFmt w:val="decimal"/>
      <w:start w:val="1"/>
    </w:lvl>
    <w:lvl w:ilvl="5">
      <w:lvlJc w:val="left"/>
      <w:lvlText w:val="%6"/>
      <w:numFmt w:val="lowerRoman"/>
      <w:start w:val="1"/>
    </w:lvl>
  </w:abstractNum>
  <w:abstractNum w:abstractNumId="48">
    <w:nsid w:val="6F6DD9AC"/>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decimal"/>
      <w:start w:val="2"/>
    </w:lvl>
    <w:lvl w:ilvl="5">
      <w:lvlJc w:val="left"/>
      <w:lvlText w:val="%6."/>
      <w:numFmt w:val="lowerRoman"/>
      <w:start w:val="1"/>
    </w:lvl>
  </w:abstractNum>
  <w:abstractNum w:abstractNumId="49">
    <w:nsid w:val="94211F2"/>
    <w:multiLevelType w:val="hybridMultilevel"/>
    <w:lvl w:ilvl="0">
      <w:lvlJc w:val="left"/>
      <w:lvlText w:val="%1."/>
      <w:numFmt w:val="lowerRoman"/>
      <w:start w:val="3"/>
    </w:lvl>
  </w:abstractNum>
  <w:abstractNum w:abstractNumId="50">
    <w:nsid w:val="885E1B"/>
    <w:multiLevelType w:val="hybridMultilevel"/>
    <w:lvl w:ilvl="0">
      <w:lvlJc w:val="left"/>
      <w:lvlText w:val="%1."/>
      <w:numFmt w:val="decimal"/>
      <w:start w:val="3"/>
    </w:lvl>
  </w:abstractNum>
  <w:abstractNum w:abstractNumId="51">
    <w:nsid w:val="76272110"/>
    <w:multiLevelType w:val="hybridMultilevel"/>
    <w:lvl w:ilvl="0">
      <w:lvlJc w:val="left"/>
      <w:lvlText w:val="%1."/>
      <w:numFmt w:val="decimal"/>
      <w:start w:val="4"/>
    </w:lvl>
    <w:lvl w:ilvl="1">
      <w:lvlJc w:val="left"/>
      <w:lvlText w:val="%2."/>
      <w:numFmt w:val="decimal"/>
      <w:start w:val="1"/>
    </w:lvl>
  </w:abstractNum>
  <w:abstractNum w:abstractNumId="52">
    <w:nsid w:val="4C04A8AF"/>
    <w:multiLevelType w:val="hybridMultilevel"/>
    <w:lvl w:ilvl="0">
      <w:lvlJc w:val="left"/>
      <w:lvlText w:val="%1."/>
      <w:numFmt w:val="decimal"/>
      <w:start w:val="3"/>
    </w:lvl>
  </w:abstractNum>
  <w:abstractNum w:abstractNumId="53">
    <w:nsid w:val="1716703B"/>
    <w:multiLevelType w:val="hybridMultilevel"/>
    <w:lvl w:ilvl="0">
      <w:lvlJc w:val="left"/>
      <w:lvlText w:val="%1."/>
      <w:numFmt w:val="decimal"/>
      <w:start w:val="4"/>
    </w:lvl>
  </w:abstractNum>
  <w:abstractNum w:abstractNumId="54">
    <w:nsid w:val="14E17E33"/>
    <w:multiLevelType w:val="hybridMultilevel"/>
    <w:lvl w:ilvl="0">
      <w:lvlJc w:val="left"/>
      <w:lvlText w:val="%1."/>
      <w:numFmt w:val="decimal"/>
      <w:start w:val="5"/>
    </w:lvl>
    <w:lvl w:ilvl="1">
      <w:lvlJc w:val="left"/>
      <w:lvlText w:val="%2."/>
      <w:numFmt w:val="decimal"/>
      <w:start w:val="1"/>
    </w:lvl>
  </w:abstractNum>
  <w:abstractNum w:abstractNumId="55">
    <w:nsid w:val="3222E7CD"/>
    <w:multiLevelType w:val="hybridMultilevel"/>
    <w:lvl w:ilvl="0">
      <w:lvlJc w:val="left"/>
      <w:lvlText w:val="%1."/>
      <w:numFmt w:val="decimal"/>
      <w:start w:val="2"/>
    </w:lvl>
  </w:abstractNum>
  <w:abstractNum w:abstractNumId="56">
    <w:nsid w:val="74DE0EE3"/>
    <w:multiLevelType w:val="hybridMultilevel"/>
    <w:lvl w:ilvl="0">
      <w:lvlJc w:val="left"/>
      <w:lvlText w:val="%1."/>
      <w:numFmt w:val="decimal"/>
      <w:start w:val="3"/>
    </w:lvl>
  </w:abstractNum>
  <w:abstractNum w:abstractNumId="57">
    <w:nsid w:val="68EBC550"/>
    <w:multiLevelType w:val="hybridMultilevel"/>
    <w:lvl w:ilvl="0">
      <w:lvlJc w:val="left"/>
      <w:lvlText w:val="%1."/>
      <w:numFmt w:val="decimal"/>
      <w:start w:val="4"/>
    </w:lvl>
  </w:abstractNum>
  <w:abstractNum w:abstractNumId="58">
    <w:nsid w:val="2DF6D648"/>
    <w:multiLevelType w:val="hybridMultilevel"/>
    <w:lvl w:ilvl="0">
      <w:lvlJc w:val="left"/>
      <w:lvlText w:val="(%1)"/>
      <w:numFmt w:val="lowerRoman"/>
      <w:start w:val="2"/>
    </w:lvl>
    <w:lvl w:ilvl="1">
      <w:lvlJc w:val="left"/>
      <w:lvlText w:val="%2."/>
      <w:numFmt w:val="decimal"/>
      <w:start w:val="5"/>
    </w:lvl>
  </w:abstractNum>
  <w:abstractNum w:abstractNumId="59">
    <w:nsid w:val="46B7D447"/>
    <w:multiLevelType w:val="hybridMultilevel"/>
    <w:lvl w:ilvl="0">
      <w:lvlJc w:val="left"/>
      <w:lvlText w:val="%1."/>
      <w:numFmt w:val="decimal"/>
      <w:start w:val="6"/>
    </w:lvl>
  </w:abstractNum>
  <w:abstractNum w:abstractNumId="60">
    <w:nsid w:val="4A2AC315"/>
    <w:multiLevelType w:val="hybridMultilevel"/>
    <w:lvl w:ilvl="0">
      <w:lvlJc w:val="left"/>
      <w:lvlText w:val="%1."/>
      <w:numFmt w:val="decimal"/>
      <w:start w:val="7"/>
    </w:lvl>
  </w:abstractNum>
  <w:abstractNum w:abstractNumId="61">
    <w:nsid w:val="39EE015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62">
    <w:nsid w:val="57FC4FBB"/>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lvl w:ilvl="3">
      <w:lvlJc w:val="left"/>
      <w:lvlText w:val="%4."/>
      <w:numFmt w:val="lowerLetter"/>
      <w:start w:val="1"/>
    </w:lvl>
  </w:abstractNum>
  <w:abstractNum w:abstractNumId="63">
    <w:nsid w:val="CC1016F"/>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64">
    <w:nsid w:val="43F18422"/>
    <w:multiLevelType w:val="hybridMultilevel"/>
    <w:lvl w:ilvl="0">
      <w:lvlJc w:val="left"/>
      <w:lvlText w:val="%1."/>
      <w:numFmt w:val="decimal"/>
      <w:start w:val="1"/>
    </w:lvl>
  </w:abstractNum>
  <w:abstractNum w:abstractNumId="65">
    <w:nsid w:val="60EF0119"/>
    <w:multiLevelType w:val="hybridMultilevel"/>
    <w:lvl w:ilvl="0">
      <w:lvlJc w:val="left"/>
      <w:lvlText w:val="%1."/>
      <w:numFmt w:val="decimal"/>
      <w:start w:val="2"/>
    </w:lvl>
  </w:abstractNum>
  <w:abstractNum w:abstractNumId="66">
    <w:nsid w:val="26F324BA"/>
    <w:multiLevelType w:val="hybridMultilevel"/>
    <w:lvl w:ilvl="0">
      <w:lvlJc w:val="left"/>
      <w:lvlText w:val="%1."/>
      <w:numFmt w:val="decimal"/>
      <w:start w:val="3"/>
    </w:lvl>
  </w:abstractNum>
  <w:abstractNum w:abstractNumId="67">
    <w:nsid w:val="7F01579B"/>
    <w:multiLevelType w:val="hybridMultilevel"/>
    <w:lvl w:ilvl="0">
      <w:lvlJc w:val="left"/>
      <w:lvlText w:val="(%1)"/>
      <w:numFmt w:val="lowerRoman"/>
      <w:start w:val="1"/>
    </w:lvl>
    <w:lvl w:ilvl="1">
      <w:lvlJc w:val="left"/>
      <w:lvlText w:val="%2."/>
      <w:numFmt w:val="decimal"/>
      <w:start w:val="4"/>
    </w:lvl>
  </w:abstractNum>
  <w:abstractNum w:abstractNumId="68">
    <w:nsid w:val="49DA307D"/>
    <w:multiLevelType w:val="hybridMultilevel"/>
    <w:lvl w:ilvl="0">
      <w:lvlJc w:val="left"/>
      <w:lvlText w:val="%1."/>
      <w:numFmt w:val="decimal"/>
      <w:start w:val="5"/>
    </w:lvl>
  </w:abstractNum>
  <w:abstractNum w:abstractNumId="69">
    <w:nsid w:val="7055A5F5"/>
    <w:multiLevelType w:val="hybridMultilevel"/>
    <w:lvl w:ilvl="0">
      <w:lvlJc w:val="left"/>
      <w:lvlText w:val="%1."/>
      <w:numFmt w:val="decimal"/>
      <w:start w:val="6"/>
    </w:lvl>
  </w:abstractNum>
  <w:abstractNum w:abstractNumId="70">
    <w:nsid w:val="5FB8370B"/>
    <w:multiLevelType w:val="hybridMultilevel"/>
    <w:lvl w:ilvl="0">
      <w:lvlJc w:val="left"/>
      <w:lvlText w:val="%1."/>
      <w:numFmt w:val="decimal"/>
      <w:start w:val="7"/>
    </w:lvl>
  </w:abstractNum>
  <w:abstractNum w:abstractNumId="71">
    <w:nsid w:val="50801EE1"/>
    <w:multiLevelType w:val="hybridMultilevel"/>
    <w:lvl w:ilvl="0">
      <w:lvlJc w:val="left"/>
      <w:lvlText w:val="%1."/>
      <w:numFmt w:val="decimal"/>
      <w:start w:val="8"/>
    </w:lvl>
  </w:abstractNum>
  <w:abstractNum w:abstractNumId="72">
    <w:nsid w:val="488AC1A"/>
    <w:multiLevelType w:val="hybridMultilevel"/>
    <w:lvl w:ilvl="0">
      <w:lvlJc w:val="left"/>
      <w:lvlText w:val="%1."/>
      <w:numFmt w:val="decimal"/>
      <w:start w:val="9"/>
    </w:lvl>
  </w:abstractNum>
  <w:abstractNum w:abstractNumId="73">
    <w:nsid w:val="5FB8011C"/>
    <w:multiLevelType w:val="hybridMultilevel"/>
    <w:lvl w:ilvl="0">
      <w:lvlJc w:val="left"/>
      <w:lvlText w:val="%1."/>
      <w:numFmt w:val="decimal"/>
      <w:start w:val="10"/>
    </w:lvl>
  </w:abstractNum>
  <w:abstractNum w:abstractNumId="74">
    <w:nsid w:val="6AA78F7F"/>
    <w:multiLevelType w:val="hybridMultilevel"/>
    <w:lvl w:ilvl="0">
      <w:lvlJc w:val="left"/>
      <w:lvlText w:val="%1."/>
      <w:numFmt w:val="decimal"/>
      <w:start w:val="11"/>
    </w:lvl>
  </w:abstractNum>
  <w:abstractNum w:abstractNumId="75">
    <w:nsid w:val="7672BD23"/>
    <w:multiLevelType w:val="hybridMultilevel"/>
    <w:lvl w:ilvl="0">
      <w:lvlJc w:val="left"/>
      <w:lvlText w:val="%1."/>
      <w:numFmt w:val="decimal"/>
      <w:start w:val="7"/>
    </w:lvl>
    <w:lvl w:ilvl="1">
      <w:lvlJc w:val="left"/>
      <w:lvlText w:val="%2."/>
      <w:numFmt w:val="decimal"/>
      <w:start w:val="1"/>
    </w:lvl>
    <w:lvl w:ilvl="2">
      <w:lvlJc w:val="left"/>
      <w:lvlText w:val="%3."/>
      <w:numFmt w:val="lowerRoman"/>
      <w:start w:val="3"/>
    </w:lvl>
    <w:lvl w:ilvl="3">
      <w:lvlJc w:val="left"/>
      <w:lvlText w:val="%4."/>
      <w:numFmt w:val="lowerRoman"/>
      <w:start w:val="1"/>
    </w:lvl>
  </w:abstractNum>
  <w:abstractNum w:abstractNumId="76">
    <w:nsid w:val="6FC75AF8"/>
    <w:multiLevelType w:val="hybridMultilevel"/>
    <w:lvl w:ilvl="0">
      <w:lvlJc w:val="left"/>
      <w:lvlText w:val="%1."/>
      <w:numFmt w:val="decimal"/>
      <w:start w:val="2"/>
    </w:lvl>
  </w:abstractNum>
  <w:abstractNum w:abstractNumId="77">
    <w:nsid w:val="6A5F7029"/>
    <w:multiLevelType w:val="hybridMultilevel"/>
    <w:lvl w:ilvl="0">
      <w:lvlJc w:val="left"/>
      <w:lvlText w:val="%1."/>
      <w:numFmt w:val="decimal"/>
      <w:start w:val="3"/>
    </w:lvl>
  </w:abstractNum>
  <w:abstractNum w:abstractNumId="78">
    <w:nsid w:val="7D5E18F8"/>
    <w:multiLevelType w:val="hybridMultilevel"/>
    <w:lvl w:ilvl="0">
      <w:lvlJc w:val="left"/>
      <w:lvlText w:val="%1."/>
      <w:numFmt w:val="decimal"/>
      <w:start w:val="8"/>
    </w:lvl>
    <w:lvl w:ilvl="1">
      <w:lvlJc w:val="left"/>
      <w:lvlText w:val="%2."/>
      <w:numFmt w:val="decimal"/>
      <w:start w:val="1"/>
    </w:lvl>
  </w:abstractNum>
  <w:abstractNum w:abstractNumId="79">
    <w:nsid w:val="5F3534A4"/>
    <w:multiLevelType w:val="hybridMultilevel"/>
    <w:lvl w:ilvl="0">
      <w:lvlJc w:val="left"/>
      <w:lvlText w:val="%1."/>
      <w:numFmt w:val="decimal"/>
      <w:start w:val="2"/>
    </w:lvl>
  </w:abstractNum>
  <w:abstractNum w:abstractNumId="80">
    <w:nsid w:val="73A1821B"/>
    <w:multiLevelType w:val="hybridMultilevel"/>
    <w:lvl w:ilvl="0">
      <w:lvlJc w:val="left"/>
      <w:lvlText w:val="%1."/>
      <w:numFmt w:val="decimal"/>
      <w:start w:val="3"/>
    </w:lvl>
  </w:abstractNum>
  <w:abstractNum w:abstractNumId="81">
    <w:nsid w:val="7DE67713"/>
    <w:multiLevelType w:val="hybridMultilevel"/>
    <w:lvl w:ilvl="0">
      <w:lvlJc w:val="left"/>
      <w:lvlText w:val="%1."/>
      <w:numFmt w:val="decimal"/>
      <w:start w:val="4"/>
    </w:lvl>
  </w:abstractNum>
  <w:abstractNum w:abstractNumId="82">
    <w:nsid w:val="555C55B5"/>
    <w:multiLevelType w:val="hybridMultilevel"/>
    <w:lvl w:ilvl="0">
      <w:lvlJc w:val="left"/>
      <w:lvlText w:val="%1."/>
      <w:numFmt w:val="decimal"/>
      <w:start w:val="9"/>
    </w:lvl>
    <w:lvl w:ilvl="1">
      <w:lvlJc w:val="left"/>
      <w:lvlText w:val="%2."/>
      <w:numFmt w:val="decimal"/>
      <w:start w:val="1"/>
    </w:lvl>
  </w:abstractNum>
  <w:abstractNum w:abstractNumId="83">
    <w:nsid w:val="3FA62ACA"/>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Roman"/>
      <w:start w:val="1"/>
    </w:lvl>
  </w:abstractNum>
  <w:abstractNum w:abstractNumId="84">
    <w:nsid w:val="14FCE74E"/>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85">
    <w:nsid w:val="6A3DD3E8"/>
    <w:multiLevelType w:val="hybridMultilevel"/>
    <w:lvl w:ilvl="0">
      <w:lvlJc w:val="left"/>
      <w:lvlText w:val="%1."/>
      <w:numFmt w:val="decimal"/>
      <w:start w:val="13"/>
    </w:lvl>
  </w:abstractNum>
  <w:abstractNum w:abstractNumId="86">
    <w:nsid w:val="71C91298"/>
    <w:multiLevelType w:val="hybridMultilevel"/>
    <w:lvl w:ilvl="0">
      <w:lvlJc w:val="left"/>
      <w:lvlText w:val="%1."/>
      <w:numFmt w:val="decimal"/>
      <w:start w:val="1"/>
    </w:lvl>
  </w:abstractNum>
  <w:abstractNum w:abstractNumId="87">
    <w:nsid w:val="9DAF632"/>
    <w:multiLevelType w:val="hybridMultilevel"/>
    <w:lvl w:ilvl="0">
      <w:lvlJc w:val="left"/>
      <w:lvlText w:val="%1."/>
      <w:numFmt w:val="decimal"/>
      <w:start w:val="2"/>
    </w:lvl>
  </w:abstractNum>
  <w:abstractNum w:abstractNumId="88">
    <w:nsid w:val="53299938"/>
    <w:multiLevelType w:val="hybridMultilevel"/>
    <w:lvl w:ilvl="0">
      <w:lvlJc w:val="left"/>
      <w:lvlText w:val="%1."/>
      <w:numFmt w:val="decimal"/>
      <w:start w:val="3"/>
    </w:lvl>
  </w:abstractNum>
  <w:abstractNum w:abstractNumId="89">
    <w:nsid w:val="1FBFE8E0"/>
    <w:multiLevelType w:val="hybridMultilevel"/>
    <w:lvl w:ilvl="0">
      <w:lvlJc w:val="left"/>
      <w:lvlText w:val="%1."/>
      <w:numFmt w:val="decimal"/>
      <w:start w:val="4"/>
    </w:lvl>
  </w:abstractNum>
  <w:abstractNum w:abstractNumId="90">
    <w:nsid w:val="5092CA79"/>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91">
    <w:nsid w:val="1D545C4D"/>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abstractNum>
  <w:abstractNum w:abstractNumId="92">
    <w:nsid w:val="59ADEA3D"/>
    <w:multiLevelType w:val="hybridMultilevel"/>
    <w:lvl w:ilvl="0">
      <w:lvlJc w:val="left"/>
      <w:lvlText w:val="%1."/>
      <w:numFmt w:val="lowerRoman"/>
      <w:start w:val="1"/>
    </w:lvl>
  </w:abstractNum>
  <w:abstractNum w:abstractNumId="93">
    <w:nsid w:val="288F1A34"/>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Roman"/>
      <w:start w:val="1"/>
    </w:lvl>
    <w:lvl w:ilvl="4">
      <w:lvlJc w:val="left"/>
      <w:lvlText w:val="(%5)"/>
      <w:numFmt w:val="decimal"/>
      <w:start w:val="30"/>
    </w:lvl>
  </w:abstractNum>
  <w:abstractNum w:abstractNumId="94">
    <w:nsid w:val="2A155DBC"/>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decimal"/>
      <w:start w:val="1"/>
    </w:lvl>
  </w:abstractNum>
  <w:abstractNum w:abstractNumId="95">
    <w:nsid w:val="1D9F6E5F"/>
    <w:multiLevelType w:val="hybridMultilevel"/>
    <w:lvl w:ilvl="0">
      <w:lvlJc w:val="left"/>
      <w:lvlText w:val="%1."/>
      <w:numFmt w:val="decimal"/>
      <w:start w:val="2"/>
    </w:lvl>
  </w:abstractNum>
  <w:abstractNum w:abstractNumId="96">
    <w:nsid w:val="97E1B4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97">
    <w:nsid w:val="5108827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4"/>
    </w:lvl>
    <w:lvl w:ilvl="4">
      <w:lvlJc w:val="left"/>
      <w:lvlText w:val="%5"/>
      <w:numFmt w:val="lowerRoman"/>
      <w:start w:val="1"/>
    </w:lvl>
  </w:abstractNum>
  <w:abstractNum w:abstractNumId="98">
    <w:nsid w:val="1CA0C5FA"/>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99">
    <w:nsid w:val="53584BCB"/>
    <w:multiLevelType w:val="hybridMultilevel"/>
    <w:lvl w:ilvl="0">
      <w:lvlJc w:val="left"/>
      <w:lvlText w:val="%1."/>
      <w:numFmt w:val="decimal"/>
      <w:start w:val="16"/>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100">
    <w:nsid w:val="415E286C"/>
    <w:multiLevelType w:val="hybridMultilevel"/>
    <w:lvl w:ilvl="0">
      <w:lvlJc w:val="left"/>
      <w:lvlText w:val="%1."/>
      <w:numFmt w:val="decimal"/>
      <w:start w:val="2"/>
    </w:lvl>
  </w:abstractNum>
  <w:abstractNum w:abstractNumId="101">
    <w:nsid w:val="7C58FD05"/>
    <w:multiLevelType w:val="hybridMultilevel"/>
    <w:lvl w:ilvl="0">
      <w:lvlJc w:val="left"/>
      <w:lvlText w:val="%1."/>
      <w:numFmt w:val="decimal"/>
      <w:start w:val="3"/>
    </w:lvl>
  </w:abstractNum>
  <w:abstractNum w:abstractNumId="102">
    <w:nsid w:val="23D86AAC"/>
    <w:multiLevelType w:val="hybridMultilevel"/>
    <w:lvl w:ilvl="0">
      <w:lvlJc w:val="left"/>
      <w:lvlText w:val="%1."/>
      <w:numFmt w:val="decimal"/>
      <w:start w:val="4"/>
    </w:lvl>
  </w:abstractNum>
  <w:abstractNum w:abstractNumId="103">
    <w:nsid w:val="45E6D486"/>
    <w:multiLevelType w:val="hybridMultilevel"/>
    <w:lvl w:ilvl="0">
      <w:lvlJc w:val="left"/>
      <w:lvlText w:val="%1."/>
      <w:numFmt w:val="decimal"/>
      <w:start w:val="5"/>
    </w:lvl>
  </w:abstractNum>
  <w:abstractNum w:abstractNumId="104">
    <w:nsid w:val="5C10FE21"/>
    <w:multiLevelType w:val="hybridMultilevel"/>
    <w:lvl w:ilvl="0">
      <w:lvlJc w:val="left"/>
      <w:lvlText w:val="%1."/>
      <w:numFmt w:val="decimal"/>
      <w:start w:val="6"/>
    </w:lvl>
  </w:abstractNum>
  <w:abstractNum w:abstractNumId="105">
    <w:nsid w:val="E7FFA2B"/>
    <w:multiLevelType w:val="hybridMultilevel"/>
    <w:lvl w:ilvl="0">
      <w:lvlJc w:val="left"/>
      <w:lvlText w:val="%1."/>
      <w:numFmt w:val="decimal"/>
      <w:start w:val="8"/>
    </w:lvl>
  </w:abstractNum>
  <w:abstractNum w:abstractNumId="106">
    <w:nsid w:val="3C5991AA"/>
    <w:multiLevelType w:val="hybridMultilevel"/>
    <w:lvl w:ilvl="0">
      <w:lvlJc w:val="left"/>
      <w:lvlText w:val="(%1)"/>
      <w:numFmt w:val="lowerRoman"/>
      <w:start w:val="3"/>
    </w:lvl>
  </w:abstractNum>
  <w:abstractNum w:abstractNumId="107">
    <w:nsid w:val="4BD8591A"/>
    <w:multiLevelType w:val="hybridMultilevel"/>
    <w:lvl w:ilvl="0">
      <w:lvlJc w:val="left"/>
      <w:lvlText w:val="%1."/>
      <w:numFmt w:val="decimal"/>
      <w:start w:val="9"/>
    </w:lvl>
  </w:abstractNum>
  <w:abstractNum w:abstractNumId="108">
    <w:nsid w:val="78DF6A55"/>
    <w:multiLevelType w:val="hybridMultilevel"/>
    <w:lvl w:ilvl="0">
      <w:lvlJc w:val="left"/>
      <w:lvlText w:val="%1."/>
      <w:numFmt w:val="decimal"/>
      <w:start w:val="10"/>
    </w:lvl>
  </w:abstractNum>
  <w:abstractNum w:abstractNumId="109">
    <w:nsid w:val="39B7AAA2"/>
    <w:multiLevelType w:val="hybridMultilevel"/>
    <w:lvl w:ilvl="0">
      <w:lvlJc w:val="left"/>
      <w:lvlText w:val="%1."/>
      <w:numFmt w:val="decimal"/>
      <w:start w:val="11"/>
    </w:lvl>
  </w:abstractNum>
  <w:abstractNum w:abstractNumId="110">
    <w:nsid w:val="2B0D8DBE"/>
    <w:multiLevelType w:val="hybridMultilevel"/>
    <w:lvl w:ilvl="0">
      <w:lvlJc w:val="left"/>
      <w:lvlText w:val="%1."/>
      <w:numFmt w:val="decimal"/>
      <w:start w:val="12"/>
    </w:lvl>
  </w:abstractNum>
  <w:abstractNum w:abstractNumId="111">
    <w:nsid w:val="6C80EC70"/>
    <w:multiLevelType w:val="hybridMultilevel"/>
    <w:lvl w:ilvl="0">
      <w:lvlJc w:val="left"/>
      <w:lvlText w:val="%1."/>
      <w:numFmt w:val="decimal"/>
      <w:start w:val="13"/>
    </w:lvl>
  </w:abstractNum>
  <w:abstractNum w:abstractNumId="112">
    <w:nsid w:val="379E21B5"/>
    <w:multiLevelType w:val="hybridMultilevel"/>
    <w:lvl w:ilvl="0">
      <w:lvlJc w:val="left"/>
      <w:lvlText w:val="%1."/>
      <w:numFmt w:val="decimal"/>
      <w:start w:val="14"/>
    </w:lvl>
  </w:abstractNum>
  <w:abstractNum w:abstractNumId="113">
    <w:nsid w:val="69E373"/>
    <w:multiLevelType w:val="hybridMultilevel"/>
    <w:lvl w:ilvl="0">
      <w:lvlJc w:val="left"/>
      <w:lvlText w:val="%1."/>
      <w:numFmt w:val="decimal"/>
      <w:start w:val="1"/>
    </w:lvl>
  </w:abstractNum>
  <w:abstractNum w:abstractNumId="114">
    <w:nsid w:val="2C27173B"/>
    <w:multiLevelType w:val="hybridMultilevel"/>
    <w:lvl w:ilvl="0">
      <w:lvlJc w:val="left"/>
      <w:lvlText w:val="%1."/>
      <w:numFmt w:val="decimal"/>
      <w:start w:val="3"/>
    </w:lvl>
    <w:lvl w:ilvl="1">
      <w:lvlJc w:val="left"/>
      <w:lvlText w:val="%2."/>
      <w:numFmt w:val="lowerLetter"/>
      <w:start w:val="1"/>
    </w:lvl>
  </w:abstractNum>
  <w:abstractNum w:abstractNumId="115">
    <w:nsid w:val="4C9B090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6">
    <w:nsid w:val="6AA7B75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17">
    <w:nsid w:val="1DF029D3"/>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2024-01-09T16:08:05Z</dcterms:created>
  <dcterms:modified xsi:type="dcterms:W3CDTF">2024-01-09T16:08:05Z</dcterms:modified>
</cp:coreProperties>
</file>