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16" w:lineRule="exact"/>
        <w:rPr>
          <w:sz w:val="24"/>
          <w:szCs w:val="24"/>
          <w:color w:val="auto"/>
        </w:rPr>
      </w:pPr>
    </w:p>
    <w:p>
      <w:pPr>
        <w:jc w:val="right"/>
        <w:ind w:right="1039"/>
        <w:spacing w:after="0"/>
        <w:rPr>
          <w:sz w:val="20"/>
          <w:szCs w:val="20"/>
          <w:color w:val="auto"/>
        </w:rPr>
      </w:pPr>
      <w:r>
        <w:rPr>
          <w:rFonts w:ascii="Times New Roman" w:cs="Times New Roman" w:eastAsia="Times New Roman" w:hAnsi="Times New Roman"/>
          <w:sz w:val="15"/>
          <w:szCs w:val="15"/>
          <w:b w:val="1"/>
          <w:bCs w:val="1"/>
          <w:color w:val="auto"/>
        </w:rPr>
        <w:t>Filed Pursuant to Rule 424(b)(5)</w:t>
      </w:r>
    </w:p>
    <w:p>
      <w:pPr>
        <w:spacing w:after="0" w:line="29" w:lineRule="exact"/>
        <w:rPr>
          <w:sz w:val="24"/>
          <w:szCs w:val="24"/>
          <w:color w:val="auto"/>
        </w:rPr>
      </w:pPr>
    </w:p>
    <w:p>
      <w:pPr>
        <w:jc w:val="right"/>
        <w:ind w:right="1039"/>
        <w:spacing w:after="0"/>
        <w:rPr>
          <w:sz w:val="20"/>
          <w:szCs w:val="20"/>
          <w:color w:val="auto"/>
        </w:rPr>
      </w:pPr>
      <w:r>
        <w:rPr>
          <w:rFonts w:ascii="Times New Roman" w:cs="Times New Roman" w:eastAsia="Times New Roman" w:hAnsi="Times New Roman"/>
          <w:sz w:val="15"/>
          <w:szCs w:val="15"/>
          <w:b w:val="1"/>
          <w:bCs w:val="1"/>
          <w:color w:val="auto"/>
        </w:rPr>
        <w:t>Registration No. 333-267788</w:t>
      </w:r>
    </w:p>
    <w:p>
      <w:pPr>
        <w:spacing w:after="0" w:line="28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2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5"/>
          <w:szCs w:val="15"/>
          <w:b w:val="1"/>
          <w:bCs w:val="1"/>
          <w:color w:val="auto"/>
        </w:rPr>
        <w:t>(to Prospectus dated October 7, 2022)</w:t>
      </w:r>
    </w:p>
    <w:p>
      <w:pPr>
        <w:spacing w:after="0" w:line="28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1"/>
          <w:szCs w:val="21"/>
          <w:b w:val="1"/>
          <w:bCs w:val="1"/>
          <w:color w:val="auto"/>
        </w:rPr>
        <w:t>Tilray Brands, Inc.</w:t>
      </w:r>
    </w:p>
    <w:p>
      <w:pPr>
        <w:spacing w:after="0" w:line="3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1"/>
          <w:szCs w:val="21"/>
          <w:b w:val="1"/>
          <w:bCs w:val="1"/>
          <w:color w:val="auto"/>
        </w:rPr>
        <w:t> </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6,209,000 Shares of Common Stock Underlying Warrants</w:t>
      </w:r>
    </w:p>
    <w:p>
      <w:pPr>
        <w:spacing w:after="0" w:line="78" w:lineRule="exact"/>
        <w:rPr>
          <w:sz w:val="24"/>
          <w:szCs w:val="24"/>
          <w:color w:val="auto"/>
        </w:rPr>
      </w:pPr>
    </w:p>
    <w:p>
      <w:pPr>
        <w:ind w:left="1040" w:right="1199" w:firstLine="304"/>
        <w:spacing w:after="0" w:line="262" w:lineRule="auto"/>
        <w:rPr>
          <w:sz w:val="20"/>
          <w:szCs w:val="20"/>
          <w:color w:val="auto"/>
        </w:rPr>
      </w:pPr>
      <w:r>
        <w:rPr>
          <w:rFonts w:ascii="Times New Roman" w:cs="Times New Roman" w:eastAsia="Times New Roman" w:hAnsi="Times New Roman"/>
          <w:sz w:val="15"/>
          <w:szCs w:val="15"/>
          <w:color w:val="auto"/>
        </w:rPr>
        <w:t>This prospectus supplement supplements our prospectus dated October 7, 2022, and relates to the issuance and sale of up to 6,209,000 shares of our common stock, par value $0.0001 per share (“Common Stock”), issuable upon the exercise of currently outstanding warrants (the “Warrants”) to purchase shares of Common Stock, which Warrants were issued pursuant to that certain Underwriting Agreement, dated March 13, 2020, by and between the us and Canaccord Genuity LLC. (the “Underwriting Agreement”).</w:t>
      </w:r>
    </w:p>
    <w:p>
      <w:pPr>
        <w:spacing w:after="0" w:line="62"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5"/>
          <w:szCs w:val="15"/>
          <w:color w:val="auto"/>
        </w:rPr>
        <w:t>The Warrants were originally issued on March 17, 2020. Each Warrant became exercisable on the</w:t>
      </w:r>
    </w:p>
    <w:p>
      <w:pPr>
        <w:spacing w:after="0" w:line="25" w:lineRule="exact"/>
        <w:rPr>
          <w:sz w:val="24"/>
          <w:szCs w:val="24"/>
          <w:color w:val="auto"/>
        </w:rPr>
      </w:pPr>
    </w:p>
    <w:p>
      <w:pPr>
        <w:ind w:left="1040" w:right="1159"/>
        <w:spacing w:after="0" w:line="256" w:lineRule="auto"/>
        <w:rPr>
          <w:sz w:val="20"/>
          <w:szCs w:val="20"/>
          <w:color w:val="auto"/>
        </w:rPr>
      </w:pPr>
      <w:r>
        <w:rPr>
          <w:rFonts w:ascii="Times New Roman" w:cs="Times New Roman" w:eastAsia="Times New Roman" w:hAnsi="Times New Roman"/>
          <w:sz w:val="15"/>
          <w:szCs w:val="15"/>
          <w:color w:val="auto"/>
        </w:rPr>
        <w:t>first trading day following the six-month anniversary of the date of issuance and expires on the fifth anniversary of the date on which the Warrants became exercisable. Each Warrant is exercisable for one share of Common Stock and had an initial exercise price of $5.95 per share, subject to certain adjustments. The Warrants contain a price protection, or anti-dilution feature, pursuant to which, the exercise price of the Warrants will be reduced to the consideration paid for, or the exercise price or conversion price of, as the case may be, any newly issued securities issued at a discount to the Warrant’s initial exercise price. As of September 5, 2025, the exercise price of each Warrant was $0.3812.</w:t>
      </w:r>
    </w:p>
    <w:p>
      <w:pPr>
        <w:spacing w:after="0" w:line="65" w:lineRule="exact"/>
        <w:rPr>
          <w:sz w:val="24"/>
          <w:szCs w:val="24"/>
          <w:color w:val="auto"/>
        </w:rPr>
      </w:pPr>
    </w:p>
    <w:p>
      <w:pPr>
        <w:ind w:left="1040" w:right="1119" w:firstLine="304"/>
        <w:spacing w:after="0" w:line="271" w:lineRule="auto"/>
        <w:rPr>
          <w:sz w:val="20"/>
          <w:szCs w:val="20"/>
          <w:color w:val="auto"/>
        </w:rPr>
      </w:pPr>
      <w:r>
        <w:rPr>
          <w:rFonts w:ascii="Times New Roman" w:cs="Times New Roman" w:eastAsia="Times New Roman" w:hAnsi="Times New Roman"/>
          <w:sz w:val="15"/>
          <w:szCs w:val="15"/>
          <w:color w:val="auto"/>
        </w:rPr>
        <w:t>Shares of our Common Stock are listed on The Nasdaq Global Select Market (“Nasdaq”) and the Toronto Stock Exchange (the “TSX”) under the trading symbol “TLRY”. On September 9, 2025, the last sale price of our Common Stock was $1.14 per share on Nasdaq and C$1.59 per share on the TSX.</w:t>
      </w:r>
    </w:p>
    <w:p>
      <w:pPr>
        <w:spacing w:after="0" w:line="50" w:lineRule="exact"/>
        <w:rPr>
          <w:sz w:val="24"/>
          <w:szCs w:val="24"/>
          <w:color w:val="auto"/>
        </w:rPr>
      </w:pPr>
    </w:p>
    <w:p>
      <w:pPr>
        <w:ind w:left="1040" w:right="1139" w:firstLine="304"/>
        <w:spacing w:after="0" w:line="273" w:lineRule="auto"/>
        <w:rPr>
          <w:sz w:val="20"/>
          <w:szCs w:val="20"/>
          <w:color w:val="auto"/>
        </w:rPr>
      </w:pPr>
      <w:r>
        <w:rPr>
          <w:rFonts w:ascii="Times New Roman" w:cs="Times New Roman" w:eastAsia="Times New Roman" w:hAnsi="Times New Roman"/>
          <w:sz w:val="15"/>
          <w:szCs w:val="15"/>
          <w:i w:val="1"/>
          <w:iCs w:val="1"/>
          <w:color w:val="auto"/>
        </w:rPr>
        <w:t>Investing in our Common Stock involves risks. See “Risk Factors” on page S-</w:t>
      </w:r>
      <w:r>
        <w:rPr>
          <w:rFonts w:ascii="Times New Roman" w:cs="Times New Roman" w:eastAsia="Times New Roman" w:hAnsi="Times New Roman"/>
          <w:sz w:val="15"/>
          <w:szCs w:val="15"/>
          <w:i w:val="1"/>
          <w:iCs w:val="1"/>
          <w:u w:val="single" w:color="auto"/>
          <w:color w:val="0000EE"/>
        </w:rPr>
        <w:t>3</w:t>
      </w:r>
      <w:r>
        <w:rPr>
          <w:rFonts w:ascii="Times New Roman" w:cs="Times New Roman" w:eastAsia="Times New Roman" w:hAnsi="Times New Roman"/>
          <w:sz w:val="15"/>
          <w:szCs w:val="15"/>
          <w:i w:val="1"/>
          <w:iCs w:val="1"/>
          <w:color w:val="auto"/>
        </w:rPr>
        <w:t xml:space="preserve"> of this prospectus supplement, and on page </w:t>
      </w:r>
      <w:r>
        <w:rPr>
          <w:rFonts w:ascii="Times New Roman" w:cs="Times New Roman" w:eastAsia="Times New Roman" w:hAnsi="Times New Roman"/>
          <w:sz w:val="15"/>
          <w:szCs w:val="15"/>
          <w:i w:val="1"/>
          <w:iCs w:val="1"/>
          <w:u w:val="single" w:color="auto"/>
          <w:color w:val="0000EE"/>
        </w:rPr>
        <w:t>4</w:t>
      </w:r>
      <w:r>
        <w:rPr>
          <w:rFonts w:ascii="Times New Roman" w:cs="Times New Roman" w:eastAsia="Times New Roman" w:hAnsi="Times New Roman"/>
          <w:sz w:val="15"/>
          <w:szCs w:val="15"/>
          <w:i w:val="1"/>
          <w:iCs w:val="1"/>
          <w:color w:val="auto"/>
        </w:rPr>
        <w:t xml:space="preserve"> of the accompanying prospectus, as well as our other filings that are incorporated by reference into this prospectus supplement and the accompanying prospectus.</w:t>
      </w:r>
    </w:p>
    <w:p>
      <w:pPr>
        <w:spacing w:after="0" w:line="50" w:lineRule="exact"/>
        <w:rPr>
          <w:sz w:val="24"/>
          <w:szCs w:val="24"/>
          <w:color w:val="auto"/>
        </w:rPr>
      </w:pPr>
    </w:p>
    <w:p>
      <w:pPr>
        <w:ind w:left="1040" w:right="1059" w:firstLine="304"/>
        <w:spacing w:after="0" w:line="273"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This prospectus supplement is dated September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-93345</wp:posOffset>
            </wp:positionH>
            <wp:positionV relativeFrom="paragraph">
              <wp:posOffset>119380</wp:posOffset>
            </wp:positionV>
            <wp:extent cx="590804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09" w:right="1440" w:bottom="1440" w:gutter="0" w:footer="0" w:header="0"/>
        </w:sectPr>
      </w:pPr>
    </w:p>
    <w:bookmarkStart w:id="1" w:name="page2"/>
    <w:bookmarkEnd w:id="1"/>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148" w:lineRule="exact"/>
        <w:rPr>
          <w:sz w:val="20"/>
          <w:szCs w:val="20"/>
          <w:color w:val="auto"/>
        </w:rPr>
      </w:pPr>
    </w:p>
    <w:tbl>
      <w:tblPr>
        <w:tblLayout w:type="fixed"/>
        <w:tblInd w:w="9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gridSpan w:val="8"/>
          </w:tcPr>
          <w:p>
            <w:pPr>
              <w:jc w:val="center"/>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17"/>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gridSpan w:val="7"/>
            <w:shd w:val="clear" w:color="auto" w:fill="CCEEFF"/>
          </w:tcPr>
          <w:p>
            <w:pPr>
              <w:jc w:val="center"/>
              <w:ind w:right="20"/>
              <w:spacing w:after="0" w:line="163" w:lineRule="exact"/>
              <w:rPr>
                <w:sz w:val="20"/>
                <w:szCs w:val="20"/>
                <w:color w:val="auto"/>
              </w:rPr>
            </w:pPr>
            <w:r>
              <w:rPr>
                <w:rFonts w:ascii="Times New Roman" w:cs="Times New Roman" w:eastAsia="Times New Roman" w:hAnsi="Times New Roman"/>
                <w:sz w:val="15"/>
                <w:szCs w:val="15"/>
                <w:color w:val="0000EE"/>
              </w:rPr>
              <w:t>S-ii</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880" w:type="dxa"/>
            <w:vAlign w:val="bottom"/>
            <w:gridSpan w:val="13"/>
          </w:tcPr>
          <w:p>
            <w:pPr>
              <w:spacing w:after="0" w:line="160" w:lineRule="exact"/>
              <w:rPr>
                <w:sz w:val="20"/>
                <w:szCs w:val="20"/>
                <w:color w:val="auto"/>
              </w:rPr>
            </w:pPr>
            <w:r>
              <w:rPr>
                <w:rFonts w:ascii="Times New Roman" w:cs="Times New Roman" w:eastAsia="Times New Roman" w:hAnsi="Times New Roman"/>
                <w:sz w:val="15"/>
                <w:szCs w:val="15"/>
                <w:color w:val="0000EE"/>
              </w:rPr>
              <w:t>TILRAY BRANDS, INC.</w:t>
            </w:r>
          </w:p>
        </w:tc>
        <w:tc>
          <w:tcPr>
            <w:tcW w:w="3680" w:type="dxa"/>
            <w:vAlign w:val="bottom"/>
            <w:gridSpan w:val="4"/>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7"/>
          </w:tcPr>
          <w:p>
            <w:pPr>
              <w:jc w:val="center"/>
              <w:spacing w:after="0" w:line="160" w:lineRule="exact"/>
              <w:rPr>
                <w:sz w:val="20"/>
                <w:szCs w:val="20"/>
                <w:color w:val="auto"/>
              </w:rPr>
            </w:pPr>
            <w:r>
              <w:rPr>
                <w:rFonts w:ascii="Times New Roman" w:cs="Times New Roman" w:eastAsia="Times New Roman" w:hAnsi="Times New Roman"/>
                <w:sz w:val="15"/>
                <w:szCs w:val="15"/>
                <w:color w:val="0000EE"/>
                <w:w w:val="95"/>
              </w:rPr>
              <w:t>S-1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RISK FACTORS</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7"/>
            <w:shd w:val="clear" w:color="auto" w:fill="CCEEFF"/>
          </w:tcPr>
          <w:p>
            <w:pPr>
              <w:jc w:val="center"/>
              <w:spacing w:after="0" w:line="160" w:lineRule="exact"/>
              <w:rPr>
                <w:sz w:val="20"/>
                <w:szCs w:val="20"/>
                <w:color w:val="auto"/>
              </w:rPr>
            </w:pPr>
            <w:r>
              <w:rPr>
                <w:rFonts w:ascii="Times New Roman" w:cs="Times New Roman" w:eastAsia="Times New Roman" w:hAnsi="Times New Roman"/>
                <w:sz w:val="15"/>
                <w:szCs w:val="15"/>
                <w:color w:val="0000EE"/>
                <w:w w:val="95"/>
              </w:rPr>
              <w:t>S-3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tcPr>
          <w:p>
            <w:pPr>
              <w:spacing w:after="0" w:line="160"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7"/>
          </w:tcPr>
          <w:p>
            <w:pPr>
              <w:jc w:val="center"/>
              <w:spacing w:after="0" w:line="160" w:lineRule="exact"/>
              <w:rPr>
                <w:sz w:val="20"/>
                <w:szCs w:val="20"/>
                <w:color w:val="auto"/>
              </w:rPr>
            </w:pPr>
            <w:r>
              <w:rPr>
                <w:rFonts w:ascii="Times New Roman" w:cs="Times New Roman" w:eastAsia="Times New Roman" w:hAnsi="Times New Roman"/>
                <w:sz w:val="15"/>
                <w:szCs w:val="15"/>
                <w:color w:val="0000EE"/>
                <w:w w:val="95"/>
              </w:rPr>
              <w:t>S-4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DESCRIPTION OF SECURITIES</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7"/>
            <w:shd w:val="clear" w:color="auto" w:fill="CCEEFF"/>
          </w:tcPr>
          <w:p>
            <w:pPr>
              <w:jc w:val="center"/>
              <w:spacing w:after="0" w:line="160" w:lineRule="exact"/>
              <w:rPr>
                <w:sz w:val="20"/>
                <w:szCs w:val="20"/>
                <w:color w:val="auto"/>
              </w:rPr>
            </w:pPr>
            <w:r>
              <w:rPr>
                <w:rFonts w:ascii="Times New Roman" w:cs="Times New Roman" w:eastAsia="Times New Roman" w:hAnsi="Times New Roman"/>
                <w:sz w:val="15"/>
                <w:szCs w:val="15"/>
                <w:color w:val="0000EE"/>
                <w:w w:val="95"/>
              </w:rPr>
              <w:t>S-7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100" w:type="dxa"/>
            <w:vAlign w:val="bottom"/>
            <w:gridSpan w:val="10"/>
          </w:tcPr>
          <w:p>
            <w:pPr>
              <w:spacing w:after="0" w:line="160" w:lineRule="exact"/>
              <w:rPr>
                <w:sz w:val="20"/>
                <w:szCs w:val="20"/>
                <w:color w:val="auto"/>
              </w:rPr>
            </w:pPr>
            <w:r>
              <w:rPr>
                <w:rFonts w:ascii="Times New Roman" w:cs="Times New Roman" w:eastAsia="Times New Roman" w:hAnsi="Times New Roman"/>
                <w:sz w:val="15"/>
                <w:szCs w:val="15"/>
                <w:color w:val="0000EE"/>
              </w:rPr>
              <w:t>USE OF PROCEEDS</w:t>
            </w:r>
          </w:p>
        </w:tc>
        <w:tc>
          <w:tcPr>
            <w:tcW w:w="4460" w:type="dxa"/>
            <w:vAlign w:val="bottom"/>
            <w:gridSpan w:val="7"/>
          </w:tcPr>
          <w:p>
            <w:pPr>
              <w:spacing w:after="0"/>
              <w:rPr>
                <w:sz w:val="13"/>
                <w:szCs w:val="13"/>
                <w:color w:val="auto"/>
              </w:rPr>
            </w:pPr>
          </w:p>
        </w:tc>
        <w:tc>
          <w:tcPr>
            <w:tcW w:w="540" w:type="dxa"/>
            <w:vAlign w:val="bottom"/>
            <w:gridSpan w:val="9"/>
          </w:tcPr>
          <w:p>
            <w:pPr>
              <w:ind w:left="240"/>
              <w:spacing w:after="0" w:line="160" w:lineRule="exact"/>
              <w:rPr>
                <w:sz w:val="20"/>
                <w:szCs w:val="20"/>
                <w:color w:val="auto"/>
              </w:rPr>
            </w:pPr>
            <w:r>
              <w:rPr>
                <w:rFonts w:ascii="Times New Roman" w:cs="Times New Roman" w:eastAsia="Times New Roman" w:hAnsi="Times New Roman"/>
                <w:sz w:val="15"/>
                <w:szCs w:val="15"/>
                <w:color w:val="0000EE"/>
                <w:w w:val="98"/>
              </w:rPr>
              <w:t>S-10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720" w:type="dxa"/>
            <w:vAlign w:val="bottom"/>
            <w:gridSpan w:val="6"/>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w w:val="99"/>
              </w:rPr>
              <w:t>PLAN OF DISTRIBUTION</w:t>
            </w:r>
          </w:p>
        </w:tc>
        <w:tc>
          <w:tcPr>
            <w:tcW w:w="4840" w:type="dxa"/>
            <w:vAlign w:val="bottom"/>
            <w:gridSpan w:val="11"/>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gridSpan w:val="8"/>
            <w:shd w:val="clear" w:color="auto" w:fill="CCEEFF"/>
          </w:tcPr>
          <w:p>
            <w:pPr>
              <w:jc w:val="center"/>
              <w:ind w:right="20"/>
              <w:spacing w:after="0" w:line="160" w:lineRule="exact"/>
              <w:rPr>
                <w:sz w:val="20"/>
                <w:szCs w:val="20"/>
                <w:color w:val="auto"/>
              </w:rPr>
            </w:pPr>
            <w:r>
              <w:rPr>
                <w:rFonts w:ascii="Times New Roman" w:cs="Times New Roman" w:eastAsia="Times New Roman" w:hAnsi="Times New Roman"/>
                <w:sz w:val="15"/>
                <w:szCs w:val="15"/>
                <w:color w:val="0000EE"/>
                <w:w w:val="98"/>
              </w:rPr>
              <w:t>S-11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720" w:type="dxa"/>
            <w:vAlign w:val="bottom"/>
            <w:gridSpan w:val="6"/>
          </w:tcPr>
          <w:p>
            <w:pPr>
              <w:spacing w:after="0" w:line="160" w:lineRule="exact"/>
              <w:rPr>
                <w:sz w:val="20"/>
                <w:szCs w:val="20"/>
                <w:color w:val="auto"/>
              </w:rPr>
            </w:pPr>
            <w:r>
              <w:rPr>
                <w:rFonts w:ascii="Times New Roman" w:cs="Times New Roman" w:eastAsia="Times New Roman" w:hAnsi="Times New Roman"/>
                <w:sz w:val="15"/>
                <w:szCs w:val="15"/>
                <w:color w:val="0000EE"/>
              </w:rPr>
              <w:t>LEGAL MATTERS</w:t>
            </w:r>
          </w:p>
        </w:tc>
        <w:tc>
          <w:tcPr>
            <w:tcW w:w="4840" w:type="dxa"/>
            <w:vAlign w:val="bottom"/>
            <w:gridSpan w:val="11"/>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gridSpan w:val="8"/>
          </w:tcPr>
          <w:p>
            <w:pPr>
              <w:jc w:val="center"/>
              <w:spacing w:after="0" w:line="160" w:lineRule="exact"/>
              <w:rPr>
                <w:sz w:val="20"/>
                <w:szCs w:val="20"/>
                <w:color w:val="auto"/>
              </w:rPr>
            </w:pPr>
            <w:r>
              <w:rPr>
                <w:rFonts w:ascii="Times New Roman" w:cs="Times New Roman" w:eastAsia="Times New Roman" w:hAnsi="Times New Roman"/>
                <w:sz w:val="15"/>
                <w:szCs w:val="15"/>
                <w:color w:val="0000EE"/>
              </w:rPr>
              <w:t>S-12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640" w:type="dxa"/>
            <w:vAlign w:val="bottom"/>
            <w:tcBorders>
              <w:bottom w:val="single" w:sz="8" w:color="0000EE"/>
            </w:tcBorders>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w w:val="95"/>
              </w:rPr>
              <w:t>EXPERTS</w:t>
            </w:r>
          </w:p>
        </w:tc>
        <w:tc>
          <w:tcPr>
            <w:tcW w:w="5920" w:type="dxa"/>
            <w:vAlign w:val="bottom"/>
            <w:tcBorders>
              <w:bottom w:val="single" w:sz="8" w:color="CCEEFF"/>
            </w:tcBorders>
            <w:gridSpan w:val="16"/>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0000EE"/>
            </w:tcBorders>
            <w:gridSpan w:val="8"/>
            <w:shd w:val="clear" w:color="auto" w:fill="CCEEFF"/>
          </w:tcPr>
          <w:p>
            <w:pPr>
              <w:jc w:val="center"/>
              <w:spacing w:after="0" w:line="160" w:lineRule="exact"/>
              <w:rPr>
                <w:sz w:val="20"/>
                <w:szCs w:val="20"/>
                <w:color w:val="auto"/>
              </w:rPr>
            </w:pPr>
            <w:r>
              <w:rPr>
                <w:rFonts w:ascii="Times New Roman" w:cs="Times New Roman" w:eastAsia="Times New Roman" w:hAnsi="Times New Roman"/>
                <w:sz w:val="15"/>
                <w:szCs w:val="15"/>
                <w:color w:val="0000EE"/>
              </w:rPr>
              <w:t>S-12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60" w:type="dxa"/>
            <w:vAlign w:val="bottom"/>
            <w:gridSpan w:val="17"/>
          </w:tcPr>
          <w:p>
            <w:pPr>
              <w:spacing w:after="0" w:line="160"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540" w:type="dxa"/>
            <w:vAlign w:val="bottom"/>
            <w:gridSpan w:val="9"/>
          </w:tcPr>
          <w:p>
            <w:pPr>
              <w:ind w:left="240"/>
              <w:spacing w:after="0" w:line="160" w:lineRule="exact"/>
              <w:rPr>
                <w:sz w:val="20"/>
                <w:szCs w:val="20"/>
                <w:color w:val="auto"/>
              </w:rPr>
            </w:pPr>
            <w:r>
              <w:rPr>
                <w:rFonts w:ascii="Times New Roman" w:cs="Times New Roman" w:eastAsia="Times New Roman" w:hAnsi="Times New Roman"/>
                <w:sz w:val="15"/>
                <w:szCs w:val="15"/>
                <w:color w:val="0000EE"/>
                <w:w w:val="98"/>
              </w:rPr>
              <w:t>S-12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360" w:type="dxa"/>
            <w:vAlign w:val="bottom"/>
            <w:tcBorders>
              <w:bottom w:val="single" w:sz="8" w:color="0000EE"/>
            </w:tcBorders>
            <w:gridSpan w:val="15"/>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w w:val="99"/>
              </w:rPr>
              <w:t>INCORPORATION OF CERTAIN INFORMATION BY REFERENCE</w:t>
            </w:r>
          </w:p>
        </w:tc>
        <w:tc>
          <w:tcPr>
            <w:tcW w:w="2200" w:type="dxa"/>
            <w:vAlign w:val="bottom"/>
            <w:tcBorders>
              <w:bottom w:val="single" w:sz="8" w:color="CCEEFF"/>
            </w:tcBorders>
            <w:gridSpan w:val="2"/>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0000EE"/>
            </w:tcBorders>
            <w:gridSpan w:val="8"/>
            <w:shd w:val="clear" w:color="auto" w:fill="CCEEFF"/>
          </w:tcPr>
          <w:p>
            <w:pPr>
              <w:jc w:val="center"/>
              <w:spacing w:after="0" w:line="160" w:lineRule="exact"/>
              <w:rPr>
                <w:sz w:val="20"/>
                <w:szCs w:val="20"/>
                <w:color w:val="auto"/>
              </w:rPr>
            </w:pPr>
            <w:r>
              <w:rPr>
                <w:rFonts w:ascii="Times New Roman" w:cs="Times New Roman" w:eastAsia="Times New Roman" w:hAnsi="Times New Roman"/>
                <w:sz w:val="15"/>
                <w:szCs w:val="15"/>
                <w:color w:val="0000EE"/>
              </w:rPr>
              <w:t>S-13</w:t>
            </w: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gridSpan w:val="4"/>
          </w:tcPr>
          <w:p>
            <w:pPr>
              <w:ind w:left="320"/>
              <w:spacing w:after="0"/>
              <w:rPr>
                <w:sz w:val="20"/>
                <w:szCs w:val="20"/>
                <w:color w:val="auto"/>
              </w:rPr>
            </w:pPr>
            <w:r>
              <w:rPr>
                <w:rFonts w:ascii="Times New Roman" w:cs="Times New Roman" w:eastAsia="Times New Roman" w:hAnsi="Times New Roman"/>
                <w:sz w:val="15"/>
                <w:szCs w:val="15"/>
                <w:b w:val="1"/>
                <w:bCs w:val="1"/>
                <w:color w:val="auto"/>
              </w:rPr>
              <w:t>Prospectus</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7"/>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21"/>
        </w:trPr>
        <w:tc>
          <w:tcPr>
            <w:tcW w:w="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60" w:type="dxa"/>
            <w:vAlign w:val="bottom"/>
            <w:gridSpan w:val="17"/>
            <w:shd w:val="clear" w:color="auto" w:fill="CCEEFF"/>
          </w:tcPr>
          <w:p>
            <w:pPr>
              <w:spacing w:after="0" w:line="163" w:lineRule="exact"/>
              <w:rPr>
                <w:sz w:val="20"/>
                <w:szCs w:val="20"/>
                <w:color w:val="auto"/>
              </w:rPr>
            </w:pPr>
            <w:r>
              <w:rPr>
                <w:rFonts w:ascii="Times New Roman" w:cs="Times New Roman" w:eastAsia="Times New Roman" w:hAnsi="Times New Roman"/>
                <w:sz w:val="15"/>
                <w:szCs w:val="15"/>
                <w:color w:val="0000EE"/>
              </w:rPr>
              <w:t>ABOUT THIS PROSPECTUS</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gridSpan w:val="4"/>
            <w:shd w:val="clear" w:color="auto" w:fill="CCEEFF"/>
          </w:tcPr>
          <w:p>
            <w:pPr>
              <w:jc w:val="center"/>
              <w:ind w:right="60"/>
              <w:spacing w:after="0" w:line="163" w:lineRule="exact"/>
              <w:rPr>
                <w:sz w:val="20"/>
                <w:szCs w:val="20"/>
                <w:color w:val="auto"/>
              </w:rPr>
            </w:pPr>
            <w:r>
              <w:rPr>
                <w:rFonts w:ascii="Times New Roman" w:cs="Times New Roman" w:eastAsia="Times New Roman" w:hAnsi="Times New Roman"/>
                <w:sz w:val="15"/>
                <w:szCs w:val="15"/>
                <w:color w:val="0000EE"/>
                <w:w w:val="95"/>
              </w:rPr>
              <w:t>ii</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860" w:type="dxa"/>
            <w:vAlign w:val="bottom"/>
            <w:gridSpan w:val="8"/>
          </w:tcPr>
          <w:p>
            <w:pPr>
              <w:spacing w:after="0" w:line="160" w:lineRule="exact"/>
              <w:rPr>
                <w:sz w:val="20"/>
                <w:szCs w:val="20"/>
                <w:color w:val="auto"/>
              </w:rPr>
            </w:pPr>
            <w:r>
              <w:rPr>
                <w:rFonts w:ascii="Times New Roman" w:cs="Times New Roman" w:eastAsia="Times New Roman" w:hAnsi="Times New Roman"/>
                <w:sz w:val="15"/>
                <w:szCs w:val="15"/>
                <w:color w:val="0000EE"/>
              </w:rPr>
              <w:t>PROSPECTUS SUMMARY</w:t>
            </w:r>
          </w:p>
        </w:tc>
        <w:tc>
          <w:tcPr>
            <w:tcW w:w="4700" w:type="dxa"/>
            <w:vAlign w:val="bottom"/>
            <w:gridSpan w:val="9"/>
          </w:tcPr>
          <w:p>
            <w:pPr>
              <w:spacing w:after="0"/>
              <w:rPr>
                <w:sz w:val="13"/>
                <w:szCs w:val="13"/>
                <w:color w:val="auto"/>
              </w:rPr>
            </w:pPr>
          </w:p>
        </w:tc>
        <w:tc>
          <w:tcPr>
            <w:tcW w:w="400" w:type="dxa"/>
            <w:vAlign w:val="bottom"/>
            <w:gridSpan w:val="5"/>
          </w:tcPr>
          <w:p>
            <w:pPr>
              <w:spacing w:after="0"/>
              <w:rPr>
                <w:sz w:val="13"/>
                <w:szCs w:val="13"/>
                <w:color w:val="auto"/>
              </w:rPr>
            </w:pPr>
          </w:p>
        </w:tc>
        <w:tc>
          <w:tcPr>
            <w:tcW w:w="10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5"/>
                <w:szCs w:val="15"/>
                <w:color w:val="0000EE"/>
              </w:rPr>
              <w:t>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RISK FACTORS</w:t>
            </w:r>
          </w:p>
        </w:tc>
        <w:tc>
          <w:tcPr>
            <w:tcW w:w="500" w:type="dxa"/>
            <w:vAlign w:val="bottom"/>
            <w:gridSpan w:val="7"/>
            <w:shd w:val="clear" w:color="auto" w:fill="CCEEFF"/>
          </w:tcPr>
          <w:p>
            <w:pPr>
              <w:jc w:val="center"/>
              <w:ind w:left="304"/>
              <w:spacing w:after="0" w:line="160" w:lineRule="exact"/>
              <w:rPr>
                <w:sz w:val="20"/>
                <w:szCs w:val="20"/>
                <w:color w:val="auto"/>
              </w:rPr>
            </w:pPr>
            <w:r>
              <w:rPr>
                <w:rFonts w:ascii="Times New Roman" w:cs="Times New Roman" w:eastAsia="Times New Roman" w:hAnsi="Times New Roman"/>
                <w:sz w:val="15"/>
                <w:szCs w:val="15"/>
                <w:color w:val="0000EE"/>
              </w:rPr>
              <w:t>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tcPr>
          <w:p>
            <w:pPr>
              <w:spacing w:after="0" w:line="160"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500" w:type="dxa"/>
            <w:vAlign w:val="bottom"/>
            <w:gridSpan w:val="7"/>
          </w:tcPr>
          <w:p>
            <w:pPr>
              <w:jc w:val="center"/>
              <w:ind w:left="304"/>
              <w:spacing w:after="0" w:line="160" w:lineRule="exact"/>
              <w:rPr>
                <w:sz w:val="20"/>
                <w:szCs w:val="20"/>
                <w:color w:val="auto"/>
              </w:rPr>
            </w:pPr>
            <w:r>
              <w:rPr>
                <w:rFonts w:ascii="Times New Roman" w:cs="Times New Roman" w:eastAsia="Times New Roman" w:hAnsi="Times New Roman"/>
                <w:sz w:val="15"/>
                <w:szCs w:val="15"/>
                <w:color w:val="0000EE"/>
              </w:rPr>
              <w:t>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USE OF PROCEEDS</w:t>
            </w:r>
          </w:p>
        </w:tc>
        <w:tc>
          <w:tcPr>
            <w:tcW w:w="500" w:type="dxa"/>
            <w:vAlign w:val="bottom"/>
            <w:gridSpan w:val="7"/>
            <w:shd w:val="clear" w:color="auto" w:fill="CCEEFF"/>
          </w:tcPr>
          <w:p>
            <w:pPr>
              <w:jc w:val="center"/>
              <w:ind w:left="304"/>
              <w:spacing w:after="0" w:line="160" w:lineRule="exact"/>
              <w:rPr>
                <w:sz w:val="20"/>
                <w:szCs w:val="20"/>
                <w:color w:val="auto"/>
              </w:rPr>
            </w:pPr>
            <w:r>
              <w:rPr>
                <w:rFonts w:ascii="Times New Roman" w:cs="Times New Roman" w:eastAsia="Times New Roman" w:hAnsi="Times New Roman"/>
                <w:sz w:val="15"/>
                <w:szCs w:val="15"/>
                <w:color w:val="0000EE"/>
              </w:rPr>
              <w:t>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tcPr>
          <w:p>
            <w:pPr>
              <w:spacing w:after="0" w:line="160"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500" w:type="dxa"/>
            <w:vAlign w:val="bottom"/>
            <w:gridSpan w:val="7"/>
          </w:tcPr>
          <w:p>
            <w:pPr>
              <w:jc w:val="center"/>
              <w:ind w:left="304"/>
              <w:spacing w:after="0" w:line="160" w:lineRule="exact"/>
              <w:rPr>
                <w:sz w:val="20"/>
                <w:szCs w:val="20"/>
                <w:color w:val="auto"/>
              </w:rPr>
            </w:pPr>
            <w:r>
              <w:rPr>
                <w:rFonts w:ascii="Times New Roman" w:cs="Times New Roman" w:eastAsia="Times New Roman" w:hAnsi="Times New Roman"/>
                <w:sz w:val="15"/>
                <w:szCs w:val="15"/>
                <w:color w:val="0000EE"/>
              </w:rPr>
              <w:t>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DESCRIPTION OF DEBT SECURITIES</w:t>
            </w:r>
          </w:p>
        </w:tc>
        <w:tc>
          <w:tcPr>
            <w:tcW w:w="500" w:type="dxa"/>
            <w:vAlign w:val="bottom"/>
            <w:gridSpan w:val="7"/>
            <w:shd w:val="clear" w:color="auto" w:fill="CCEEFF"/>
          </w:tcPr>
          <w:p>
            <w:pPr>
              <w:jc w:val="center"/>
              <w:ind w:left="264"/>
              <w:spacing w:after="0" w:line="160" w:lineRule="exact"/>
              <w:rPr>
                <w:sz w:val="20"/>
                <w:szCs w:val="20"/>
                <w:color w:val="auto"/>
              </w:rPr>
            </w:pPr>
            <w:r>
              <w:rPr>
                <w:rFonts w:ascii="Times New Roman" w:cs="Times New Roman" w:eastAsia="Times New Roman" w:hAnsi="Times New Roman"/>
                <w:sz w:val="15"/>
                <w:szCs w:val="15"/>
                <w:color w:val="0000EE"/>
              </w:rPr>
              <w:t>14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540" w:type="dxa"/>
            <w:vAlign w:val="bottom"/>
            <w:gridSpan w:val="12"/>
          </w:tcPr>
          <w:p>
            <w:pPr>
              <w:spacing w:after="0" w:line="160" w:lineRule="exact"/>
              <w:rPr>
                <w:sz w:val="20"/>
                <w:szCs w:val="20"/>
                <w:color w:val="auto"/>
              </w:rPr>
            </w:pPr>
            <w:r>
              <w:rPr>
                <w:rFonts w:ascii="Times New Roman" w:cs="Times New Roman" w:eastAsia="Times New Roman" w:hAnsi="Times New Roman"/>
                <w:sz w:val="15"/>
                <w:szCs w:val="15"/>
                <w:color w:val="0000EE"/>
              </w:rPr>
              <w:t>DESCRIPTION OF WARRANTS</w:t>
            </w:r>
          </w:p>
        </w:tc>
        <w:tc>
          <w:tcPr>
            <w:tcW w:w="4020" w:type="dxa"/>
            <w:vAlign w:val="bottom"/>
            <w:gridSpan w:val="5"/>
          </w:tcPr>
          <w:p>
            <w:pPr>
              <w:spacing w:after="0"/>
              <w:rPr>
                <w:sz w:val="13"/>
                <w:szCs w:val="13"/>
                <w:color w:val="auto"/>
              </w:rPr>
            </w:pPr>
          </w:p>
        </w:tc>
        <w:tc>
          <w:tcPr>
            <w:tcW w:w="500" w:type="dxa"/>
            <w:vAlign w:val="bottom"/>
            <w:gridSpan w:val="7"/>
          </w:tcPr>
          <w:p>
            <w:pPr>
              <w:jc w:val="center"/>
              <w:ind w:left="264"/>
              <w:spacing w:after="0" w:line="160" w:lineRule="exact"/>
              <w:rPr>
                <w:sz w:val="20"/>
                <w:szCs w:val="20"/>
                <w:color w:val="auto"/>
              </w:rPr>
            </w:pPr>
            <w:r>
              <w:rPr>
                <w:rFonts w:ascii="Times New Roman" w:cs="Times New Roman" w:eastAsia="Times New Roman" w:hAnsi="Times New Roman"/>
                <w:sz w:val="15"/>
                <w:szCs w:val="15"/>
                <w:color w:val="0000EE"/>
              </w:rPr>
              <w:t>20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LEGAL OWNERSHIP OF SECURITIES</w:t>
            </w:r>
          </w:p>
        </w:tc>
        <w:tc>
          <w:tcPr>
            <w:tcW w:w="500" w:type="dxa"/>
            <w:vAlign w:val="bottom"/>
            <w:gridSpan w:val="7"/>
            <w:shd w:val="clear" w:color="auto" w:fill="CCEEFF"/>
          </w:tcPr>
          <w:p>
            <w:pPr>
              <w:jc w:val="center"/>
              <w:ind w:left="264"/>
              <w:spacing w:after="0" w:line="160" w:lineRule="exact"/>
              <w:rPr>
                <w:sz w:val="20"/>
                <w:szCs w:val="20"/>
                <w:color w:val="auto"/>
              </w:rPr>
            </w:pPr>
            <w:r>
              <w:rPr>
                <w:rFonts w:ascii="Times New Roman" w:cs="Times New Roman" w:eastAsia="Times New Roman" w:hAnsi="Times New Roman"/>
                <w:sz w:val="15"/>
                <w:szCs w:val="15"/>
                <w:color w:val="0000EE"/>
              </w:rPr>
              <w:t>22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2540" w:type="dxa"/>
            <w:vAlign w:val="bottom"/>
            <w:gridSpan w:val="12"/>
          </w:tcPr>
          <w:p>
            <w:pPr>
              <w:spacing w:after="0" w:line="160" w:lineRule="exact"/>
              <w:rPr>
                <w:sz w:val="20"/>
                <w:szCs w:val="20"/>
                <w:color w:val="auto"/>
              </w:rPr>
            </w:pPr>
            <w:r>
              <w:rPr>
                <w:rFonts w:ascii="Times New Roman" w:cs="Times New Roman" w:eastAsia="Times New Roman" w:hAnsi="Times New Roman"/>
                <w:sz w:val="15"/>
                <w:szCs w:val="15"/>
                <w:color w:val="0000EE"/>
              </w:rPr>
              <w:t>SELLING SECURITYHOLDERS</w:t>
            </w:r>
          </w:p>
        </w:tc>
        <w:tc>
          <w:tcPr>
            <w:tcW w:w="4020" w:type="dxa"/>
            <w:vAlign w:val="bottom"/>
            <w:gridSpan w:val="5"/>
          </w:tcPr>
          <w:p>
            <w:pPr>
              <w:spacing w:after="0"/>
              <w:rPr>
                <w:sz w:val="13"/>
                <w:szCs w:val="13"/>
                <w:color w:val="auto"/>
              </w:rPr>
            </w:pPr>
          </w:p>
        </w:tc>
        <w:tc>
          <w:tcPr>
            <w:tcW w:w="500" w:type="dxa"/>
            <w:vAlign w:val="bottom"/>
            <w:gridSpan w:val="7"/>
          </w:tcPr>
          <w:p>
            <w:pPr>
              <w:jc w:val="center"/>
              <w:ind w:left="264"/>
              <w:spacing w:after="0" w:line="160" w:lineRule="exact"/>
              <w:rPr>
                <w:sz w:val="20"/>
                <w:szCs w:val="20"/>
                <w:color w:val="auto"/>
              </w:rPr>
            </w:pPr>
            <w:r>
              <w:rPr>
                <w:rFonts w:ascii="Times New Roman" w:cs="Times New Roman" w:eastAsia="Times New Roman" w:hAnsi="Times New Roman"/>
                <w:sz w:val="15"/>
                <w:szCs w:val="15"/>
                <w:color w:val="0000EE"/>
              </w:rPr>
              <w:t>24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720" w:type="dxa"/>
            <w:vAlign w:val="bottom"/>
            <w:gridSpan w:val="6"/>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w w:val="99"/>
              </w:rPr>
              <w:t>PLAN OF DISTRIBUTION</w:t>
            </w:r>
          </w:p>
        </w:tc>
        <w:tc>
          <w:tcPr>
            <w:tcW w:w="4840" w:type="dxa"/>
            <w:vAlign w:val="bottom"/>
            <w:gridSpan w:val="11"/>
            <w:shd w:val="clear" w:color="auto" w:fill="CCEEFF"/>
          </w:tcPr>
          <w:p>
            <w:pPr>
              <w:spacing w:after="0"/>
              <w:rPr>
                <w:sz w:val="13"/>
                <w:szCs w:val="13"/>
                <w:color w:val="auto"/>
              </w:rPr>
            </w:pPr>
          </w:p>
        </w:tc>
        <w:tc>
          <w:tcPr>
            <w:tcW w:w="500" w:type="dxa"/>
            <w:vAlign w:val="bottom"/>
            <w:gridSpan w:val="7"/>
            <w:shd w:val="clear" w:color="auto" w:fill="CCEEFF"/>
          </w:tcPr>
          <w:p>
            <w:pPr>
              <w:jc w:val="center"/>
              <w:ind w:left="264"/>
              <w:spacing w:after="0" w:line="160" w:lineRule="exact"/>
              <w:rPr>
                <w:sz w:val="20"/>
                <w:szCs w:val="20"/>
                <w:color w:val="auto"/>
              </w:rPr>
            </w:pPr>
            <w:r>
              <w:rPr>
                <w:rFonts w:ascii="Times New Roman" w:cs="Times New Roman" w:eastAsia="Times New Roman" w:hAnsi="Times New Roman"/>
                <w:sz w:val="15"/>
                <w:szCs w:val="15"/>
                <w:color w:val="0000EE"/>
              </w:rPr>
              <w:t>25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720" w:type="dxa"/>
            <w:vAlign w:val="bottom"/>
            <w:gridSpan w:val="6"/>
          </w:tcPr>
          <w:p>
            <w:pPr>
              <w:spacing w:after="0" w:line="160" w:lineRule="exact"/>
              <w:rPr>
                <w:sz w:val="20"/>
                <w:szCs w:val="20"/>
                <w:color w:val="auto"/>
              </w:rPr>
            </w:pPr>
            <w:r>
              <w:rPr>
                <w:rFonts w:ascii="Times New Roman" w:cs="Times New Roman" w:eastAsia="Times New Roman" w:hAnsi="Times New Roman"/>
                <w:sz w:val="15"/>
                <w:szCs w:val="15"/>
                <w:color w:val="0000EE"/>
              </w:rPr>
              <w:t>LEGAL MATTERS</w:t>
            </w:r>
          </w:p>
        </w:tc>
        <w:tc>
          <w:tcPr>
            <w:tcW w:w="4840" w:type="dxa"/>
            <w:vAlign w:val="bottom"/>
            <w:gridSpan w:val="11"/>
          </w:tcPr>
          <w:p>
            <w:pPr>
              <w:spacing w:after="0"/>
              <w:rPr>
                <w:sz w:val="13"/>
                <w:szCs w:val="13"/>
                <w:color w:val="auto"/>
              </w:rPr>
            </w:pPr>
          </w:p>
        </w:tc>
        <w:tc>
          <w:tcPr>
            <w:tcW w:w="500" w:type="dxa"/>
            <w:vAlign w:val="bottom"/>
            <w:gridSpan w:val="7"/>
          </w:tcPr>
          <w:p>
            <w:pPr>
              <w:jc w:val="center"/>
              <w:ind w:left="264"/>
              <w:spacing w:after="0" w:line="160" w:lineRule="exact"/>
              <w:rPr>
                <w:sz w:val="20"/>
                <w:szCs w:val="20"/>
                <w:color w:val="auto"/>
              </w:rPr>
            </w:pPr>
            <w:r>
              <w:rPr>
                <w:rFonts w:ascii="Times New Roman" w:cs="Times New Roman" w:eastAsia="Times New Roman" w:hAnsi="Times New Roman"/>
                <w:sz w:val="15"/>
                <w:szCs w:val="15"/>
                <w:color w:val="0000EE"/>
              </w:rPr>
              <w:t>26</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w w:val="95"/>
              </w:rPr>
              <w:t>EXPERTS</w:t>
            </w:r>
          </w:p>
        </w:tc>
        <w:tc>
          <w:tcPr>
            <w:tcW w:w="5920" w:type="dxa"/>
            <w:vAlign w:val="bottom"/>
            <w:gridSpan w:val="16"/>
            <w:shd w:val="clear" w:color="auto" w:fill="CCEEFF"/>
          </w:tcPr>
          <w:p>
            <w:pPr>
              <w:spacing w:after="0"/>
              <w:rPr>
                <w:sz w:val="13"/>
                <w:szCs w:val="13"/>
                <w:color w:val="auto"/>
              </w:rPr>
            </w:pPr>
          </w:p>
        </w:tc>
        <w:tc>
          <w:tcPr>
            <w:tcW w:w="500" w:type="dxa"/>
            <w:vAlign w:val="bottom"/>
            <w:gridSpan w:val="7"/>
            <w:shd w:val="clear" w:color="auto" w:fill="CCEEFF"/>
          </w:tcPr>
          <w:p>
            <w:pPr>
              <w:jc w:val="center"/>
              <w:ind w:left="264"/>
              <w:spacing w:after="0" w:line="160" w:lineRule="exact"/>
              <w:rPr>
                <w:sz w:val="20"/>
                <w:szCs w:val="20"/>
                <w:color w:val="auto"/>
              </w:rPr>
            </w:pPr>
            <w:r>
              <w:rPr>
                <w:rFonts w:ascii="Times New Roman" w:cs="Times New Roman" w:eastAsia="Times New Roman" w:hAnsi="Times New Roman"/>
                <w:sz w:val="15"/>
                <w:szCs w:val="15"/>
                <w:color w:val="0000EE"/>
              </w:rPr>
              <w:t>26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tcPr>
          <w:p>
            <w:pPr>
              <w:spacing w:after="0" w:line="160"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500" w:type="dxa"/>
            <w:vAlign w:val="bottom"/>
            <w:gridSpan w:val="7"/>
          </w:tcPr>
          <w:p>
            <w:pPr>
              <w:jc w:val="center"/>
              <w:ind w:left="264"/>
              <w:spacing w:after="0" w:line="160" w:lineRule="exact"/>
              <w:rPr>
                <w:sz w:val="20"/>
                <w:szCs w:val="20"/>
                <w:color w:val="auto"/>
              </w:rPr>
            </w:pPr>
            <w:r>
              <w:rPr>
                <w:rFonts w:ascii="Times New Roman" w:cs="Times New Roman" w:eastAsia="Times New Roman" w:hAnsi="Times New Roman"/>
                <w:sz w:val="15"/>
                <w:szCs w:val="15"/>
                <w:color w:val="0000EE"/>
              </w:rPr>
              <w:t>27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7"/>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INCORPORATION OF CERTAIN INFORMATION BY REFERENCE</w:t>
            </w:r>
          </w:p>
        </w:tc>
        <w:tc>
          <w:tcPr>
            <w:tcW w:w="500" w:type="dxa"/>
            <w:vAlign w:val="bottom"/>
            <w:gridSpan w:val="7"/>
            <w:shd w:val="clear" w:color="auto" w:fill="CCEEFF"/>
          </w:tcPr>
          <w:p>
            <w:pPr>
              <w:jc w:val="center"/>
              <w:ind w:left="264"/>
              <w:spacing w:after="0" w:line="160" w:lineRule="exact"/>
              <w:rPr>
                <w:sz w:val="20"/>
                <w:szCs w:val="20"/>
                <w:color w:val="auto"/>
              </w:rPr>
            </w:pPr>
            <w:r>
              <w:rPr>
                <w:rFonts w:ascii="Times New Roman" w:cs="Times New Roman" w:eastAsia="Times New Roman" w:hAnsi="Times New Roman"/>
                <w:sz w:val="15"/>
                <w:szCs w:val="15"/>
                <w:color w:val="0000EE"/>
              </w:rPr>
              <w:t>28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 w:name="page3"/>
    <w:bookmarkEnd w:id="2"/>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05" w:lineRule="exact"/>
        <w:rPr>
          <w:sz w:val="20"/>
          <w:szCs w:val="20"/>
          <w:color w:val="auto"/>
        </w:rPr>
      </w:pPr>
    </w:p>
    <w:p>
      <w:pPr>
        <w:ind w:left="940" w:right="1079" w:firstLine="304"/>
        <w:spacing w:after="0" w:line="271" w:lineRule="auto"/>
        <w:rPr>
          <w:sz w:val="20"/>
          <w:szCs w:val="20"/>
          <w:color w:val="auto"/>
        </w:rPr>
      </w:pPr>
      <w:r>
        <w:rPr>
          <w:rFonts w:ascii="Times New Roman" w:cs="Times New Roman" w:eastAsia="Times New Roman" w:hAnsi="Times New Roman"/>
          <w:sz w:val="15"/>
          <w:szCs w:val="15"/>
          <w:color w:val="auto"/>
        </w:rPr>
        <w:t>On October 7, 2022, we filed with the SEC a registration statement on Form S-3 (File No. 333-267788) (the “Registration Statement”) utilizing a shelf registration process relating to certain securities, including the securities described in this prospectus supplement, which Registration Statement became effective automatically upon filing.</w:t>
      </w:r>
    </w:p>
    <w:p>
      <w:pPr>
        <w:spacing w:after="0" w:line="54" w:lineRule="exact"/>
        <w:rPr>
          <w:sz w:val="20"/>
          <w:szCs w:val="20"/>
          <w:color w:val="auto"/>
        </w:rPr>
      </w:pPr>
    </w:p>
    <w:p>
      <w:pPr>
        <w:ind w:left="940" w:right="979" w:firstLine="304"/>
        <w:spacing w:after="0" w:line="262" w:lineRule="auto"/>
        <w:rPr>
          <w:sz w:val="20"/>
          <w:szCs w:val="20"/>
          <w:color w:val="auto"/>
        </w:rPr>
      </w:pPr>
      <w:r>
        <w:rPr>
          <w:rFonts w:ascii="Times New Roman" w:cs="Times New Roman" w:eastAsia="Times New Roman" w:hAnsi="Times New Roman"/>
          <w:sz w:val="15"/>
          <w:szCs w:val="15"/>
          <w:color w:val="auto"/>
        </w:rPr>
        <w:t>This document is in two parts. The first part is this prospectus supplement, which describes the specific terms of this offering. The second part, the accompanying prospectus, gives more general information, some of which may not apply to this offering. We urge you to read carefully this prospectus supplement and the accompanying prospectus, together with the information incorporated therein and herein by reference as described under the heading “Incorporation of Certain Information by Reference,” before buying any of the securities being offered.</w:t>
      </w:r>
    </w:p>
    <w:p>
      <w:pPr>
        <w:spacing w:after="0" w:line="62" w:lineRule="exact"/>
        <w:rPr>
          <w:sz w:val="20"/>
          <w:szCs w:val="20"/>
          <w:color w:val="auto"/>
        </w:rPr>
      </w:pPr>
    </w:p>
    <w:p>
      <w:pPr>
        <w:ind w:left="940" w:right="1239" w:firstLine="304"/>
        <w:spacing w:after="0" w:line="265" w:lineRule="auto"/>
        <w:rPr>
          <w:sz w:val="20"/>
          <w:szCs w:val="20"/>
          <w:color w:val="auto"/>
        </w:rPr>
      </w:pPr>
      <w:r>
        <w:rPr>
          <w:rFonts w:ascii="Times New Roman" w:cs="Times New Roman" w:eastAsia="Times New Roman" w:hAnsi="Times New Roman"/>
          <w:sz w:val="15"/>
          <w:szCs w:val="15"/>
          <w:color w:val="auto"/>
        </w:rPr>
        <w:t>You should rely only on the information contained in, or incorporated by reference into, this prospectus supplement and the accompanying prospectus. We have not authorized anyone to provide you with different or additional information. This prospectus supplement is an offer to sell only the securities offered hereby, but only under circumstances and in jurisdictions where it is lawful to do so.</w:t>
      </w:r>
    </w:p>
    <w:p>
      <w:pPr>
        <w:spacing w:after="0" w:line="59" w:lineRule="exact"/>
        <w:rPr>
          <w:sz w:val="20"/>
          <w:szCs w:val="20"/>
          <w:color w:val="auto"/>
        </w:rPr>
      </w:pPr>
    </w:p>
    <w:p>
      <w:pPr>
        <w:ind w:left="940" w:right="1019" w:firstLine="304"/>
        <w:spacing w:after="0" w:line="265" w:lineRule="auto"/>
        <w:rPr>
          <w:sz w:val="20"/>
          <w:szCs w:val="20"/>
          <w:color w:val="auto"/>
        </w:rPr>
      </w:pPr>
      <w:r>
        <w:rPr>
          <w:rFonts w:ascii="Times New Roman" w:cs="Times New Roman" w:eastAsia="Times New Roman" w:hAnsi="Times New Roman"/>
          <w:sz w:val="15"/>
          <w:szCs w:val="15"/>
          <w:color w:val="auto"/>
        </w:rPr>
        <w:t>The information appearing in this prospectus supplement is accurate only as of the date on the front of the document and any information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w:t>
      </w:r>
    </w:p>
    <w:p>
      <w:pPr>
        <w:spacing w:after="0" w:line="59" w:lineRule="exact"/>
        <w:rPr>
          <w:sz w:val="20"/>
          <w:szCs w:val="20"/>
          <w:color w:val="auto"/>
        </w:rPr>
      </w:pPr>
    </w:p>
    <w:p>
      <w:pPr>
        <w:ind w:left="940" w:right="1079" w:firstLine="304"/>
        <w:spacing w:after="0" w:line="262" w:lineRule="auto"/>
        <w:rPr>
          <w:sz w:val="20"/>
          <w:szCs w:val="20"/>
          <w:color w:val="auto"/>
        </w:rPr>
      </w:pPr>
      <w:r>
        <w:rPr>
          <w:rFonts w:ascii="Times New Roman" w:cs="Times New Roman" w:eastAsia="Times New Roman" w:hAnsi="Times New Roman"/>
          <w:sz w:val="15"/>
          <w:szCs w:val="15"/>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incorporated by reference as exhibits to the Registration Statement, and you may obtain copies of those documents as described below under the section entitled “Where You Can Find More Information.”</w:t>
      </w:r>
    </w:p>
    <w:p>
      <w:pPr>
        <w:spacing w:after="0" w:line="62" w:lineRule="exact"/>
        <w:rPr>
          <w:sz w:val="20"/>
          <w:szCs w:val="20"/>
          <w:color w:val="auto"/>
        </w:rPr>
      </w:pPr>
    </w:p>
    <w:p>
      <w:pPr>
        <w:ind w:left="940" w:right="979" w:firstLine="304"/>
        <w:spacing w:after="0" w:line="258" w:lineRule="auto"/>
        <w:rPr>
          <w:sz w:val="20"/>
          <w:szCs w:val="20"/>
          <w:color w:val="auto"/>
        </w:rPr>
      </w:pPr>
      <w:r>
        <w:rPr>
          <w:rFonts w:ascii="Times New Roman" w:cs="Times New Roman" w:eastAsia="Times New Roman" w:hAnsi="Times New Roman"/>
          <w:sz w:val="15"/>
          <w:szCs w:val="15"/>
          <w:color w:val="auto"/>
        </w:rPr>
        <w:t>Unless the context requires otherwise, references in this prospectus supplement to “Tilray,” the “company,” “we,” “us” and “our” refer to Tilray Brands, Inc. and its wholly-owned subsidiaries. Tilray, our logo and our other registered or common law trademarks, trade names or service marks appearing in this prospectus supplement are owned by us. Solely for convenience, trademarks and trade names referred to in this prospectus supplement,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supplement, we do not intend our use or display of other companies’ trade names or trademarks to imply a relationship with, or endorsement or sponsorship of us by, any other companies.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 w:name="page4"/>
    <w:bookmarkEnd w:id="3"/>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TILRAY BRANDS, INC.</w:t>
      </w:r>
    </w:p>
    <w:p>
      <w:pPr>
        <w:spacing w:after="0" w:line="101" w:lineRule="exact"/>
        <w:rPr>
          <w:sz w:val="20"/>
          <w:szCs w:val="20"/>
          <w:color w:val="auto"/>
        </w:rPr>
      </w:pPr>
    </w:p>
    <w:p>
      <w:pPr>
        <w:ind w:left="940" w:right="979" w:firstLine="304"/>
        <w:spacing w:after="0" w:line="258" w:lineRule="auto"/>
        <w:rPr>
          <w:sz w:val="20"/>
          <w:szCs w:val="20"/>
          <w:color w:val="auto"/>
        </w:rPr>
      </w:pPr>
      <w:r>
        <w:rPr>
          <w:rFonts w:ascii="Times New Roman" w:cs="Times New Roman" w:eastAsia="Times New Roman" w:hAnsi="Times New Roman"/>
          <w:sz w:val="15"/>
          <w:szCs w:val="15"/>
          <w:i w:val="1"/>
          <w:iCs w:val="1"/>
          <w:color w:val="auto"/>
        </w:rPr>
        <w:t>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and the accompanying prospectus carefully (including the documents incorporated by reference herein and therein), especially the “Risk Factors” section beginning on page S-</w:t>
      </w:r>
      <w:r>
        <w:rPr>
          <w:rFonts w:ascii="Times New Roman" w:cs="Times New Roman" w:eastAsia="Times New Roman" w:hAnsi="Times New Roman"/>
          <w:sz w:val="15"/>
          <w:szCs w:val="15"/>
          <w:i w:val="1"/>
          <w:iCs w:val="1"/>
          <w:u w:val="single" w:color="auto"/>
          <w:color w:val="0000EE"/>
        </w:rPr>
        <w:t>3</w:t>
      </w:r>
      <w:r>
        <w:rPr>
          <w:rFonts w:ascii="Times New Roman" w:cs="Times New Roman" w:eastAsia="Times New Roman" w:hAnsi="Times New Roman"/>
          <w:sz w:val="15"/>
          <w:szCs w:val="15"/>
          <w:i w:val="1"/>
          <w:iCs w:val="1"/>
          <w:color w:val="auto"/>
        </w:rPr>
        <w:t xml:space="preserve"> and in the documents incorporated by reference and our consolidated financial statements and the related notes incorporated by reference in this prospectus supplement and the accompanying prospectus, before deciding to invest in our Common Stock. Unless the context otherwise requires, we use the terms “Tilray,” “Company,” “we,” “us” and “our” in this prospectus supplement and the accompanying prospectus to refer to Tilray Brands, Inc. and, where appropriate, our consolidated subsidiaries.</w:t>
      </w:r>
    </w:p>
    <w:p>
      <w:pPr>
        <w:spacing w:after="0" w:line="2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Our Company</w:t>
      </w:r>
    </w:p>
    <w:p>
      <w:pPr>
        <w:spacing w:after="0" w:line="105" w:lineRule="exact"/>
        <w:rPr>
          <w:sz w:val="20"/>
          <w:szCs w:val="20"/>
          <w:color w:val="auto"/>
        </w:rPr>
      </w:pPr>
    </w:p>
    <w:p>
      <w:pPr>
        <w:ind w:left="940" w:right="999" w:firstLine="304"/>
        <w:spacing w:after="0" w:line="260" w:lineRule="auto"/>
        <w:rPr>
          <w:sz w:val="20"/>
          <w:szCs w:val="20"/>
          <w:color w:val="auto"/>
        </w:rPr>
      </w:pPr>
      <w:r>
        <w:rPr>
          <w:rFonts w:ascii="Times New Roman" w:cs="Times New Roman" w:eastAsia="Times New Roman" w:hAnsi="Times New Roman"/>
          <w:sz w:val="15"/>
          <w:szCs w:val="15"/>
          <w:color w:val="auto"/>
        </w:rPr>
        <w:t>Tilray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2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05" w:lineRule="exact"/>
        <w:rPr>
          <w:sz w:val="20"/>
          <w:szCs w:val="20"/>
          <w:color w:val="auto"/>
        </w:rPr>
      </w:pPr>
    </w:p>
    <w:p>
      <w:pPr>
        <w:ind w:left="940" w:right="979" w:firstLine="304"/>
        <w:spacing w:after="0" w:line="260" w:lineRule="auto"/>
        <w:rPr>
          <w:sz w:val="20"/>
          <w:szCs w:val="20"/>
          <w:color w:val="auto"/>
        </w:rPr>
      </w:pPr>
      <w:r>
        <w:rPr>
          <w:rFonts w:ascii="Times New Roman" w:cs="Times New Roman" w:eastAsia="Times New Roman" w:hAnsi="Times New Roman"/>
          <w:sz w:val="15"/>
          <w:szCs w:val="15"/>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65" w:lineRule="exact"/>
        <w:rPr>
          <w:sz w:val="20"/>
          <w:szCs w:val="20"/>
          <w:color w:val="auto"/>
        </w:rPr>
      </w:pPr>
    </w:p>
    <w:p>
      <w:pPr>
        <w:ind w:left="940" w:right="999" w:firstLine="304"/>
        <w:spacing w:after="0" w:line="288" w:lineRule="auto"/>
        <w:rPr>
          <w:sz w:val="20"/>
          <w:szCs w:val="20"/>
          <w:color w:val="auto"/>
        </w:rPr>
      </w:pPr>
      <w:r>
        <w:rPr>
          <w:rFonts w:ascii="Times New Roman" w:cs="Times New Roman" w:eastAsia="Times New Roman" w:hAnsi="Times New Roman"/>
          <w:sz w:val="15"/>
          <w:szCs w:val="15"/>
          <w:color w:val="auto"/>
        </w:rPr>
        <w:t>On December 12, 2019, Privateer Holdings merged with and into a wholly owned subsidiary of Tilray pursuant to the agreement and plan of merger and reorganization.</w:t>
      </w:r>
    </w:p>
    <w:p>
      <w:pPr>
        <w:spacing w:after="0" w:line="42" w:lineRule="exact"/>
        <w:rPr>
          <w:sz w:val="20"/>
          <w:szCs w:val="20"/>
          <w:color w:val="auto"/>
        </w:rPr>
      </w:pPr>
    </w:p>
    <w:p>
      <w:pPr>
        <w:ind w:left="940" w:right="999" w:firstLine="304"/>
        <w:spacing w:after="0" w:line="265" w:lineRule="auto"/>
        <w:rPr>
          <w:sz w:val="20"/>
          <w:szCs w:val="20"/>
          <w:color w:val="auto"/>
        </w:rPr>
      </w:pPr>
      <w:r>
        <w:rPr>
          <w:rFonts w:ascii="Times New Roman" w:cs="Times New Roman" w:eastAsia="Times New Roman" w:hAnsi="Times New Roman"/>
          <w:sz w:val="15"/>
          <w:szCs w:val="15"/>
          <w:color w:val="auto"/>
        </w:rPr>
        <w:t>Pursuant to an arrangement agreement, dated as of December 15, 2020, as amended on February 19, 2021, between Tilray and Aphria Inc., Tilray implemented an arrangement (the “Arrangement”) under the Business Corporations Act (Ontario) in accordance with a plan of arrangement. The Arrangement was completed on April 30, 2021.</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On January 10, 2022, Tilray, Inc. changed its corporate name to Tilray Brands, Inc., pursuant to a</w:t>
      </w:r>
    </w:p>
    <w:p>
      <w:pPr>
        <w:spacing w:after="0" w:line="25" w:lineRule="exact"/>
        <w:rPr>
          <w:sz w:val="20"/>
          <w:szCs w:val="20"/>
          <w:color w:val="auto"/>
        </w:rPr>
      </w:pPr>
    </w:p>
    <w:p>
      <w:pPr>
        <w:ind w:left="940" w:right="999"/>
        <w:spacing w:after="0" w:line="260" w:lineRule="auto"/>
        <w:rPr>
          <w:sz w:val="20"/>
          <w:szCs w:val="20"/>
          <w:color w:val="auto"/>
        </w:rPr>
      </w:pPr>
      <w:r>
        <w:rPr>
          <w:rFonts w:ascii="Times New Roman" w:cs="Times New Roman" w:eastAsia="Times New Roman" w:hAnsi="Times New Roman"/>
          <w:sz w:val="15"/>
          <w:szCs w:val="15"/>
          <w:color w:val="auto"/>
        </w:rPr>
        <w:t>second certificate of amendment of the amended and restated certificate of incorporation filed with the Delaware Secretary of State (the “Name Change”), and amended and restated its Bylaws on that same date to reflect the Name Change.</w:t>
      </w:r>
    </w:p>
    <w:p>
      <w:pPr>
        <w:spacing w:after="0" w:line="63" w:lineRule="exact"/>
        <w:rPr>
          <w:sz w:val="20"/>
          <w:szCs w:val="20"/>
          <w:color w:val="auto"/>
        </w:rPr>
      </w:pPr>
    </w:p>
    <w:p>
      <w:pPr>
        <w:ind w:left="940" w:right="1019" w:firstLine="304"/>
        <w:spacing w:after="0" w:line="265" w:lineRule="auto"/>
        <w:rPr>
          <w:sz w:val="20"/>
          <w:szCs w:val="20"/>
          <w:color w:val="auto"/>
        </w:rPr>
      </w:pPr>
      <w:r>
        <w:rPr>
          <w:rFonts w:ascii="Times New Roman" w:cs="Times New Roman" w:eastAsia="Times New Roman" w:hAnsi="Times New Roman"/>
          <w:sz w:val="15"/>
          <w:szCs w:val="15"/>
          <w:color w:val="auto"/>
        </w:rPr>
        <w:t>On November 7, 2022, Tilray acquired Montauk Brewing Company, Inc. (“Montauk”), a leading craft brewer in Metro New York located in Montauk, New York. Montauk is well-known for its beloved product portfolio, premium price point, and distribution across over 6,400 points of distribution and is a welcomed addition to Tilray’s growing craft alcohol and beer businesses.</w:t>
      </w:r>
    </w:p>
    <w:p>
      <w:pPr>
        <w:spacing w:after="0" w:line="59" w:lineRule="exact"/>
        <w:rPr>
          <w:sz w:val="20"/>
          <w:szCs w:val="20"/>
          <w:color w:val="auto"/>
        </w:rPr>
      </w:pPr>
    </w:p>
    <w:p>
      <w:pPr>
        <w:ind w:left="940" w:right="979" w:firstLine="304"/>
        <w:spacing w:after="0" w:line="262" w:lineRule="auto"/>
        <w:rPr>
          <w:sz w:val="20"/>
          <w:szCs w:val="20"/>
          <w:color w:val="auto"/>
        </w:rPr>
      </w:pPr>
      <w:r>
        <w:rPr>
          <w:rFonts w:ascii="Times New Roman" w:cs="Times New Roman" w:eastAsia="Times New Roman" w:hAnsi="Times New Roman"/>
          <w:sz w:val="15"/>
          <w:szCs w:val="15"/>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62" w:lineRule="exact"/>
        <w:rPr>
          <w:sz w:val="20"/>
          <w:szCs w:val="20"/>
          <w:color w:val="auto"/>
        </w:rPr>
      </w:pPr>
    </w:p>
    <w:p>
      <w:pPr>
        <w:ind w:left="940" w:right="1079" w:firstLine="304"/>
        <w:spacing w:after="0" w:line="262" w:lineRule="auto"/>
        <w:rPr>
          <w:sz w:val="20"/>
          <w:szCs w:val="20"/>
          <w:color w:val="auto"/>
        </w:rPr>
      </w:pPr>
      <w:r>
        <w:rPr>
          <w:rFonts w:ascii="Times New Roman" w:cs="Times New Roman" w:eastAsia="Times New Roman" w:hAnsi="Times New Roman"/>
          <w:sz w:val="15"/>
          <w:szCs w:val="15"/>
          <w:color w:val="auto"/>
        </w:rPr>
        <w:t>On April 10, 2023, Tilray entered into the Arrangement Agreement with HEXO, pursuant to which Tilray agreed to acquire all of the issued and outstanding common shares of HEXO pursuant to a plan of arrangement under the Business Corporations Act (Ontario). This transaction builds on the successful strategic alliance between the two companies and positions Tilray for continued strong growth and market leadership in Canada, the largest federally legal cannabis market in the world. The acquisition of HEXO closed on June 22, 2023.</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 w:name="page5"/>
    <w:bookmarkEnd w:id="4"/>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940" w:right="1159" w:firstLine="304"/>
        <w:spacing w:after="0" w:line="262" w:lineRule="auto"/>
        <w:rPr>
          <w:sz w:val="20"/>
          <w:szCs w:val="20"/>
          <w:color w:val="auto"/>
        </w:rPr>
      </w:pPr>
      <w:r>
        <w:rPr>
          <w:rFonts w:ascii="Times New Roman" w:cs="Times New Roman" w:eastAsia="Times New Roman" w:hAnsi="Times New Roman"/>
          <w:sz w:val="15"/>
          <w:szCs w:val="15"/>
          <w:color w:val="auto"/>
        </w:rPr>
        <w:t>On August 7, 2023, Tilray entered into a Securities and Purchase Agreement by and among Anheuser-Busch Companies, LLC (“AB”), Craft USA Holdings, LLC, Craft Brew Alliance, Inc. and Tilray Beverages, LLC, pursuant to which Tilray agreed to acquire a portfolio of craft beer brands, assets and businesses from AB that includes Breckenridge Brewery, Blue Point, 10 Barrel, Redhook, Widmer Brothers, Square Mile, Shock Top and HiBall. The acquisition was consummated on September 29, 2023.</w:t>
      </w:r>
    </w:p>
    <w:p>
      <w:pPr>
        <w:spacing w:after="0" w:line="62" w:lineRule="exact"/>
        <w:rPr>
          <w:sz w:val="20"/>
          <w:szCs w:val="20"/>
          <w:color w:val="auto"/>
        </w:rPr>
      </w:pPr>
    </w:p>
    <w:p>
      <w:pPr>
        <w:jc w:val="both"/>
        <w:ind w:left="940" w:right="1019" w:firstLine="304"/>
        <w:spacing w:after="0" w:line="265" w:lineRule="auto"/>
        <w:rPr>
          <w:sz w:val="20"/>
          <w:szCs w:val="20"/>
          <w:color w:val="auto"/>
        </w:rPr>
      </w:pPr>
      <w:r>
        <w:rPr>
          <w:rFonts w:ascii="Times New Roman" w:cs="Times New Roman" w:eastAsia="Times New Roman" w:hAnsi="Times New Roman"/>
          <w:sz w:val="15"/>
          <w:szCs w:val="15"/>
          <w:color w:val="auto"/>
        </w:rPr>
        <w:t>Tilray’s principal executive offices are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Nasdaq Global Select Market Listing</w:t>
      </w:r>
    </w:p>
    <w:p>
      <w:pPr>
        <w:spacing w:after="0" w:line="1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Our Common Stock is listed on The Nasdaq Global Select Market under the symbol “TLRY.”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 w:name="page6"/>
    <w:bookmarkEnd w:id="5"/>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05" w:lineRule="exact"/>
        <w:rPr>
          <w:sz w:val="20"/>
          <w:szCs w:val="20"/>
          <w:color w:val="auto"/>
        </w:rPr>
      </w:pPr>
    </w:p>
    <w:p>
      <w:pPr>
        <w:ind w:left="940" w:right="959" w:firstLine="304"/>
        <w:spacing w:after="0" w:line="256"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Before deciding whether to invest in our securities, you should consider carefully the risks and uncertainties described under the heading “Risk Factors” contained herein and in the accompanying prospectus, described under the section entitled “Risk Factors” contained in our most recent annual report on Form 10-K, as amended, as well as any amendments thereto reflected in subsequent filings with the SEC, which are incorporated by reference into this prospectus supplement, together with other information in this prospectus supplement and the accompanying prospectus (including the documents incorporated by reference herein and therein).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6" w:name="page7"/>
    <w:bookmarkEnd w:id="6"/>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05" w:lineRule="exact"/>
        <w:rPr>
          <w:sz w:val="20"/>
          <w:szCs w:val="20"/>
          <w:color w:val="auto"/>
        </w:rPr>
      </w:pPr>
    </w:p>
    <w:p>
      <w:pPr>
        <w:ind w:left="940" w:right="999" w:firstLine="304"/>
        <w:spacing w:after="0" w:line="255" w:lineRule="auto"/>
        <w:rPr>
          <w:sz w:val="20"/>
          <w:szCs w:val="20"/>
          <w:color w:val="auto"/>
        </w:rPr>
      </w:pPr>
      <w:r>
        <w:rPr>
          <w:rFonts w:ascii="Times New Roman" w:cs="Times New Roman" w:eastAsia="Times New Roman" w:hAnsi="Times New Roman"/>
          <w:sz w:val="15"/>
          <w:szCs w:val="15"/>
          <w:color w:val="auto"/>
        </w:rPr>
        <w:t>Certain statements in this prospectus supplement and the accompanying prospectus, including the documents incorporated by reference herein and therein, constitute forward-looking information or forward-looking statements within the meaning of Section 27A of the Securities Act of 1933, as amended (the “Securities Act”), and Section 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255" w:lineRule="exact"/>
        <w:rPr>
          <w:sz w:val="20"/>
          <w:szCs w:val="20"/>
          <w:color w:val="auto"/>
        </w:rPr>
      </w:pPr>
    </w:p>
    <w:p>
      <w:pPr>
        <w:ind w:left="940" w:right="1399" w:firstLine="304"/>
        <w:spacing w:after="0" w:line="265" w:lineRule="auto"/>
        <w:rPr>
          <w:sz w:val="20"/>
          <w:szCs w:val="20"/>
          <w:color w:val="auto"/>
        </w:rPr>
      </w:pPr>
      <w:r>
        <w:rPr>
          <w:rFonts w:ascii="Times New Roman" w:cs="Times New Roman" w:eastAsia="Times New Roman" w:hAnsi="Times New Roman"/>
          <w:sz w:val="15"/>
          <w:szCs w:val="15"/>
          <w:color w:val="auto"/>
        </w:rPr>
        <w:t>Any information or statements that are contained in this prospectus supplement and the accompanying prospectus, including the documents incorporated by reference herein and therein, that are not statements of historical fact may be deemed to be forward-looking statements, including, but not limited to, statements with regards to:</w:t>
      </w:r>
    </w:p>
    <w:p>
      <w:pPr>
        <w:spacing w:after="0" w:line="59" w:lineRule="exact"/>
        <w:rPr>
          <w:sz w:val="20"/>
          <w:szCs w:val="20"/>
          <w:color w:val="auto"/>
        </w:rPr>
      </w:pPr>
    </w:p>
    <w:p>
      <w:pPr>
        <w:ind w:left="1540" w:right="1319" w:hanging="290"/>
        <w:spacing w:after="0" w:line="288" w:lineRule="auto"/>
        <w:tabs>
          <w:tab w:leader="none" w:pos="1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estimates of our financial information, including in respect of expected revenues, margins, cash flow, profitability, and production of cannabis;</w:t>
      </w:r>
    </w:p>
    <w:p>
      <w:pPr>
        <w:spacing w:after="0" w:line="42" w:lineRule="exact"/>
        <w:rPr>
          <w:rFonts w:ascii="Times New Roman" w:cs="Times New Roman" w:eastAsia="Times New Roman" w:hAnsi="Times New Roman"/>
          <w:sz w:val="15"/>
          <w:szCs w:val="15"/>
          <w:color w:val="auto"/>
        </w:rPr>
      </w:pPr>
    </w:p>
    <w:p>
      <w:pPr>
        <w:ind w:left="1540" w:right="1459" w:hanging="290"/>
        <w:spacing w:after="0" w:line="288" w:lineRule="auto"/>
        <w:tabs>
          <w:tab w:leader="none" w:pos="1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estimates of future costs applicable to sales, future capital expenditures, future cost reductions, and projected synergies including pre-tax synergies, cost savings and efficiencies;</w:t>
      </w:r>
    </w:p>
    <w:p>
      <w:pPr>
        <w:spacing w:after="0" w:line="42" w:lineRule="exact"/>
        <w:rPr>
          <w:rFonts w:ascii="Times New Roman" w:cs="Times New Roman" w:eastAsia="Times New Roman" w:hAnsi="Times New Roman"/>
          <w:sz w:val="15"/>
          <w:szCs w:val="15"/>
          <w:color w:val="auto"/>
        </w:rPr>
      </w:pPr>
    </w:p>
    <w:p>
      <w:pPr>
        <w:ind w:left="1540" w:right="1239" w:hanging="290"/>
        <w:spacing w:after="0" w:line="288" w:lineRule="auto"/>
        <w:tabs>
          <w:tab w:leader="none" w:pos="1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 to have scalable medical and adult-use cannabis platforms to strengthen the leadership position in Canada, internationally, and eventually in the United States;</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position in the European cannabis markets, and our ability to leverage our current European platforms;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and financial benefits in connection with the Arrangement;</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legalization of cannabis in the United States and our position to compete in the United States;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projected growth in our market share and the European market; and</w:t>
      </w:r>
    </w:p>
    <w:p>
      <w:pPr>
        <w:spacing w:after="0" w:line="101" w:lineRule="exact"/>
        <w:rPr>
          <w:rFonts w:ascii="Times New Roman" w:cs="Times New Roman" w:eastAsia="Times New Roman" w:hAnsi="Times New Roman"/>
          <w:sz w:val="15"/>
          <w:szCs w:val="15"/>
          <w:color w:val="auto"/>
        </w:rPr>
      </w:pPr>
    </w:p>
    <w:p>
      <w:pPr>
        <w:ind w:left="1540" w:right="1099" w:hanging="290"/>
        <w:spacing w:after="0" w:line="288" w:lineRule="auto"/>
        <w:tabs>
          <w:tab w:leader="none" w:pos="154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 to offer a diversified and branded product offering and distribution footprint, world-class cultivation, processing and manufacturing facilities.</w:t>
      </w:r>
    </w:p>
    <w:p>
      <w:pPr>
        <w:spacing w:after="0" w:line="42" w:lineRule="exact"/>
        <w:rPr>
          <w:sz w:val="20"/>
          <w:szCs w:val="20"/>
          <w:color w:val="auto"/>
        </w:rPr>
      </w:pPr>
    </w:p>
    <w:p>
      <w:pPr>
        <w:ind w:left="940" w:right="1019" w:firstLine="304"/>
        <w:spacing w:after="0" w:line="265" w:lineRule="auto"/>
        <w:rPr>
          <w:sz w:val="20"/>
          <w:szCs w:val="20"/>
          <w:color w:val="auto"/>
        </w:rPr>
      </w:pPr>
      <w:r>
        <w:rPr>
          <w:rFonts w:ascii="Times New Roman" w:cs="Times New Roman" w:eastAsia="Times New Roman" w:hAnsi="Times New Roman"/>
          <w:sz w:val="15"/>
          <w:szCs w:val="15"/>
          <w:color w:val="auto"/>
        </w:rPr>
        <w:t>The forward-looking statements contained in this prospectus supplement and the accompanying prospectus,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59" w:lineRule="exact"/>
        <w:rPr>
          <w:sz w:val="20"/>
          <w:szCs w:val="20"/>
          <w:color w:val="auto"/>
        </w:rPr>
      </w:pPr>
    </w:p>
    <w:p>
      <w:pPr>
        <w:ind w:left="1540" w:right="1139" w:hanging="290"/>
        <w:spacing w:after="0" w:line="288" w:lineRule="auto"/>
        <w:tabs>
          <w:tab w:leader="none" w:pos="1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achieve the expected revenue or other benefits from the craft beer operations we acquired in fiscal years 2024 and 2025;</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 w:name="page8"/>
    <w:bookmarkEnd w:id="7"/>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1540" w:right="151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difficulties integrating operations and realizing the expected benefits of recent acquisitions, including the Craft brands acquisitions;</w:t>
      </w:r>
    </w:p>
    <w:p>
      <w:pPr>
        <w:spacing w:after="0" w:line="42" w:lineRule="exact"/>
        <w:rPr>
          <w:rFonts w:ascii="Times New Roman" w:cs="Times New Roman" w:eastAsia="Times New Roman" w:hAnsi="Times New Roman"/>
          <w:sz w:val="15"/>
          <w:szCs w:val="15"/>
          <w:color w:val="auto"/>
        </w:rPr>
      </w:pPr>
    </w:p>
    <w:p>
      <w:pPr>
        <w:ind w:left="1540" w:right="135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cannabis business is dependent upon regulatory approvals and licenses, ongoing compliance and reporting obligations, and timely renewals;</w:t>
      </w:r>
    </w:p>
    <w:p>
      <w:pPr>
        <w:spacing w:after="0" w:line="42" w:lineRule="exact"/>
        <w:rPr>
          <w:rFonts w:ascii="Times New Roman" w:cs="Times New Roman" w:eastAsia="Times New Roman" w:hAnsi="Times New Roman"/>
          <w:sz w:val="15"/>
          <w:szCs w:val="15"/>
          <w:color w:val="auto"/>
        </w:rPr>
      </w:pPr>
    </w:p>
    <w:p>
      <w:pPr>
        <w:ind w:left="1540" w:right="1019" w:hanging="290"/>
        <w:spacing w:after="0" w:line="25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regulation is evolving, including potential regulatory developments in the United States to reschedule cannabis from Schedule I to Schedule III under the Controlled Substances Act or revise the current federal framework under the 2018 Farm Bill for hemp-derived cannabis, including Delta-9. In addition, we are subject to potential modifications to existing regulatory frameworks outside of North America, as well as uncertainties and potential delays in receiving required export/import permits in Europe and Australia. Any unfavorable changes to or lack of commercial legalization, or extended delays in receipt of required permits, could negatively impact our businesses and the potential planned expansion of our business;</w:t>
      </w:r>
    </w:p>
    <w:p>
      <w:pPr>
        <w:spacing w:after="0" w:line="67" w:lineRule="exact"/>
        <w:rPr>
          <w:rFonts w:ascii="Times New Roman" w:cs="Times New Roman" w:eastAsia="Times New Roman" w:hAnsi="Times New Roman"/>
          <w:sz w:val="15"/>
          <w:szCs w:val="15"/>
          <w:color w:val="auto"/>
        </w:rPr>
      </w:pPr>
    </w:p>
    <w:p>
      <w:pPr>
        <w:ind w:left="1540" w:right="121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intense competition, including from the illicit cannabis market, and anticipate competition will increase, which could hurt our business;</w:t>
      </w:r>
    </w:p>
    <w:p>
      <w:pPr>
        <w:spacing w:after="0" w:line="42" w:lineRule="exact"/>
        <w:rPr>
          <w:rFonts w:ascii="Times New Roman" w:cs="Times New Roman" w:eastAsia="Times New Roman" w:hAnsi="Times New Roman"/>
          <w:sz w:val="15"/>
          <w:szCs w:val="15"/>
          <w:color w:val="auto"/>
        </w:rPr>
      </w:pPr>
    </w:p>
    <w:p>
      <w:pPr>
        <w:ind w:left="1540" w:right="105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production and processing facilities are integral to our business and adverse changes or developments affecting our facilities may have an adverse impact on our business;</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regulations constrain our ability to market and distribute our products in Canada;</w:t>
      </w:r>
    </w:p>
    <w:p>
      <w:pPr>
        <w:spacing w:after="0" w:line="101" w:lineRule="exact"/>
        <w:rPr>
          <w:rFonts w:ascii="Times New Roman" w:cs="Times New Roman" w:eastAsia="Times New Roman" w:hAnsi="Times New Roman"/>
          <w:sz w:val="15"/>
          <w:szCs w:val="15"/>
          <w:color w:val="auto"/>
        </w:rPr>
      </w:pPr>
    </w:p>
    <w:p>
      <w:pPr>
        <w:ind w:left="1540" w:right="1019" w:hanging="290"/>
        <w:spacing w:after="0" w:line="271"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54" w:lineRule="exact"/>
        <w:rPr>
          <w:rFonts w:ascii="Times New Roman" w:cs="Times New Roman" w:eastAsia="Times New Roman" w:hAnsi="Times New Roman"/>
          <w:sz w:val="15"/>
          <w:szCs w:val="15"/>
          <w:color w:val="auto"/>
        </w:rPr>
      </w:pPr>
    </w:p>
    <w:p>
      <w:pPr>
        <w:ind w:left="1540" w:right="95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consumer preferences or public attitudes about alcohol could decrease demand for our beverage products;</w:t>
      </w:r>
    </w:p>
    <w:p>
      <w:pPr>
        <w:spacing w:after="0" w:line="42" w:lineRule="exact"/>
        <w:rPr>
          <w:rFonts w:ascii="Times New Roman" w:cs="Times New Roman" w:eastAsia="Times New Roman" w:hAnsi="Times New Roman"/>
          <w:sz w:val="15"/>
          <w:szCs w:val="15"/>
          <w:color w:val="auto"/>
        </w:rPr>
      </w:pPr>
    </w:p>
    <w:p>
      <w:pPr>
        <w:jc w:val="both"/>
        <w:ind w:left="1540" w:right="1279" w:hanging="290"/>
        <w:spacing w:after="0" w:line="271"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SweetWater, Breckenridge, Montauk and our recently-acquired craft beer brands each face substantial competition in the beer industry or the broader market for beverage products, which could impact our business and financial results;</w:t>
      </w:r>
    </w:p>
    <w:p>
      <w:pPr>
        <w:spacing w:after="0" w:line="54" w:lineRule="exact"/>
        <w:rPr>
          <w:rFonts w:ascii="Times New Roman" w:cs="Times New Roman" w:eastAsia="Times New Roman" w:hAnsi="Times New Roman"/>
          <w:sz w:val="15"/>
          <w:szCs w:val="15"/>
          <w:color w:val="auto"/>
        </w:rPr>
      </w:pPr>
    </w:p>
    <w:p>
      <w:pPr>
        <w:ind w:left="1540" w:right="113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litigation, arbitration and demands, which could result in significant liability and costs, and impact our resources and reputation;</w:t>
      </w:r>
    </w:p>
    <w:p>
      <w:pPr>
        <w:spacing w:after="0" w:line="42" w:lineRule="exact"/>
        <w:rPr>
          <w:rFonts w:ascii="Times New Roman" w:cs="Times New Roman" w:eastAsia="Times New Roman" w:hAnsi="Times New Roman"/>
          <w:sz w:val="15"/>
          <w:szCs w:val="15"/>
          <w:color w:val="auto"/>
        </w:rPr>
      </w:pPr>
    </w:p>
    <w:p>
      <w:pPr>
        <w:ind w:left="1540" w:right="115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may be materially adversely affected by the imposition of duties and tariffs and other trade barriers and retaliatory countermeasures implemented by the U.S. and other governments;</w:t>
      </w:r>
    </w:p>
    <w:p>
      <w:pPr>
        <w:spacing w:after="0" w:line="42" w:lineRule="exact"/>
        <w:rPr>
          <w:rFonts w:ascii="Times New Roman" w:cs="Times New Roman" w:eastAsia="Times New Roman" w:hAnsi="Times New Roman"/>
          <w:sz w:val="15"/>
          <w:szCs w:val="15"/>
          <w:color w:val="auto"/>
        </w:rPr>
      </w:pPr>
    </w:p>
    <w:p>
      <w:pPr>
        <w:ind w:left="1540" w:right="1239" w:hanging="290"/>
        <w:spacing w:after="0" w:line="271"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54" w:lineRule="exact"/>
        <w:rPr>
          <w:rFonts w:ascii="Times New Roman" w:cs="Times New Roman" w:eastAsia="Times New Roman" w:hAnsi="Times New Roman"/>
          <w:sz w:val="15"/>
          <w:szCs w:val="15"/>
          <w:color w:val="auto"/>
        </w:rPr>
      </w:pPr>
    </w:p>
    <w:p>
      <w:pPr>
        <w:ind w:left="1540" w:right="143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limited operating history and a history of net losses, and we may not achieve or maintain profitability in the future;</w:t>
      </w:r>
    </w:p>
    <w:p>
      <w:pPr>
        <w:spacing w:after="0" w:line="42" w:lineRule="exact"/>
        <w:rPr>
          <w:rFonts w:ascii="Times New Roman" w:cs="Times New Roman" w:eastAsia="Times New Roman" w:hAnsi="Times New Roman"/>
          <w:sz w:val="15"/>
          <w:szCs w:val="15"/>
          <w:color w:val="auto"/>
        </w:rPr>
      </w:pPr>
    </w:p>
    <w:p>
      <w:pPr>
        <w:ind w:left="1540" w:right="101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strategic alliances and other third-party business relationships may not achieve the intended beneficial impact and expose us to risks;</w:t>
      </w:r>
    </w:p>
    <w:p>
      <w:pPr>
        <w:spacing w:after="0" w:line="42" w:lineRule="exact"/>
        <w:rPr>
          <w:rFonts w:ascii="Times New Roman" w:cs="Times New Roman" w:eastAsia="Times New Roman" w:hAnsi="Times New Roman"/>
          <w:sz w:val="15"/>
          <w:szCs w:val="15"/>
          <w:color w:val="auto"/>
        </w:rPr>
      </w:pPr>
    </w:p>
    <w:p>
      <w:pPr>
        <w:ind w:left="1540" w:right="117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successfully identify and execute future acquisitions, dispositions or other equity transactions or to successfully manage the impacts of such transactions on our operations;</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risks inherent in an agricultural business, including the risk of crop failure;</w:t>
      </w:r>
    </w:p>
    <w:p>
      <w:pPr>
        <w:spacing w:after="0" w:line="101" w:lineRule="exact"/>
        <w:rPr>
          <w:rFonts w:ascii="Times New Roman" w:cs="Times New Roman" w:eastAsia="Times New Roman" w:hAnsi="Times New Roman"/>
          <w:sz w:val="15"/>
          <w:szCs w:val="15"/>
          <w:color w:val="auto"/>
        </w:rPr>
      </w:pPr>
    </w:p>
    <w:p>
      <w:pPr>
        <w:ind w:left="1540" w:right="1159" w:hanging="290"/>
        <w:spacing w:after="0" w:line="271"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depend on recurring customers for a substantial portion of our revenue. If we fail to retain or expand our customer relationships or these customers reduce their purchases, our revenue could decline significantly;</w:t>
      </w:r>
    </w:p>
    <w:p>
      <w:pPr>
        <w:spacing w:after="0" w:line="54" w:lineRule="exact"/>
        <w:rPr>
          <w:rFonts w:ascii="Times New Roman" w:cs="Times New Roman" w:eastAsia="Times New Roman" w:hAnsi="Times New Roman"/>
          <w:sz w:val="15"/>
          <w:szCs w:val="15"/>
          <w:color w:val="auto"/>
        </w:rPr>
      </w:pPr>
    </w:p>
    <w:p>
      <w:pPr>
        <w:ind w:left="1540" w:right="163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products may be subject to recalls for a variety of reasons, which could require us to expend significant management and capital resources;</w:t>
      </w:r>
    </w:p>
    <w:p>
      <w:pPr>
        <w:spacing w:after="0" w:line="42" w:lineRule="exact"/>
        <w:rPr>
          <w:rFonts w:ascii="Times New Roman" w:cs="Times New Roman" w:eastAsia="Times New Roman" w:hAnsi="Times New Roman"/>
          <w:sz w:val="15"/>
          <w:szCs w:val="15"/>
          <w:color w:val="auto"/>
        </w:rPr>
      </w:pPr>
    </w:p>
    <w:p>
      <w:pPr>
        <w:ind w:left="1540" w:right="1459" w:hanging="290"/>
        <w:spacing w:after="0" w:line="288" w:lineRule="auto"/>
        <w:tabs>
          <w:tab w:leader="none" w:pos="154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interruptions in our access to certain supply chains for key inputs such as raw materials, supplies, electricity, water and other utilities may impair our operations;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 w:name="page9"/>
    <w:bookmarkEnd w:id="8"/>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1540" w:right="1459" w:hanging="290"/>
        <w:spacing w:after="0" w:line="288" w:lineRule="auto"/>
        <w:tabs>
          <w:tab w:leader="none" w:pos="1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may not be able to successfully establish and maintain effective internal controls over financial reporting;</w:t>
      </w:r>
    </w:p>
    <w:p>
      <w:pPr>
        <w:spacing w:after="0" w:line="42" w:lineRule="exact"/>
        <w:rPr>
          <w:rFonts w:ascii="Times New Roman" w:cs="Times New Roman" w:eastAsia="Times New Roman" w:hAnsi="Times New Roman"/>
          <w:sz w:val="15"/>
          <w:szCs w:val="15"/>
          <w:color w:val="auto"/>
        </w:rPr>
      </w:pPr>
    </w:p>
    <w:p>
      <w:pPr>
        <w:ind w:left="1540" w:right="1059" w:hanging="290"/>
        <w:spacing w:after="0" w:line="288" w:lineRule="auto"/>
        <w:tabs>
          <w:tab w:leader="none" w:pos="1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failure to meet the continued listing requirements of Nasdaq could result in a delisting of our publicly traded securities;</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uncertainty regarding the impact of our implementation of a reverse stock split;</w:t>
      </w:r>
    </w:p>
    <w:p>
      <w:pPr>
        <w:spacing w:after="0" w:line="101" w:lineRule="exact"/>
        <w:rPr>
          <w:rFonts w:ascii="Times New Roman" w:cs="Times New Roman" w:eastAsia="Times New Roman" w:hAnsi="Times New Roman"/>
          <w:sz w:val="15"/>
          <w:szCs w:val="15"/>
          <w:color w:val="auto"/>
        </w:rPr>
      </w:pPr>
    </w:p>
    <w:p>
      <w:pPr>
        <w:ind w:left="1540" w:right="1059" w:hanging="290"/>
        <w:spacing w:after="0" w:line="288" w:lineRule="auto"/>
        <w:tabs>
          <w:tab w:leader="none" w:pos="1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our Common Stock in public markets has experienced and may continue to experience severe volatility and fluctuations;</w:t>
      </w:r>
    </w:p>
    <w:p>
      <w:pPr>
        <w:spacing w:after="0" w:line="42" w:lineRule="exact"/>
        <w:rPr>
          <w:rFonts w:ascii="Times New Roman" w:cs="Times New Roman" w:eastAsia="Times New Roman" w:hAnsi="Times New Roman"/>
          <w:sz w:val="15"/>
          <w:szCs w:val="15"/>
          <w:color w:val="auto"/>
        </w:rPr>
      </w:pPr>
    </w:p>
    <w:p>
      <w:pPr>
        <w:ind w:left="1540" w:right="1119" w:hanging="290"/>
        <w:spacing w:after="0" w:line="288" w:lineRule="auto"/>
        <w:tabs>
          <w:tab w:leader="none" w:pos="1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volatility of our stock and the stockholder base may hinder or prevent us from engaging in beneficial corporate initiatives;</w:t>
      </w:r>
    </w:p>
    <w:p>
      <w:pPr>
        <w:spacing w:after="0" w:line="42" w:lineRule="exact"/>
        <w:rPr>
          <w:rFonts w:ascii="Times New Roman" w:cs="Times New Roman" w:eastAsia="Times New Roman" w:hAnsi="Times New Roman"/>
          <w:sz w:val="15"/>
          <w:szCs w:val="15"/>
          <w:color w:val="auto"/>
        </w:rPr>
      </w:pPr>
    </w:p>
    <w:p>
      <w:pPr>
        <w:ind w:left="1540" w:right="1319" w:hanging="290"/>
        <w:spacing w:after="0" w:line="271" w:lineRule="auto"/>
        <w:tabs>
          <w:tab w:leader="none" w:pos="1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54" w:lineRule="exact"/>
        <w:rPr>
          <w:rFonts w:ascii="Times New Roman" w:cs="Times New Roman" w:eastAsia="Times New Roman" w:hAnsi="Times New Roman"/>
          <w:sz w:val="15"/>
          <w:szCs w:val="15"/>
          <w:color w:val="auto"/>
        </w:rPr>
      </w:pPr>
    </w:p>
    <w:p>
      <w:pPr>
        <w:ind w:left="1540" w:right="1079" w:hanging="290"/>
        <w:spacing w:after="0" w:line="288" w:lineRule="auto"/>
        <w:tabs>
          <w:tab w:leader="none" w:pos="1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have the ability to raise the funds necessary to settle conversions of the convertible securities in cash or to repurchase the convertible securities upon a fundamental change;</w:t>
      </w:r>
    </w:p>
    <w:p>
      <w:pPr>
        <w:spacing w:after="0" w:line="42" w:lineRule="exact"/>
        <w:rPr>
          <w:rFonts w:ascii="Times New Roman" w:cs="Times New Roman" w:eastAsia="Times New Roman" w:hAnsi="Times New Roman"/>
          <w:sz w:val="15"/>
          <w:szCs w:val="15"/>
          <w:color w:val="auto"/>
        </w:rPr>
      </w:pPr>
    </w:p>
    <w:p>
      <w:pPr>
        <w:ind w:left="1540" w:right="1239" w:hanging="290"/>
        <w:spacing w:after="0" w:line="288" w:lineRule="auto"/>
        <w:tabs>
          <w:tab w:leader="none" w:pos="1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planned cryptocurrency strategy faces high risk and uncertainty in light of market volatility and an evolving regulatory landscape; and</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other risks generally applicable to our industry and the conduct of our business.</w:t>
      </w:r>
    </w:p>
    <w:p>
      <w:pPr>
        <w:spacing w:after="0" w:line="101" w:lineRule="exact"/>
        <w:rPr>
          <w:sz w:val="20"/>
          <w:szCs w:val="20"/>
          <w:color w:val="auto"/>
        </w:rPr>
      </w:pPr>
    </w:p>
    <w:p>
      <w:pPr>
        <w:ind w:left="940" w:right="1039" w:firstLine="304"/>
        <w:spacing w:after="0" w:line="271" w:lineRule="auto"/>
        <w:rPr>
          <w:sz w:val="20"/>
          <w:szCs w:val="20"/>
          <w:color w:val="auto"/>
        </w:rPr>
      </w:pPr>
      <w:r>
        <w:rPr>
          <w:rFonts w:ascii="Times New Roman" w:cs="Times New Roman" w:eastAsia="Times New Roman" w:hAnsi="Times New Roman"/>
          <w:sz w:val="15"/>
          <w:szCs w:val="15"/>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54" w:lineRule="exact"/>
        <w:rPr>
          <w:sz w:val="20"/>
          <w:szCs w:val="20"/>
          <w:color w:val="auto"/>
        </w:rPr>
      </w:pPr>
    </w:p>
    <w:p>
      <w:pPr>
        <w:ind w:left="940" w:right="1019" w:firstLine="304"/>
        <w:spacing w:after="0" w:line="260" w:lineRule="auto"/>
        <w:rPr>
          <w:sz w:val="20"/>
          <w:szCs w:val="20"/>
          <w:color w:val="auto"/>
        </w:rPr>
      </w:pPr>
      <w:r>
        <w:rPr>
          <w:rFonts w:ascii="Times New Roman" w:cs="Times New Roman" w:eastAsia="Times New Roman" w:hAnsi="Times New Roman"/>
          <w:sz w:val="15"/>
          <w:szCs w:val="15"/>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supplement and the accompanying prospectus.</w:t>
      </w:r>
    </w:p>
    <w:p>
      <w:pPr>
        <w:spacing w:after="0" w:line="65" w:lineRule="exact"/>
        <w:rPr>
          <w:sz w:val="20"/>
          <w:szCs w:val="20"/>
          <w:color w:val="auto"/>
        </w:rPr>
      </w:pPr>
    </w:p>
    <w:p>
      <w:pPr>
        <w:ind w:left="940" w:right="979" w:firstLine="304"/>
        <w:spacing w:after="0" w:line="256" w:lineRule="auto"/>
        <w:rPr>
          <w:sz w:val="20"/>
          <w:szCs w:val="20"/>
          <w:color w:val="auto"/>
        </w:rPr>
      </w:pPr>
      <w:r>
        <w:rPr>
          <w:rFonts w:ascii="Times New Roman" w:cs="Times New Roman" w:eastAsia="Times New Roman" w:hAnsi="Times New Roman"/>
          <w:sz w:val="15"/>
          <w:szCs w:val="15"/>
          <w:color w:val="auto"/>
        </w:rPr>
        <w:t>The forward-looking statements contained in this prospectus supplement and the accompanying prospectus,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supplement, the accompany prospectus,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9" w:name="page10"/>
    <w:bookmarkEnd w:id="9"/>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SECURITIES</w:t>
      </w:r>
    </w:p>
    <w:p>
      <w:pPr>
        <w:spacing w:after="0" w:line="105" w:lineRule="exact"/>
        <w:rPr>
          <w:sz w:val="20"/>
          <w:szCs w:val="20"/>
          <w:color w:val="auto"/>
        </w:rPr>
      </w:pPr>
    </w:p>
    <w:p>
      <w:pPr>
        <w:ind w:left="940" w:right="1259" w:firstLine="304"/>
        <w:spacing w:after="0" w:line="271" w:lineRule="auto"/>
        <w:rPr>
          <w:sz w:val="20"/>
          <w:szCs w:val="20"/>
          <w:color w:val="auto"/>
        </w:rPr>
      </w:pPr>
      <w:r>
        <w:rPr>
          <w:rFonts w:ascii="Times New Roman" w:cs="Times New Roman" w:eastAsia="Times New Roman" w:hAnsi="Times New Roman"/>
          <w:sz w:val="15"/>
          <w:szCs w:val="15"/>
          <w:color w:val="auto"/>
        </w:rPr>
        <w:t>We are offering shares of our Common Stock that are issuable upon the exercise of currently outstanding Warrants previously issued pursuant to the Underwriting Agreement. The following description of our Common Stock and the Warrants summarizes the material terms and provisions thereof.</w:t>
      </w:r>
    </w:p>
    <w:p>
      <w:pPr>
        <w:spacing w:after="0" w:line="2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05" w:lineRule="exact"/>
        <w:rPr>
          <w:sz w:val="20"/>
          <w:szCs w:val="20"/>
          <w:color w:val="auto"/>
        </w:rPr>
      </w:pPr>
    </w:p>
    <w:p>
      <w:pPr>
        <w:ind w:left="940" w:right="1199" w:firstLine="304"/>
        <w:spacing w:after="0" w:line="288" w:lineRule="auto"/>
        <w:rPr>
          <w:sz w:val="20"/>
          <w:szCs w:val="20"/>
          <w:color w:val="auto"/>
        </w:rPr>
      </w:pPr>
      <w:r>
        <w:rPr>
          <w:rFonts w:ascii="Times New Roman" w:cs="Times New Roman" w:eastAsia="Times New Roman" w:hAnsi="Times New Roman"/>
          <w:sz w:val="15"/>
          <w:szCs w:val="15"/>
          <w:color w:val="auto"/>
        </w:rPr>
        <w:t xml:space="preserve">For a summary of the rights of our Common Stock, please read the information discussed under the heading “Description of Capital Stock” beginning on page </w:t>
      </w:r>
      <w:r>
        <w:rPr>
          <w:rFonts w:ascii="Times New Roman" w:cs="Times New Roman" w:eastAsia="Times New Roman" w:hAnsi="Times New Roman"/>
          <w:sz w:val="15"/>
          <w:szCs w:val="15"/>
          <w:u w:val="single" w:color="auto"/>
          <w:color w:val="0000EE"/>
        </w:rPr>
        <w:t>9</w:t>
      </w:r>
      <w:r>
        <w:rPr>
          <w:rFonts w:ascii="Times New Roman" w:cs="Times New Roman" w:eastAsia="Times New Roman" w:hAnsi="Times New Roman"/>
          <w:sz w:val="15"/>
          <w:szCs w:val="15"/>
          <w:color w:val="auto"/>
        </w:rPr>
        <w:t xml:space="preserve"> of the accompanying prospectus.</w:t>
      </w:r>
    </w:p>
    <w:p>
      <w:pPr>
        <w:spacing w:after="0" w:line="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Our authorized capital stock is divided into:</w:t>
      </w:r>
    </w:p>
    <w:p>
      <w:pPr>
        <w:spacing w:after="0" w:line="101" w:lineRule="exact"/>
        <w:rPr>
          <w:sz w:val="20"/>
          <w:szCs w:val="20"/>
          <w:color w:val="auto"/>
        </w:rPr>
      </w:pPr>
    </w:p>
    <w:p>
      <w:pPr>
        <w:ind w:left="1540" w:hanging="290"/>
        <w:spacing w:after="0"/>
        <w:tabs>
          <w:tab w:leader="none" w:pos="1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1,416,000,000 shares of Common Stock with a par value of $0.0001 per share; and</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10,000,000 undesignated shares of preferred stock with a par value of $0.0001 per share.</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As of September 8, 2025, 1,118,291,159 shares of Common Stock were outstanding.</w:t>
      </w:r>
    </w:p>
    <w:p>
      <w:pPr>
        <w:spacing w:after="0" w:line="101" w:lineRule="exact"/>
        <w:rPr>
          <w:sz w:val="20"/>
          <w:szCs w:val="20"/>
          <w:color w:val="auto"/>
        </w:rPr>
      </w:pPr>
    </w:p>
    <w:p>
      <w:pPr>
        <w:ind w:left="940" w:right="1179" w:firstLine="304"/>
        <w:spacing w:after="0" w:line="262" w:lineRule="auto"/>
        <w:rPr>
          <w:sz w:val="20"/>
          <w:szCs w:val="20"/>
          <w:color w:val="auto"/>
        </w:rPr>
      </w:pPr>
      <w:r>
        <w:rPr>
          <w:rFonts w:ascii="Times New Roman" w:cs="Times New Roman" w:eastAsia="Times New Roman" w:hAnsi="Times New Roman"/>
          <w:sz w:val="15"/>
          <w:szCs w:val="15"/>
          <w:color w:val="auto"/>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w:t>
      </w:r>
    </w:p>
    <w:p>
      <w:pPr>
        <w:spacing w:after="0" w:line="62" w:lineRule="exact"/>
        <w:rPr>
          <w:sz w:val="20"/>
          <w:szCs w:val="20"/>
          <w:color w:val="auto"/>
        </w:rPr>
      </w:pPr>
    </w:p>
    <w:p>
      <w:pPr>
        <w:ind w:left="940" w:right="1119" w:firstLine="304"/>
        <w:spacing w:after="0" w:line="271" w:lineRule="auto"/>
        <w:rPr>
          <w:sz w:val="20"/>
          <w:szCs w:val="20"/>
          <w:color w:val="auto"/>
        </w:rPr>
      </w:pPr>
      <w:r>
        <w:rPr>
          <w:rFonts w:ascii="Times New Roman" w:cs="Times New Roman" w:eastAsia="Times New Roman" w:hAnsi="Times New Roman"/>
          <w:sz w:val="15"/>
          <w:szCs w:val="15"/>
          <w:color w:val="auto"/>
        </w:rPr>
        <w:t>The rights and restrictions to which the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2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101" w:lineRule="exact"/>
        <w:rPr>
          <w:sz w:val="20"/>
          <w:szCs w:val="20"/>
          <w:color w:val="auto"/>
        </w:rPr>
      </w:pPr>
    </w:p>
    <w:p>
      <w:pPr>
        <w:ind w:left="940" w:right="999" w:firstLine="304"/>
        <w:spacing w:after="0" w:line="263" w:lineRule="auto"/>
        <w:rPr>
          <w:sz w:val="20"/>
          <w:szCs w:val="20"/>
          <w:color w:val="auto"/>
        </w:rPr>
      </w:pPr>
      <w:r>
        <w:rPr>
          <w:rFonts w:ascii="Times New Roman" w:cs="Times New Roman" w:eastAsia="Times New Roman" w:hAnsi="Times New Roman"/>
          <w:sz w:val="15"/>
          <w:szCs w:val="15"/>
          <w:i w:val="1"/>
          <w:iCs w:val="1"/>
          <w:color w:val="auto"/>
        </w:rPr>
        <w:t>The following summary of the material terms of the Warrants is not intended to be a complete summary of the rights and preferences of such Warrants. We urge you to read the Warrants in their entirety for a complete description of the rights and preferences of the Warrants. The summary of the provisions of the Warrants are qualified in their entirety by the full text of the Form of Warrant, which was filed as an exhibit to our Current Report on Form 8-K filed on March 17, 2020.</w:t>
      </w:r>
    </w:p>
    <w:p>
      <w:pPr>
        <w:spacing w:after="0" w:line="62" w:lineRule="exact"/>
        <w:rPr>
          <w:sz w:val="20"/>
          <w:szCs w:val="20"/>
          <w:color w:val="auto"/>
        </w:rPr>
      </w:pPr>
    </w:p>
    <w:p>
      <w:pPr>
        <w:ind w:left="940" w:right="1039" w:firstLine="304"/>
        <w:spacing w:after="0" w:line="262" w:lineRule="auto"/>
        <w:rPr>
          <w:sz w:val="20"/>
          <w:szCs w:val="20"/>
          <w:color w:val="auto"/>
        </w:rPr>
      </w:pPr>
      <w:r>
        <w:rPr>
          <w:rFonts w:ascii="Times New Roman" w:cs="Times New Roman" w:eastAsia="Times New Roman" w:hAnsi="Times New Roman"/>
          <w:sz w:val="15"/>
          <w:szCs w:val="15"/>
          <w:color w:val="auto"/>
        </w:rPr>
        <w:t>On March 13, 2020, we entered into the Underwriting Agreement with Canaccord Genuity LLC relating to the issuance and sale of shares of our Common Stock at a price to the public of $4.76 per share and included the Warrants to purchase additional common stock at an initial exercise price of $5.95 per Warrant, subject to certain adjustments. As of September 4, 2025, 6,209,000 Warrants remain outstanding and do not expire until September 17, 2025.</w:t>
      </w:r>
    </w:p>
    <w:p>
      <w:pPr>
        <w:spacing w:after="0" w:line="58" w:lineRule="exact"/>
        <w:rPr>
          <w:sz w:val="20"/>
          <w:szCs w:val="20"/>
          <w:color w:val="auto"/>
        </w:rPr>
      </w:pPr>
    </w:p>
    <w:p>
      <w:pPr>
        <w:ind w:left="940" w:right="979" w:firstLine="304"/>
        <w:spacing w:after="0" w:line="261" w:lineRule="auto"/>
        <w:rPr>
          <w:sz w:val="20"/>
          <w:szCs w:val="20"/>
          <w:color w:val="auto"/>
        </w:rPr>
      </w:pPr>
      <w:r>
        <w:rPr>
          <w:rFonts w:ascii="Times New Roman" w:cs="Times New Roman" w:eastAsia="Times New Roman" w:hAnsi="Times New Roman"/>
          <w:sz w:val="15"/>
          <w:szCs w:val="15"/>
          <w:i w:val="1"/>
          <w:iCs w:val="1"/>
          <w:color w:val="auto"/>
        </w:rPr>
        <w:t>Duration and Exercise Price</w:t>
      </w:r>
      <w:r>
        <w:rPr>
          <w:rFonts w:ascii="Times New Roman" w:cs="Times New Roman" w:eastAsia="Times New Roman" w:hAnsi="Times New Roman"/>
          <w:sz w:val="15"/>
          <w:szCs w:val="15"/>
          <w:color w:val="auto"/>
        </w:rPr>
        <w:t>. The Warrants became exercisable on the first trading day following the six-month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anniversary of the date of issuance and expire on the fifth anniversary of the date on which the Warrants became exercisable. The Warrants were issued in certificated form. After the exercise period, holders of the Warrants will have no further rights to exercise the Warrants. Each Warrant is exercisable for one share of Common Stock and had an initial exercise price of $5.95 per share of Common Stock, subject to certain adjustments. As of September 5, 2025, the exercise price of each Warrant was $0.3812.</w:t>
      </w:r>
    </w:p>
    <w:p>
      <w:pPr>
        <w:spacing w:after="0" w:line="60" w:lineRule="exact"/>
        <w:rPr>
          <w:sz w:val="20"/>
          <w:szCs w:val="20"/>
          <w:color w:val="auto"/>
        </w:rPr>
      </w:pPr>
    </w:p>
    <w:p>
      <w:pPr>
        <w:jc w:val="both"/>
        <w:ind w:left="940" w:right="1079" w:firstLine="304"/>
        <w:spacing w:after="0" w:line="273" w:lineRule="auto"/>
        <w:rPr>
          <w:sz w:val="20"/>
          <w:szCs w:val="20"/>
          <w:color w:val="auto"/>
        </w:rPr>
      </w:pPr>
      <w:r>
        <w:rPr>
          <w:rFonts w:ascii="Times New Roman" w:cs="Times New Roman" w:eastAsia="Times New Roman" w:hAnsi="Times New Roman"/>
          <w:sz w:val="15"/>
          <w:szCs w:val="15"/>
          <w:i w:val="1"/>
          <w:iCs w:val="1"/>
          <w:color w:val="auto"/>
        </w:rPr>
        <w:t>Exercisability</w:t>
      </w:r>
      <w:r>
        <w:rPr>
          <w:rFonts w:ascii="Times New Roman" w:cs="Times New Roman" w:eastAsia="Times New Roman" w:hAnsi="Times New Roman"/>
          <w:sz w:val="15"/>
          <w:szCs w:val="15"/>
          <w:color w:val="auto"/>
        </w:rPr>
        <w:t>. The Warrants are exercisable, at the option of each holder, in whole or in part, by delivering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us a duly executed exercise notice accompanied by payment in full for the number of shares of our Common Stock purchased upon such exercise (except in the case of a cashless exercise as discussed below).</w:t>
      </w:r>
    </w:p>
    <w:p>
      <w:pPr>
        <w:spacing w:after="0" w:line="50" w:lineRule="exact"/>
        <w:rPr>
          <w:sz w:val="20"/>
          <w:szCs w:val="20"/>
          <w:color w:val="auto"/>
        </w:rPr>
      </w:pPr>
    </w:p>
    <w:p>
      <w:pPr>
        <w:ind w:left="940" w:right="999" w:firstLine="304"/>
        <w:spacing w:after="0" w:line="261" w:lineRule="auto"/>
        <w:rPr>
          <w:sz w:val="20"/>
          <w:szCs w:val="20"/>
          <w:color w:val="auto"/>
        </w:rPr>
      </w:pPr>
      <w:r>
        <w:rPr>
          <w:rFonts w:ascii="Times New Roman" w:cs="Times New Roman" w:eastAsia="Times New Roman" w:hAnsi="Times New Roman"/>
          <w:sz w:val="15"/>
          <w:szCs w:val="15"/>
          <w:i w:val="1"/>
          <w:iCs w:val="1"/>
          <w:color w:val="auto"/>
        </w:rPr>
        <w:t>Exercise Limitations</w:t>
      </w:r>
      <w:r>
        <w:rPr>
          <w:rFonts w:ascii="Times New Roman" w:cs="Times New Roman" w:eastAsia="Times New Roman" w:hAnsi="Times New Roman"/>
          <w:sz w:val="15"/>
          <w:szCs w:val="15"/>
          <w:color w:val="auto"/>
        </w:rPr>
        <w:t>. Subject to certain exceptions, a holder will not have the right to exercise any portion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Warrant if the holder (together with its affiliates) would beneficially own in excess of 4.99% or 9.99% (which percentage is elected at each holder’s discretion prior to issuance of the Warrant) of the number of shares of our Common Stock outstanding immediately after giving effect to the exercise. However, any holder may increase or decrease such percentage to any other percentage not in excess of 9.99% upon at least 61 days’ prior notice from the holder to us.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 w:name="page11"/>
    <w:bookmarkEnd w:id="10"/>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ind w:left="940" w:right="1179" w:firstLine="304"/>
        <w:spacing w:after="0" w:line="267" w:lineRule="auto"/>
        <w:rPr>
          <w:sz w:val="20"/>
          <w:szCs w:val="20"/>
          <w:color w:val="auto"/>
        </w:rPr>
      </w:pPr>
      <w:r>
        <w:rPr>
          <w:rFonts w:ascii="Times New Roman" w:cs="Times New Roman" w:eastAsia="Times New Roman" w:hAnsi="Times New Roman"/>
          <w:sz w:val="15"/>
          <w:szCs w:val="15"/>
          <w:i w:val="1"/>
          <w:iCs w:val="1"/>
          <w:color w:val="auto"/>
        </w:rPr>
        <w:t>No Fractional Shares</w:t>
      </w:r>
      <w:r>
        <w:rPr>
          <w:rFonts w:ascii="Times New Roman" w:cs="Times New Roman" w:eastAsia="Times New Roman" w:hAnsi="Times New Roman"/>
          <w:sz w:val="15"/>
          <w:szCs w:val="15"/>
          <w:color w:val="auto"/>
        </w:rPr>
        <w:t>. No fractional shares or scrip representing fractional shares shall be issued upon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exercise of the Warrants. As to any fraction of a share which the holder would otherwise be entitled to purchase upon such exercise, the number of shares of Common Stock to be issued shall be rounded up to the nearest whole number.</w:t>
      </w:r>
    </w:p>
    <w:p>
      <w:pPr>
        <w:spacing w:after="0" w:line="53" w:lineRule="exact"/>
        <w:rPr>
          <w:sz w:val="20"/>
          <w:szCs w:val="20"/>
          <w:color w:val="auto"/>
        </w:rPr>
      </w:pPr>
    </w:p>
    <w:p>
      <w:pPr>
        <w:ind w:left="940" w:right="959" w:firstLine="304"/>
        <w:spacing w:after="0" w:line="256" w:lineRule="auto"/>
        <w:rPr>
          <w:sz w:val="20"/>
          <w:szCs w:val="20"/>
          <w:color w:val="auto"/>
        </w:rPr>
      </w:pPr>
      <w:r>
        <w:rPr>
          <w:rFonts w:ascii="Times New Roman" w:cs="Times New Roman" w:eastAsia="Times New Roman" w:hAnsi="Times New Roman"/>
          <w:sz w:val="15"/>
          <w:szCs w:val="15"/>
          <w:i w:val="1"/>
          <w:iCs w:val="1"/>
          <w:color w:val="auto"/>
        </w:rPr>
        <w:t>Failure to Timely Deliver Shares</w:t>
      </w:r>
      <w:r>
        <w:rPr>
          <w:rFonts w:ascii="Times New Roman" w:cs="Times New Roman" w:eastAsia="Times New Roman" w:hAnsi="Times New Roman"/>
          <w:sz w:val="15"/>
          <w:szCs w:val="15"/>
          <w:color w:val="auto"/>
        </w:rPr>
        <w:t>. If we fail to deliver to the holder a certificate representing shares issuable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upon exercise of a Warrant or to credit the holder’s balance account with Depository Trust Company for such number of shares of Common Stock to which the holder is entitled upon the holder’s exercise of the Warrant, in each case, by the delivery date set forth in the Warrant, and if on or after such date the holder purchases the shares of our Common Stock to deliver in satisfaction of a sale by the holder of the underlying warrant shares that the holder anticipated receiving from us, then, within two business days of receipt of the holder’s request, we, at the holder’s discretion, will either (i) pay cash to the holder in an amount equal to the holder’s total purchase price (including brokerage commissions and other out of pocket expenses, if any) for the shares of Common Stock purchased, or the buy-in price, at which point our obligation to deliver the underlying Common Stock or credit the holder’s balance account will terminate, or (ii) promptly honor our obligation to deliver to the holder a certificate or certificates representing the underlying Common Stock or credit the holder’s balance account with Depository Trust Company and pay cash to the holder in an amount equal to the buy-in price over the product of (A) the number of shares of Common Stock purchased in the buy-in, times (B) the lowest closing bid price of the Common Stock on any trading day during the period commencing on the date of the applicable exercise notice and ending on the date of issuance and payment.</w:t>
      </w:r>
    </w:p>
    <w:p>
      <w:pPr>
        <w:spacing w:after="0" w:line="252" w:lineRule="exact"/>
        <w:rPr>
          <w:sz w:val="20"/>
          <w:szCs w:val="20"/>
          <w:color w:val="auto"/>
        </w:rPr>
      </w:pPr>
    </w:p>
    <w:p>
      <w:pPr>
        <w:ind w:left="940" w:right="1079" w:firstLine="304"/>
        <w:spacing w:after="0" w:line="273" w:lineRule="auto"/>
        <w:rPr>
          <w:sz w:val="20"/>
          <w:szCs w:val="20"/>
          <w:color w:val="auto"/>
        </w:rPr>
      </w:pPr>
      <w:r>
        <w:rPr>
          <w:rFonts w:ascii="Times New Roman" w:cs="Times New Roman" w:eastAsia="Times New Roman" w:hAnsi="Times New Roman"/>
          <w:sz w:val="15"/>
          <w:szCs w:val="15"/>
          <w:i w:val="1"/>
          <w:iCs w:val="1"/>
          <w:color w:val="auto"/>
        </w:rPr>
        <w:t>Adjustments</w:t>
      </w:r>
      <w:r>
        <w:rPr>
          <w:rFonts w:ascii="Times New Roman" w:cs="Times New Roman" w:eastAsia="Times New Roman" w:hAnsi="Times New Roman"/>
          <w:sz w:val="15"/>
          <w:szCs w:val="15"/>
          <w:color w:val="auto"/>
        </w:rPr>
        <w:t>. The exercise price and the number of shares of Common Stock purchasable upon the exercise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Warrants are subject to adjustment upon the occurrence of specific events, including stock dividends, stock splits, reclassifications and combinations of our Common Stock.</w:t>
      </w:r>
    </w:p>
    <w:p>
      <w:pPr>
        <w:spacing w:after="0" w:line="54" w:lineRule="exact"/>
        <w:rPr>
          <w:sz w:val="20"/>
          <w:szCs w:val="20"/>
          <w:color w:val="auto"/>
        </w:rPr>
      </w:pPr>
    </w:p>
    <w:p>
      <w:pPr>
        <w:ind w:left="940" w:right="979" w:firstLine="304"/>
        <w:spacing w:after="0" w:line="262" w:lineRule="auto"/>
        <w:rPr>
          <w:sz w:val="20"/>
          <w:szCs w:val="20"/>
          <w:color w:val="auto"/>
        </w:rPr>
      </w:pPr>
      <w:r>
        <w:rPr>
          <w:rFonts w:ascii="Times New Roman" w:cs="Times New Roman" w:eastAsia="Times New Roman" w:hAnsi="Times New Roman"/>
          <w:sz w:val="15"/>
          <w:szCs w:val="15"/>
          <w:color w:val="auto"/>
        </w:rPr>
        <w:t>Simultaneously with such an adjustment to the exercise price of the Warrants, the number of warrant shares that may be purchased upon exercise of the Warrants shall be increased or decreased proportionately, so that after such adjustment the aggregate exercise price for the adjusted number of shares of Common Stock underlying the Warrant shall be the same as the aggregate exercise price in effect immediately prior to such adjustment (without regard to any limitations on exercise contained herein).</w:t>
      </w:r>
    </w:p>
    <w:p>
      <w:pPr>
        <w:spacing w:after="0" w:line="62" w:lineRule="exact"/>
        <w:rPr>
          <w:sz w:val="20"/>
          <w:szCs w:val="20"/>
          <w:color w:val="auto"/>
        </w:rPr>
      </w:pPr>
    </w:p>
    <w:p>
      <w:pPr>
        <w:ind w:left="940" w:right="999" w:firstLine="304"/>
        <w:spacing w:after="0" w:line="260" w:lineRule="auto"/>
        <w:rPr>
          <w:sz w:val="20"/>
          <w:szCs w:val="20"/>
          <w:color w:val="auto"/>
        </w:rPr>
      </w:pPr>
      <w:r>
        <w:rPr>
          <w:rFonts w:ascii="Times New Roman" w:cs="Times New Roman" w:eastAsia="Times New Roman" w:hAnsi="Times New Roman"/>
          <w:sz w:val="15"/>
          <w:szCs w:val="15"/>
          <w:color w:val="auto"/>
        </w:rPr>
        <w:t>If we declare or make any dividend or other distribution of our assets (or rights to acquire our assets) to holders of shares of our Common Stock, by way of return of capital or otherwise (including, without limitation, any distribution of cash, stock or other securities, property, options, evidence of indebtedness or any other assets) at any time after the issuance of the Warrants, then, in each such case, the Warrant holders shall be entitled to participate in such distribution to the same extent that the holders would have participated therein if the holders had held the number of shares of Common Stock acquirable upon complete exercise of the Warrants.</w:t>
      </w:r>
    </w:p>
    <w:p>
      <w:pPr>
        <w:spacing w:after="0" w:line="61" w:lineRule="exact"/>
        <w:rPr>
          <w:sz w:val="20"/>
          <w:szCs w:val="20"/>
          <w:color w:val="auto"/>
        </w:rPr>
      </w:pPr>
    </w:p>
    <w:p>
      <w:pPr>
        <w:ind w:left="940" w:right="1019" w:firstLine="304"/>
        <w:spacing w:after="0" w:line="261" w:lineRule="auto"/>
        <w:rPr>
          <w:sz w:val="20"/>
          <w:szCs w:val="20"/>
          <w:color w:val="auto"/>
        </w:rPr>
      </w:pPr>
      <w:r>
        <w:rPr>
          <w:rFonts w:ascii="Times New Roman" w:cs="Times New Roman" w:eastAsia="Times New Roman" w:hAnsi="Times New Roman"/>
          <w:sz w:val="15"/>
          <w:szCs w:val="15"/>
          <w:i w:val="1"/>
          <w:iCs w:val="1"/>
          <w:color w:val="auto"/>
        </w:rPr>
        <w:t>Variable Price Transactions</w:t>
      </w:r>
      <w:r>
        <w:rPr>
          <w:rFonts w:ascii="Times New Roman" w:cs="Times New Roman" w:eastAsia="Times New Roman" w:hAnsi="Times New Roman"/>
          <w:sz w:val="15"/>
          <w:szCs w:val="15"/>
          <w:color w:val="auto"/>
        </w:rPr>
        <w:t>. The Warrants prohibit us from effecting or entering into an agreement to effect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issuance of Common Stock or options or convertible securities exercisable for or convertible into our Common Stock at a price which is based upon or varies with the trading price of or quotations for the shares of our Common Stock or is subject to reset, subject to certain exceptions. In the event such a transaction is effected or such an agreement is entered into, a Warrant holder may, at the time of exercise of the holder’s Warrant, elect to exercise the Warrant at such variable price.</w:t>
      </w:r>
    </w:p>
    <w:p>
      <w:pPr>
        <w:spacing w:after="0" w:line="60" w:lineRule="exact"/>
        <w:rPr>
          <w:sz w:val="20"/>
          <w:szCs w:val="20"/>
          <w:color w:val="auto"/>
        </w:rPr>
      </w:pPr>
    </w:p>
    <w:p>
      <w:pPr>
        <w:ind w:left="940" w:right="979" w:firstLine="304"/>
        <w:spacing w:after="0" w:line="261" w:lineRule="auto"/>
        <w:rPr>
          <w:sz w:val="20"/>
          <w:szCs w:val="20"/>
          <w:color w:val="auto"/>
        </w:rPr>
      </w:pPr>
      <w:r>
        <w:rPr>
          <w:rFonts w:ascii="Times New Roman" w:cs="Times New Roman" w:eastAsia="Times New Roman" w:hAnsi="Times New Roman"/>
          <w:sz w:val="15"/>
          <w:szCs w:val="15"/>
          <w:i w:val="1"/>
          <w:iCs w:val="1"/>
          <w:color w:val="auto"/>
        </w:rPr>
        <w:t>Anti-Dilution</w:t>
      </w:r>
      <w:r>
        <w:rPr>
          <w:rFonts w:ascii="Times New Roman" w:cs="Times New Roman" w:eastAsia="Times New Roman" w:hAnsi="Times New Roman"/>
          <w:sz w:val="15"/>
          <w:szCs w:val="15"/>
          <w:color w:val="auto"/>
        </w:rPr>
        <w:t>. The Warrants contain a price protection feature, pursuant to which, to the extent such Warrants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have not been exercised previously, if shares of Common Stock are sold or issued, or securities convertible or exercisable for shares of our Common Stock are sold or issued in the future, for consideration, or with an exercise price or conversion price, as applicable, per share less than the exercise price per share then in effect, the exercise price of the Warrants is reduced to the consideration paid for, or the exercise price or conversion price of, as the case may be, the securities issued in such offering. Certain exceptions apply to this price protection feature.</w:t>
      </w:r>
    </w:p>
    <w:p>
      <w:pPr>
        <w:spacing w:after="0" w:line="60" w:lineRule="exact"/>
        <w:rPr>
          <w:sz w:val="20"/>
          <w:szCs w:val="20"/>
          <w:color w:val="auto"/>
        </w:rPr>
      </w:pPr>
    </w:p>
    <w:p>
      <w:pPr>
        <w:ind w:left="940" w:right="979" w:firstLine="304"/>
        <w:spacing w:after="0" w:line="267" w:lineRule="auto"/>
        <w:rPr>
          <w:sz w:val="20"/>
          <w:szCs w:val="20"/>
          <w:color w:val="auto"/>
        </w:rPr>
      </w:pPr>
      <w:r>
        <w:rPr>
          <w:rFonts w:ascii="Times New Roman" w:cs="Times New Roman" w:eastAsia="Times New Roman" w:hAnsi="Times New Roman"/>
          <w:sz w:val="15"/>
          <w:szCs w:val="15"/>
          <w:i w:val="1"/>
          <w:iCs w:val="1"/>
          <w:color w:val="auto"/>
        </w:rPr>
        <w:t>Cashless Exercise</w:t>
      </w:r>
      <w:r>
        <w:rPr>
          <w:rFonts w:ascii="Times New Roman" w:cs="Times New Roman" w:eastAsia="Times New Roman" w:hAnsi="Times New Roman"/>
          <w:sz w:val="15"/>
          <w:szCs w:val="15"/>
          <w:color w:val="auto"/>
        </w:rPr>
        <w:t>. The holder may, in its sole discretion, exercise the Warrant in whole or in part and, in lieu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making the cash payment otherwise contemplated to be made to us upon such exercise in payment of the aggregate exercise price, elect instead to receive upon such exercise the net number of shares of Common Stock determined according to the formula set forth in the Warrant.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 w:name="page12"/>
    <w:bookmarkEnd w:id="11"/>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ind w:left="940" w:right="1219" w:firstLine="304"/>
        <w:spacing w:after="0" w:line="259" w:lineRule="auto"/>
        <w:rPr>
          <w:sz w:val="20"/>
          <w:szCs w:val="20"/>
          <w:color w:val="auto"/>
        </w:rPr>
      </w:pPr>
      <w:r>
        <w:rPr>
          <w:rFonts w:ascii="Times New Roman" w:cs="Times New Roman" w:eastAsia="Times New Roman" w:hAnsi="Times New Roman"/>
          <w:sz w:val="15"/>
          <w:szCs w:val="15"/>
          <w:i w:val="1"/>
          <w:iCs w:val="1"/>
          <w:color w:val="auto"/>
        </w:rPr>
        <w:t>Fundamental Transaction</w:t>
      </w:r>
      <w:r>
        <w:rPr>
          <w:rFonts w:ascii="Times New Roman" w:cs="Times New Roman" w:eastAsia="Times New Roman" w:hAnsi="Times New Roman"/>
          <w:sz w:val="15"/>
          <w:szCs w:val="15"/>
          <w:color w:val="auto"/>
        </w:rPr>
        <w:t>. In the event of any fundamental transaction, as described in the Warrants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generally including any merger with or into another entity, sale, lease, license or other disposition of all or substantially all of our assets, tender offer or exchange offer, or reclassification of our shares of Common Stock, then upon any subsequent exercise of a Warrant, the holder of the Warrant will have the right to receive the same amount and kind of securities, cash or property as the holder would have been entitled to receive upon the occurrence of such fundamental transaction if the holder had been, immediately prior to such fundamental transaction, the holder of the number of warrant shares then issuable upon exercise in full of the Warrant without regard to any limitations on exercise contained in the Warrant.</w:t>
      </w:r>
    </w:p>
    <w:p>
      <w:pPr>
        <w:spacing w:after="0" w:line="62" w:lineRule="exact"/>
        <w:rPr>
          <w:sz w:val="20"/>
          <w:szCs w:val="20"/>
          <w:color w:val="auto"/>
        </w:rPr>
      </w:pPr>
    </w:p>
    <w:p>
      <w:pPr>
        <w:ind w:left="940" w:right="999" w:firstLine="304"/>
        <w:spacing w:after="0" w:line="273" w:lineRule="auto"/>
        <w:rPr>
          <w:sz w:val="20"/>
          <w:szCs w:val="20"/>
          <w:color w:val="auto"/>
        </w:rPr>
      </w:pPr>
      <w:r>
        <w:rPr>
          <w:rFonts w:ascii="Times New Roman" w:cs="Times New Roman" w:eastAsia="Times New Roman" w:hAnsi="Times New Roman"/>
          <w:sz w:val="15"/>
          <w:szCs w:val="15"/>
          <w:i w:val="1"/>
          <w:iCs w:val="1"/>
          <w:color w:val="auto"/>
        </w:rPr>
        <w:t>Authorized Shares</w:t>
      </w:r>
      <w:r>
        <w:rPr>
          <w:rFonts w:ascii="Times New Roman" w:cs="Times New Roman" w:eastAsia="Times New Roman" w:hAnsi="Times New Roman"/>
          <w:sz w:val="15"/>
          <w:szCs w:val="15"/>
          <w:color w:val="auto"/>
        </w:rPr>
        <w:t>. During the period the Warrants are outstanding, we will reserve from our authorized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unissued shares of Common Stock a sufficient number of shares to provide for the issuance of 100% of the shares of Common Stock underlying the Warrants upon the exercise of the Warrants.</w:t>
      </w:r>
    </w:p>
    <w:p>
      <w:pPr>
        <w:spacing w:after="0" w:line="50" w:lineRule="exact"/>
        <w:rPr>
          <w:sz w:val="20"/>
          <w:szCs w:val="20"/>
          <w:color w:val="auto"/>
        </w:rPr>
      </w:pPr>
    </w:p>
    <w:p>
      <w:pPr>
        <w:ind w:left="940" w:right="1079" w:firstLine="304"/>
        <w:spacing w:after="0" w:line="273" w:lineRule="auto"/>
        <w:rPr>
          <w:sz w:val="20"/>
          <w:szCs w:val="20"/>
          <w:color w:val="auto"/>
        </w:rPr>
      </w:pPr>
      <w:r>
        <w:rPr>
          <w:rFonts w:ascii="Times New Roman" w:cs="Times New Roman" w:eastAsia="Times New Roman" w:hAnsi="Times New Roman"/>
          <w:sz w:val="15"/>
          <w:szCs w:val="15"/>
          <w:i w:val="1"/>
          <w:iCs w:val="1"/>
          <w:color w:val="auto"/>
        </w:rPr>
        <w:t>Transferability</w:t>
      </w:r>
      <w:r>
        <w:rPr>
          <w:rFonts w:ascii="Times New Roman" w:cs="Times New Roman" w:eastAsia="Times New Roman" w:hAnsi="Times New Roman"/>
          <w:sz w:val="15"/>
          <w:szCs w:val="15"/>
          <w:color w:val="auto"/>
        </w:rPr>
        <w:t>. Subject to applicable laws and the restriction on transfer set forth in the Warrant, the Warrants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may be transferred at the option of the holder upon surrender of the Warrant to us together with the appropriate instruments of transfer.</w:t>
      </w:r>
    </w:p>
    <w:p>
      <w:pPr>
        <w:spacing w:after="0" w:line="50" w:lineRule="exact"/>
        <w:rPr>
          <w:sz w:val="20"/>
          <w:szCs w:val="20"/>
          <w:color w:val="auto"/>
        </w:rPr>
      </w:pPr>
    </w:p>
    <w:p>
      <w:pPr>
        <w:ind w:left="940" w:right="1459" w:firstLine="304"/>
        <w:spacing w:after="0" w:line="294" w:lineRule="auto"/>
        <w:rPr>
          <w:sz w:val="20"/>
          <w:szCs w:val="20"/>
          <w:color w:val="auto"/>
        </w:rPr>
      </w:pPr>
      <w:r>
        <w:rPr>
          <w:rFonts w:ascii="Times New Roman" w:cs="Times New Roman" w:eastAsia="Times New Roman" w:hAnsi="Times New Roman"/>
          <w:sz w:val="15"/>
          <w:szCs w:val="15"/>
          <w:i w:val="1"/>
          <w:iCs w:val="1"/>
          <w:color w:val="auto"/>
        </w:rPr>
        <w:t>Exchange Listing</w:t>
      </w:r>
      <w:r>
        <w:rPr>
          <w:rFonts w:ascii="Times New Roman" w:cs="Times New Roman" w:eastAsia="Times New Roman" w:hAnsi="Times New Roman"/>
          <w:sz w:val="15"/>
          <w:szCs w:val="15"/>
          <w:color w:val="auto"/>
        </w:rPr>
        <w:t>. We have not listed and do not intend to list the Warrants on the Nasdaq Global Select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 any other national securities exchange or any other nationally recognized trading system.</w:t>
      </w:r>
    </w:p>
    <w:p>
      <w:pPr>
        <w:spacing w:after="0" w:line="33" w:lineRule="exact"/>
        <w:rPr>
          <w:sz w:val="20"/>
          <w:szCs w:val="20"/>
          <w:color w:val="auto"/>
        </w:rPr>
      </w:pPr>
    </w:p>
    <w:p>
      <w:pPr>
        <w:ind w:left="940" w:right="1099" w:firstLine="304"/>
        <w:spacing w:after="0" w:line="273" w:lineRule="auto"/>
        <w:rPr>
          <w:sz w:val="20"/>
          <w:szCs w:val="20"/>
          <w:color w:val="auto"/>
        </w:rPr>
      </w:pPr>
      <w:r>
        <w:rPr>
          <w:rFonts w:ascii="Times New Roman" w:cs="Times New Roman" w:eastAsia="Times New Roman" w:hAnsi="Times New Roman"/>
          <w:sz w:val="15"/>
          <w:szCs w:val="15"/>
          <w:i w:val="1"/>
          <w:iCs w:val="1"/>
          <w:color w:val="auto"/>
        </w:rPr>
        <w:t>Rights as a Stockholder</w:t>
      </w:r>
      <w:r>
        <w:rPr>
          <w:rFonts w:ascii="Times New Roman" w:cs="Times New Roman" w:eastAsia="Times New Roman" w:hAnsi="Times New Roman"/>
          <w:sz w:val="15"/>
          <w:szCs w:val="15"/>
          <w:color w:val="auto"/>
        </w:rPr>
        <w:t>. Holders of the Warrants will not have the rights or privileges of holders of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including any voting rights, until they exercise their Warrants, with exceptions for participation in rights offerings or extraordinary distributions.</w:t>
      </w:r>
    </w:p>
    <w:p>
      <w:pPr>
        <w:spacing w:after="0" w:line="50" w:lineRule="exact"/>
        <w:rPr>
          <w:sz w:val="20"/>
          <w:szCs w:val="20"/>
          <w:color w:val="auto"/>
        </w:rPr>
      </w:pPr>
    </w:p>
    <w:p>
      <w:pPr>
        <w:ind w:left="940" w:right="1139" w:firstLine="304"/>
        <w:spacing w:after="0" w:line="294" w:lineRule="auto"/>
        <w:rPr>
          <w:sz w:val="20"/>
          <w:szCs w:val="20"/>
          <w:color w:val="auto"/>
        </w:rPr>
      </w:pPr>
      <w:r>
        <w:rPr>
          <w:rFonts w:ascii="Times New Roman" w:cs="Times New Roman" w:eastAsia="Times New Roman" w:hAnsi="Times New Roman"/>
          <w:sz w:val="15"/>
          <w:szCs w:val="15"/>
          <w:i w:val="1"/>
          <w:iCs w:val="1"/>
          <w:color w:val="auto"/>
        </w:rPr>
        <w:t>Waivers and Amendments</w:t>
      </w:r>
      <w:r>
        <w:rPr>
          <w:rFonts w:ascii="Times New Roman" w:cs="Times New Roman" w:eastAsia="Times New Roman" w:hAnsi="Times New Roman"/>
          <w:sz w:val="15"/>
          <w:szCs w:val="15"/>
          <w:color w:val="auto"/>
        </w:rPr>
        <w:t>. Subject to certain exceptions, any term of the Warrant may be amended or waived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our written consent and the written consent of the holder.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2" w:name="page13"/>
    <w:bookmarkEnd w:id="12"/>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05" w:lineRule="exact"/>
        <w:rPr>
          <w:sz w:val="20"/>
          <w:szCs w:val="20"/>
          <w:color w:val="auto"/>
        </w:rPr>
      </w:pPr>
    </w:p>
    <w:p>
      <w:pPr>
        <w:ind w:left="940" w:right="979" w:firstLine="304"/>
        <w:spacing w:after="0" w:line="259" w:lineRule="auto"/>
        <w:rPr>
          <w:sz w:val="20"/>
          <w:szCs w:val="20"/>
          <w:color w:val="auto"/>
        </w:rPr>
      </w:pPr>
      <w:r>
        <w:rPr>
          <w:rFonts w:ascii="Times New Roman" w:cs="Times New Roman" w:eastAsia="Times New Roman" w:hAnsi="Times New Roman"/>
          <w:sz w:val="15"/>
          <w:szCs w:val="15"/>
          <w:color w:val="auto"/>
        </w:rPr>
        <w:t>The purpose of this offering is to register the shares of our Common Stock that may be issued upon the exercise of the Warrants pursuant to the terms of the Underwriting Agreement. We will receive an aggregate of up to approximately $2,366,871 from the exercise of the Warrants, assuming the exercise in full of all of the Warrants for cash at an exercise price per Warrant of $0.3812, the exercise price as of September 5, 2025. We expect to use the net proceeds from the exercise of the Warrants for general corporate purposes. We will have broad discretion over the use of proceeds from the exercise of the Warrants. We have agreed to pay all costs relating to the registration of the shares of Common Stock covered by this prospectus.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3" w:name="page14"/>
    <w:bookmarkEnd w:id="13"/>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05" w:lineRule="exact"/>
        <w:rPr>
          <w:sz w:val="20"/>
          <w:szCs w:val="20"/>
          <w:color w:val="auto"/>
        </w:rPr>
      </w:pPr>
    </w:p>
    <w:p>
      <w:pPr>
        <w:jc w:val="both"/>
        <w:ind w:left="940" w:right="979" w:firstLine="304"/>
        <w:spacing w:after="0" w:line="265" w:lineRule="auto"/>
        <w:rPr>
          <w:sz w:val="20"/>
          <w:szCs w:val="20"/>
          <w:color w:val="auto"/>
        </w:rPr>
      </w:pPr>
      <w:r>
        <w:rPr>
          <w:rFonts w:ascii="Times New Roman" w:cs="Times New Roman" w:eastAsia="Times New Roman" w:hAnsi="Times New Roman"/>
          <w:sz w:val="15"/>
          <w:szCs w:val="15"/>
          <w:color w:val="auto"/>
        </w:rPr>
        <w:t>We are registering an aggregate of up to 6,209,000 shares of Common Stock issuable upon the exercise of up to 6,209,000 Warrants. We will receive proceeds of up to approximately $2,366,871 from the exercise of the Warrants, assuming the exercise in full of all of the Warrants for cash at an exercise price per Warrant of $0.3812, the exercise price as of September 5, 2025.</w:t>
      </w:r>
    </w:p>
    <w:p>
      <w:pPr>
        <w:spacing w:after="0" w:line="1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No party has acted as an underwriter or placement agent in connection with the transaction.</w:t>
      </w:r>
    </w:p>
    <w:p>
      <w:pPr>
        <w:spacing w:after="0" w:line="101" w:lineRule="exact"/>
        <w:rPr>
          <w:sz w:val="20"/>
          <w:szCs w:val="20"/>
          <w:color w:val="auto"/>
        </w:rPr>
      </w:pPr>
    </w:p>
    <w:p>
      <w:pPr>
        <w:ind w:left="940" w:right="979" w:firstLine="304"/>
        <w:spacing w:after="0" w:line="271" w:lineRule="auto"/>
        <w:rPr>
          <w:sz w:val="20"/>
          <w:szCs w:val="20"/>
          <w:color w:val="auto"/>
        </w:rPr>
      </w:pPr>
      <w:r>
        <w:rPr>
          <w:rFonts w:ascii="Times New Roman" w:cs="Times New Roman" w:eastAsia="Times New Roman" w:hAnsi="Times New Roman"/>
          <w:sz w:val="15"/>
          <w:szCs w:val="15"/>
          <w:color w:val="auto"/>
        </w:rPr>
        <w:t>The shares of Common Stock that may be issued in this offering will be listed on Nasdaq. The shares of Common Stock will be delivered only in book-entry form on the records of our transfer agent only upon our election to issue shares of our Common Stock.</w:t>
      </w:r>
    </w:p>
    <w:p>
      <w:pPr>
        <w:spacing w:after="0" w:line="54" w:lineRule="exact"/>
        <w:rPr>
          <w:sz w:val="20"/>
          <w:szCs w:val="20"/>
          <w:color w:val="auto"/>
        </w:rPr>
      </w:pPr>
    </w:p>
    <w:p>
      <w:pPr>
        <w:jc w:val="both"/>
        <w:ind w:left="940" w:right="999" w:firstLine="304"/>
        <w:spacing w:after="0" w:line="271" w:lineRule="auto"/>
        <w:rPr>
          <w:sz w:val="20"/>
          <w:szCs w:val="20"/>
          <w:color w:val="auto"/>
        </w:rPr>
      </w:pPr>
      <w:r>
        <w:rPr>
          <w:rFonts w:ascii="Times New Roman" w:cs="Times New Roman" w:eastAsia="Times New Roman" w:hAnsi="Times New Roman"/>
          <w:sz w:val="15"/>
          <w:szCs w:val="15"/>
          <w:color w:val="auto"/>
        </w:rPr>
        <w:t>The expenses directly related to this offering are estimated to be approximately $10,000 and will be paid by us. Expenses of the offering include our SEC registration fee, legal and accounting fees and expenses and transfer agent fees.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4" w:name="page15"/>
    <w:bookmarkEnd w:id="14"/>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05" w:lineRule="exact"/>
        <w:rPr>
          <w:sz w:val="20"/>
          <w:szCs w:val="20"/>
          <w:color w:val="auto"/>
        </w:rPr>
      </w:pPr>
    </w:p>
    <w:p>
      <w:pPr>
        <w:ind w:left="940" w:right="1859" w:firstLine="304"/>
        <w:spacing w:after="0" w:line="288" w:lineRule="auto"/>
        <w:rPr>
          <w:sz w:val="20"/>
          <w:szCs w:val="20"/>
          <w:color w:val="auto"/>
        </w:rPr>
      </w:pPr>
      <w:r>
        <w:rPr>
          <w:rFonts w:ascii="Times New Roman" w:cs="Times New Roman" w:eastAsia="Times New Roman" w:hAnsi="Times New Roman"/>
          <w:sz w:val="15"/>
          <w:szCs w:val="15"/>
          <w:color w:val="auto"/>
        </w:rPr>
        <w:t>The validity of the securities offered by this prospectus supplement will be passed upon for us by DLA Piper LLP (US), New York, New York.</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05" w:lineRule="exact"/>
        <w:rPr>
          <w:sz w:val="20"/>
          <w:szCs w:val="20"/>
          <w:color w:val="auto"/>
        </w:rPr>
      </w:pPr>
    </w:p>
    <w:p>
      <w:pPr>
        <w:ind w:left="940" w:right="959" w:firstLine="304"/>
        <w:spacing w:after="0" w:line="258" w:lineRule="auto"/>
        <w:rPr>
          <w:sz w:val="20"/>
          <w:szCs w:val="20"/>
          <w:color w:val="auto"/>
        </w:rPr>
      </w:pPr>
      <w:r>
        <w:rPr>
          <w:rFonts w:ascii="Times New Roman" w:cs="Times New Roman" w:eastAsia="Times New Roman" w:hAnsi="Times New Roman"/>
          <w:sz w:val="15"/>
          <w:szCs w:val="15"/>
          <w:color w:val="auto"/>
        </w:rPr>
        <w:t>The financial statements and management’s assessment of the effectiveness of internal control over financial reporting (which is included in Management’s Report on Internal Control over Financial Reporting) incorporated by reference in this prospectus supplement by reference to the Annual Report on Form 10-K for the year ended May 31, 2025 have been so incorporated in reliance on the report (which contains a paragraph relating to the effectiveness of internal control over financial reporting due to the exclusion of the Craft Acquisition II, which includes Atwater Brewery, Hop Valley Brewing Company, Terrapin Beer Co., and Revolver Brewing, because they were acquired by the Company in purchase business combinations during the year ended May 31, 2025) of PricewaterhouseCoopers LLP, an independent registered public accounting firm, given on the authority of said firm as experts in auditing and accounting.</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05" w:lineRule="exact"/>
        <w:rPr>
          <w:sz w:val="20"/>
          <w:szCs w:val="20"/>
          <w:color w:val="auto"/>
        </w:rPr>
      </w:pPr>
    </w:p>
    <w:p>
      <w:pPr>
        <w:ind w:left="940" w:right="979" w:firstLine="304"/>
        <w:spacing w:after="0" w:line="259" w:lineRule="auto"/>
        <w:rPr>
          <w:sz w:val="20"/>
          <w:szCs w:val="20"/>
          <w:color w:val="auto"/>
        </w:rPr>
      </w:pPr>
      <w:r>
        <w:rPr>
          <w:rFonts w:ascii="Times New Roman" w:cs="Times New Roman" w:eastAsia="Times New Roman" w:hAnsi="Times New Roman"/>
          <w:sz w:val="15"/>
          <w:szCs w:val="15"/>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supplement and the inclusion of our website address in this prospectus supplement is an inactive textual reference only.</w:t>
      </w:r>
    </w:p>
    <w:p>
      <w:pPr>
        <w:spacing w:after="0" w:line="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This prospectus supplement is part of the Registration Statement and does not contain all the information</w:t>
      </w:r>
    </w:p>
    <w:p>
      <w:pPr>
        <w:spacing w:after="0" w:line="25" w:lineRule="exact"/>
        <w:rPr>
          <w:sz w:val="20"/>
          <w:szCs w:val="20"/>
          <w:color w:val="auto"/>
        </w:rPr>
      </w:pPr>
    </w:p>
    <w:p>
      <w:pPr>
        <w:ind w:left="940" w:right="979"/>
        <w:spacing w:after="0" w:line="257" w:lineRule="auto"/>
        <w:rPr>
          <w:sz w:val="20"/>
          <w:szCs w:val="20"/>
          <w:color w:val="auto"/>
        </w:rPr>
      </w:pPr>
      <w:r>
        <w:rPr>
          <w:rFonts w:ascii="Times New Roman" w:cs="Times New Roman" w:eastAsia="Times New Roman" w:hAnsi="Times New Roman"/>
          <w:sz w:val="15"/>
          <w:szCs w:val="15"/>
          <w:color w:val="auto"/>
        </w:rPr>
        <w:t>set forth or incorporated by reference in the Registration Statement. Whenever a reference is made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5" w:name="page16"/>
    <w:bookmarkEnd w:id="15"/>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05" w:lineRule="exact"/>
        <w:rPr>
          <w:sz w:val="20"/>
          <w:szCs w:val="20"/>
          <w:color w:val="auto"/>
        </w:rPr>
      </w:pPr>
    </w:p>
    <w:p>
      <w:pPr>
        <w:ind w:left="940" w:right="1079" w:firstLine="304"/>
        <w:spacing w:after="0" w:line="260" w:lineRule="auto"/>
        <w:rPr>
          <w:sz w:val="20"/>
          <w:szCs w:val="20"/>
          <w:color w:val="auto"/>
        </w:rPr>
      </w:pPr>
      <w:r>
        <w:rPr>
          <w:rFonts w:ascii="Times New Roman" w:cs="Times New Roman" w:eastAsia="Times New Roman" w:hAnsi="Times New Roman"/>
          <w:sz w:val="15"/>
          <w:szCs w:val="15"/>
          <w:color w:val="auto"/>
        </w:rPr>
        <w:t>The SEC allows us to “incorporate by reference” into this prospectus supplement certain information. This means that we can disclose important information to you by referring you to those documents that contain the information. The information we incorporate by reference is considered a part of this prospectus supplement. We incorporate by reference into this prospectus supplement the documents listed below that we have filed with the SEC. Any report or information within any of the documents referenced below that is furnished, but not filed, shall not be incorporated by reference into this prospectus supplement.</w:t>
      </w:r>
    </w:p>
    <w:p>
      <w:pPr>
        <w:spacing w:after="0" w:line="65" w:lineRule="exact"/>
        <w:rPr>
          <w:sz w:val="20"/>
          <w:szCs w:val="20"/>
          <w:color w:val="auto"/>
        </w:rPr>
      </w:pPr>
    </w:p>
    <w:p>
      <w:pPr>
        <w:ind w:left="1540" w:right="1119" w:hanging="290"/>
        <w:spacing w:after="0" w:line="288" w:lineRule="auto"/>
        <w:tabs>
          <w:tab w:leader="none" w:pos="1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w:t>
      </w:r>
      <w:hyperlink r:id="rId23">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fiscal year ended May 31, 2025, filed with the SEC on July 29, 2025;</w:t>
      </w:r>
    </w:p>
    <w:p>
      <w:pPr>
        <w:spacing w:after="0" w:line="42" w:lineRule="exact"/>
        <w:rPr>
          <w:rFonts w:ascii="Times New Roman" w:cs="Times New Roman" w:eastAsia="Times New Roman" w:hAnsi="Times New Roman"/>
          <w:sz w:val="15"/>
          <w:szCs w:val="15"/>
          <w:color w:val="auto"/>
        </w:rPr>
      </w:pPr>
    </w:p>
    <w:p>
      <w:pPr>
        <w:ind w:left="1540" w:right="1319" w:hanging="290"/>
        <w:spacing w:after="0" w:line="271" w:lineRule="auto"/>
        <w:tabs>
          <w:tab w:leader="none" w:pos="1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specifically incorporated by reference into the Form 10-K for the fiscal year ended May 31, 2024 from our definitive proxy statement on Schedule 14A, filed on </w:t>
      </w:r>
      <w:hyperlink r:id="rId24">
        <w:r>
          <w:rPr>
            <w:rFonts w:ascii="Times New Roman" w:cs="Times New Roman" w:eastAsia="Times New Roman" w:hAnsi="Times New Roman"/>
            <w:sz w:val="15"/>
            <w:szCs w:val="15"/>
            <w:u w:val="single" w:color="auto"/>
            <w:color w:val="0000EE"/>
          </w:rPr>
          <w:t>September 27, 2024</w:t>
        </w:r>
      </w:hyperlink>
      <w:r>
        <w:rPr>
          <w:rFonts w:ascii="Times New Roman" w:cs="Times New Roman" w:eastAsia="Times New Roman" w:hAnsi="Times New Roman"/>
          <w:sz w:val="15"/>
          <w:szCs w:val="15"/>
          <w:color w:val="auto"/>
        </w:rPr>
        <w:t>, as amended; and</w:t>
      </w:r>
    </w:p>
    <w:p>
      <w:pPr>
        <w:spacing w:after="0" w:line="54" w:lineRule="exact"/>
        <w:rPr>
          <w:rFonts w:ascii="Times New Roman" w:cs="Times New Roman" w:eastAsia="Times New Roman" w:hAnsi="Times New Roman"/>
          <w:sz w:val="15"/>
          <w:szCs w:val="15"/>
          <w:color w:val="auto"/>
        </w:rPr>
      </w:pPr>
    </w:p>
    <w:p>
      <w:pPr>
        <w:ind w:left="1540" w:right="1079" w:hanging="290"/>
        <w:spacing w:after="0" w:line="264" w:lineRule="auto"/>
        <w:tabs>
          <w:tab w:leader="none" w:pos="1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securities as set forth in our registration statement on Form 8-A/A (File No. 001-38594), filed with the SEC on </w:t>
      </w:r>
      <w:hyperlink r:id="rId25">
        <w:r>
          <w:rPr>
            <w:rFonts w:ascii="Times New Roman" w:cs="Times New Roman" w:eastAsia="Times New Roman" w:hAnsi="Times New Roman"/>
            <w:sz w:val="15"/>
            <w:szCs w:val="15"/>
            <w:u w:val="single" w:color="auto"/>
            <w:color w:val="0000EE"/>
          </w:rPr>
          <w:t>October 1, 2020</w:t>
        </w:r>
      </w:hyperlink>
      <w:r>
        <w:rPr>
          <w:rFonts w:ascii="Times New Roman" w:cs="Times New Roman" w:eastAsia="Times New Roman" w:hAnsi="Times New Roman"/>
          <w:sz w:val="15"/>
          <w:szCs w:val="15"/>
          <w:color w:val="auto"/>
        </w:rPr>
        <w:t xml:space="preserve">, pursuant to Section 12(b) of the Exchange Act, including the description contained in </w:t>
      </w:r>
      <w:hyperlink r:id="rId26">
        <w:r>
          <w:rPr>
            <w:rFonts w:ascii="Times New Roman" w:cs="Times New Roman" w:eastAsia="Times New Roman" w:hAnsi="Times New Roman"/>
            <w:sz w:val="15"/>
            <w:szCs w:val="15"/>
            <w:u w:val="single" w:color="auto"/>
            <w:color w:val="0000EE"/>
          </w:rPr>
          <w:t>Exhibit 4.3</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to our Annual Report on Form 10-K for the fiscal year ended May 31, 2025, and any subsequent amendments or reports filed for the purpose of updating such description.</w:t>
      </w:r>
    </w:p>
    <w:p>
      <w:pPr>
        <w:spacing w:after="0" w:line="244" w:lineRule="exact"/>
        <w:rPr>
          <w:rFonts w:ascii="Times New Roman" w:cs="Times New Roman" w:eastAsia="Times New Roman" w:hAnsi="Times New Roman"/>
          <w:sz w:val="15"/>
          <w:szCs w:val="15"/>
          <w:color w:val="auto"/>
        </w:rPr>
      </w:pPr>
    </w:p>
    <w:p>
      <w:pPr>
        <w:ind w:left="940" w:right="1079" w:firstLine="304"/>
        <w:spacing w:after="0" w:line="260" w:lineRule="auto"/>
        <w:rPr>
          <w:sz w:val="20"/>
          <w:szCs w:val="20"/>
          <w:color w:val="auto"/>
        </w:rPr>
      </w:pPr>
      <w:r>
        <w:rPr>
          <w:rFonts w:ascii="Times New Roman" w:cs="Times New Roman" w:eastAsia="Times New Roman" w:hAnsi="Times New Roman"/>
          <w:sz w:val="15"/>
          <w:szCs w:val="15"/>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www.tilray.com. Information contained on, or that can be accessed through, our website is not a part of this prospectus supplement and the inclusion of our website address in this prospectus supplement is an inactive textual reference only.</w:t>
      </w:r>
    </w:p>
    <w:p>
      <w:pPr>
        <w:spacing w:after="0" w:line="65" w:lineRule="exact"/>
        <w:rPr>
          <w:rFonts w:ascii="Times New Roman" w:cs="Times New Roman" w:eastAsia="Times New Roman" w:hAnsi="Times New Roman"/>
          <w:sz w:val="15"/>
          <w:szCs w:val="15"/>
          <w:color w:val="auto"/>
        </w:rPr>
      </w:pPr>
    </w:p>
    <w:p>
      <w:pPr>
        <w:ind w:left="940" w:right="1019" w:firstLine="304"/>
        <w:spacing w:after="0" w:line="258" w:lineRule="auto"/>
        <w:rPr>
          <w:sz w:val="20"/>
          <w:szCs w:val="20"/>
          <w:color w:val="auto"/>
        </w:rPr>
      </w:pPr>
      <w:r>
        <w:rPr>
          <w:rFonts w:ascii="Times New Roman" w:cs="Times New Roman" w:eastAsia="Times New Roman" w:hAnsi="Times New Roman"/>
          <w:sz w:val="15"/>
          <w:szCs w:val="15"/>
          <w:color w:val="auto"/>
        </w:rPr>
        <w:t>We also incorporate by reference in this prospectus supplement any future filings that we make with the SEC under Section 13(a), 13(c), 14 or 15(d) of the Exchange Act until we sell all the securities to which this prospectus supplement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supplement will be deemed modified, superseded or replaced for purposes of this prospectus supplement to the extent that a statement contained in this prospectus supplement modifies, supersedes or replaces such statement.</w:t>
      </w:r>
    </w:p>
    <w:p>
      <w:pPr>
        <w:spacing w:after="0" w:line="295"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Tilray Brands, Inc.</w:t>
      </w:r>
    </w:p>
    <w:p>
      <w:pPr>
        <w:spacing w:after="0" w:line="25"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265 Talbot Street West</w:t>
      </w:r>
    </w:p>
    <w:p>
      <w:pPr>
        <w:spacing w:after="0" w:line="10" w:lineRule="exact"/>
        <w:rPr>
          <w:rFonts w:ascii="Times New Roman" w:cs="Times New Roman" w:eastAsia="Times New Roman" w:hAnsi="Times New Roman"/>
          <w:sz w:val="15"/>
          <w:szCs w:val="15"/>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Leamington, Ontario, Canada</w:t>
      </w:r>
    </w:p>
    <w:p>
      <w:pPr>
        <w:spacing w:after="0" w:line="10" w:lineRule="exact"/>
        <w:rPr>
          <w:rFonts w:ascii="Times New Roman" w:cs="Times New Roman" w:eastAsia="Times New Roman" w:hAnsi="Times New Roman"/>
          <w:sz w:val="15"/>
          <w:szCs w:val="15"/>
          <w:color w:val="auto"/>
        </w:rPr>
      </w:pPr>
    </w:p>
    <w:p>
      <w:pPr>
        <w:ind w:left="4360" w:right="4039" w:hanging="331"/>
        <w:spacing w:after="0" w:line="521" w:lineRule="auto"/>
        <w:tabs>
          <w:tab w:leader="none" w:pos="439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845-7291 S-13</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-93345</wp:posOffset>
            </wp:positionH>
            <wp:positionV relativeFrom="paragraph">
              <wp:posOffset>-33655</wp:posOffset>
            </wp:positionV>
            <wp:extent cx="590804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6" w:name="page17"/>
    <w:bookmarkEnd w:id="16"/>
    <w:p>
      <w:pPr>
        <w:ind w:left="10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1774190</wp:posOffset>
            </wp:positionH>
            <wp:positionV relativeFrom="paragraph">
              <wp:posOffset>155575</wp:posOffset>
            </wp:positionV>
            <wp:extent cx="2179320" cy="586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2179320" cy="58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5"/>
          <w:szCs w:val="15"/>
          <w:color w:val="auto"/>
        </w:rPr>
        <w:t> </w:t>
      </w:r>
    </w:p>
    <w:p>
      <w:pPr>
        <w:spacing w:after="0" w:line="188"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5"/>
          <w:szCs w:val="15"/>
          <w:b w:val="1"/>
          <w:bCs w:val="1"/>
          <w:color w:val="auto"/>
        </w:rPr>
        <w:t>Class 2 Common Stock</w:t>
      </w:r>
    </w:p>
    <w:p>
      <w:pPr>
        <w:spacing w:after="0" w:line="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1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177" w:lineRule="exact"/>
        <w:rPr>
          <w:sz w:val="20"/>
          <w:szCs w:val="20"/>
          <w:color w:val="auto"/>
        </w:rPr>
      </w:pPr>
    </w:p>
    <w:p>
      <w:pPr>
        <w:ind w:left="1040" w:right="1059"/>
        <w:spacing w:after="0" w:line="262" w:lineRule="auto"/>
        <w:rPr>
          <w:sz w:val="20"/>
          <w:szCs w:val="20"/>
          <w:color w:val="auto"/>
        </w:rPr>
      </w:pPr>
      <w:r>
        <w:rPr>
          <w:rFonts w:ascii="Times New Roman" w:cs="Times New Roman" w:eastAsia="Times New Roman" w:hAnsi="Times New Roman"/>
          <w:sz w:val="15"/>
          <w:szCs w:val="15"/>
          <w:color w:val="auto"/>
        </w:rPr>
        <w:t>From time to time, we or selling securityholders may offer and sell any combination of the securities described in this prospectus, either individually or in combination with other securities. We or selling securityholders may also offer Class 2 common stock or preferred stock upon conversion of debt securities, Class 2 common stock upon conversion of preferred stock, or Class 2 common stock, preferred stock or debt securities upon the exercise of warrants.</w:t>
      </w:r>
    </w:p>
    <w:p>
      <w:pPr>
        <w:spacing w:after="0" w:line="153" w:lineRule="exact"/>
        <w:rPr>
          <w:sz w:val="20"/>
          <w:szCs w:val="20"/>
          <w:color w:val="auto"/>
        </w:rPr>
      </w:pPr>
    </w:p>
    <w:p>
      <w:pPr>
        <w:ind w:left="1040" w:right="1119"/>
        <w:spacing w:after="0" w:line="259" w:lineRule="auto"/>
        <w:rPr>
          <w:sz w:val="20"/>
          <w:szCs w:val="20"/>
          <w:color w:val="auto"/>
        </w:rPr>
      </w:pPr>
      <w:r>
        <w:rPr>
          <w:rFonts w:ascii="Times New Roman" w:cs="Times New Roman" w:eastAsia="Times New Roman" w:hAnsi="Times New Roman"/>
          <w:sz w:val="15"/>
          <w:szCs w:val="15"/>
          <w:color w:val="auto"/>
        </w:rPr>
        <w:t>Each time we sell securities pursuant to this prospectus, we will provide the specific terms of these offerings and securities in one or more prospectus supplements and attach it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the documents incorporated by reference, before buying any of the securities being offered.</w:t>
      </w:r>
    </w:p>
    <w:p>
      <w:pPr>
        <w:spacing w:after="0" w:line="156" w:lineRule="exact"/>
        <w:rPr>
          <w:sz w:val="20"/>
          <w:szCs w:val="20"/>
          <w:color w:val="auto"/>
        </w:rPr>
      </w:pPr>
    </w:p>
    <w:p>
      <w:pPr>
        <w:ind w:left="1040" w:right="1099"/>
        <w:spacing w:after="0" w:line="260" w:lineRule="auto"/>
        <w:rPr>
          <w:sz w:val="20"/>
          <w:szCs w:val="20"/>
          <w:color w:val="auto"/>
        </w:rPr>
      </w:pPr>
      <w:r>
        <w:rPr>
          <w:rFonts w:ascii="Times New Roman" w:cs="Times New Roman" w:eastAsia="Times New Roman" w:hAnsi="Times New Roman"/>
          <w:sz w:val="15"/>
          <w:szCs w:val="15"/>
          <w:color w:val="auto"/>
        </w:rPr>
        <w:t>Our Class 2 common stock is listed on The Nasdaq Global Select Market and the Toronto Stock Exchange under the trading symbol “TLRY.” On October 4, 2022, the last sale price of our Class 2 common stock was $3.00 per share on The Nasdaq Global Select Market and C$4.05 per share on the Toronto Stock Exchange. The applicable prospectus supplement will contain information, where applicable, as to other listings, if any, on The Nasdaq Global Select Market or other securities exchange of the securities covered by the applicable prospectus supplement.</w:t>
      </w:r>
    </w:p>
    <w:p>
      <w:pPr>
        <w:spacing w:after="0" w:line="152" w:lineRule="exact"/>
        <w:rPr>
          <w:sz w:val="20"/>
          <w:szCs w:val="20"/>
          <w:color w:val="auto"/>
        </w:rPr>
      </w:pPr>
    </w:p>
    <w:p>
      <w:pPr>
        <w:ind w:left="1040" w:right="1159"/>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Investing in our securities involves a high degree of risk. You should review carefully the risks and uncertainties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45" w:lineRule="exact"/>
        <w:rPr>
          <w:sz w:val="20"/>
          <w:szCs w:val="20"/>
          <w:color w:val="auto"/>
        </w:rPr>
      </w:pPr>
    </w:p>
    <w:p>
      <w:pPr>
        <w:ind w:left="1040" w:right="1079"/>
        <w:spacing w:after="0" w:line="273" w:lineRule="auto"/>
        <w:rPr>
          <w:sz w:val="20"/>
          <w:szCs w:val="20"/>
          <w:color w:val="auto"/>
        </w:rPr>
      </w:pPr>
      <w:r>
        <w:rPr>
          <w:rFonts w:ascii="Times New Roman" w:cs="Times New Roman" w:eastAsia="Times New Roman" w:hAnsi="Times New Roman"/>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date of this prospectus is October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7" w:name="page18"/>
    <w:bookmarkEnd w:id="17"/>
    <w:tbl>
      <w:tblPr>
        <w:tblLayout w:type="fixed"/>
        <w:tblInd w:w="940" w:type="dxa"/>
        <w:tblCellMar>
          <w:top w:w="0" w:type="dxa"/>
          <w:left w:w="0" w:type="dxa"/>
          <w:bottom w:w="0" w:type="dxa"/>
          <w:right w:w="0" w:type="dxa"/>
        </w:tblCellMar>
      </w:tblPr>
      <w:tr>
        <w:trPr>
          <w:trHeight w:val="138"/>
        </w:trPr>
        <w:tc>
          <w:tcPr>
            <w:tcW w:w="6580" w:type="dxa"/>
            <w:vAlign w:val="bottom"/>
            <w:gridSpan w:val="17"/>
          </w:tcPr>
          <w:p>
            <w:pPr>
              <w:spacing w:after="0"/>
              <w:rPr>
                <w:sz w:val="20"/>
                <w:szCs w:val="20"/>
                <w:color w:val="auto"/>
              </w:rPr>
            </w:pPr>
            <w:r>
              <w:rPr>
                <w:rFonts w:ascii="Times New Roman" w:cs="Times New Roman" w:eastAsia="Times New Roman" w:hAnsi="Times New Roman"/>
                <w:sz w:val="12"/>
                <w:szCs w:val="12"/>
                <w:b w:val="1"/>
                <w:bCs w:val="1"/>
                <w:color w:val="0000EE"/>
              </w:rPr>
              <w:t>TABLE OF CONTENTS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20" w:type="dxa"/>
            <w:vAlign w:val="bottom"/>
            <w:gridSpan w:val="4"/>
          </w:tcPr>
          <w:p>
            <w:pPr>
              <w:ind w:left="2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5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5"/>
                <w:szCs w:val="15"/>
                <w:color w:val="0000EE"/>
              </w:rPr>
              <w:t>ABOUT THIS PROSPECTUS</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5"/>
                <w:szCs w:val="15"/>
                <w:color w:val="0000EE"/>
                <w:w w:val="95"/>
              </w:rPr>
              <w:t>ii</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1860" w:type="dxa"/>
            <w:vAlign w:val="bottom"/>
            <w:gridSpan w:val="8"/>
          </w:tcPr>
          <w:p>
            <w:pPr>
              <w:spacing w:after="0" w:line="160" w:lineRule="exact"/>
              <w:rPr>
                <w:sz w:val="20"/>
                <w:szCs w:val="20"/>
                <w:color w:val="auto"/>
              </w:rPr>
            </w:pPr>
            <w:r>
              <w:rPr>
                <w:rFonts w:ascii="Times New Roman" w:cs="Times New Roman" w:eastAsia="Times New Roman" w:hAnsi="Times New Roman"/>
                <w:sz w:val="15"/>
                <w:szCs w:val="15"/>
                <w:color w:val="0000EE"/>
              </w:rPr>
              <w:t>PROSPECTUS SUMMARY</w:t>
            </w:r>
          </w:p>
        </w:tc>
        <w:tc>
          <w:tcPr>
            <w:tcW w:w="4700" w:type="dxa"/>
            <w:vAlign w:val="bottom"/>
            <w:gridSpan w:val="8"/>
          </w:tcPr>
          <w:p>
            <w:pPr>
              <w:spacing w:after="0"/>
              <w:rPr>
                <w:sz w:val="13"/>
                <w:szCs w:val="13"/>
                <w:color w:val="auto"/>
              </w:rPr>
            </w:pPr>
          </w:p>
        </w:tc>
        <w:tc>
          <w:tcPr>
            <w:tcW w:w="440" w:type="dxa"/>
            <w:vAlign w:val="bottom"/>
            <w:gridSpan w:val="2"/>
          </w:tcPr>
          <w:p>
            <w:pPr>
              <w:spacing w:after="0"/>
              <w:rPr>
                <w:sz w:val="13"/>
                <w:szCs w:val="13"/>
                <w:color w:val="auto"/>
              </w:rPr>
            </w:pPr>
          </w:p>
        </w:tc>
        <w:tc>
          <w:tcPr>
            <w:tcW w:w="10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5"/>
                <w:szCs w:val="15"/>
                <w:color w:val="0000EE"/>
                <w:w w:val="79"/>
              </w:rPr>
              <w:t>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6"/>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RISK FACTORS</w:t>
            </w:r>
          </w:p>
        </w:tc>
        <w:tc>
          <w:tcPr>
            <w:tcW w:w="540" w:type="dxa"/>
            <w:vAlign w:val="bottom"/>
            <w:gridSpan w:val="5"/>
            <w:shd w:val="clear" w:color="auto" w:fill="CCEEFF"/>
          </w:tcPr>
          <w:p>
            <w:pPr>
              <w:jc w:val="center"/>
              <w:ind w:left="364"/>
              <w:spacing w:after="0" w:line="160" w:lineRule="exact"/>
              <w:rPr>
                <w:sz w:val="20"/>
                <w:szCs w:val="20"/>
                <w:color w:val="auto"/>
              </w:rPr>
            </w:pPr>
            <w:r>
              <w:rPr>
                <w:rFonts w:ascii="Times New Roman" w:cs="Times New Roman" w:eastAsia="Times New Roman" w:hAnsi="Times New Roman"/>
                <w:sz w:val="15"/>
                <w:szCs w:val="15"/>
                <w:color w:val="0000EE"/>
                <w:w w:val="79"/>
              </w:rPr>
              <w:t>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6"/>
          </w:tcPr>
          <w:p>
            <w:pPr>
              <w:spacing w:after="0" w:line="160" w:lineRule="exact"/>
              <w:rPr>
                <w:sz w:val="20"/>
                <w:szCs w:val="20"/>
                <w:color w:val="auto"/>
              </w:rPr>
            </w:pPr>
            <w:r>
              <w:rPr>
                <w:rFonts w:ascii="Times New Roman" w:cs="Times New Roman" w:eastAsia="Times New Roman" w:hAnsi="Times New Roman"/>
                <w:sz w:val="15"/>
                <w:szCs w:val="15"/>
                <w:color w:val="0000EE"/>
              </w:rPr>
              <w:t>SPECIAL NOTE REGARDING FORWARD-LOOKING STATEMENTS</w:t>
            </w:r>
          </w:p>
        </w:tc>
        <w:tc>
          <w:tcPr>
            <w:tcW w:w="540" w:type="dxa"/>
            <w:vAlign w:val="bottom"/>
            <w:gridSpan w:val="5"/>
          </w:tcPr>
          <w:p>
            <w:pPr>
              <w:jc w:val="center"/>
              <w:ind w:left="364"/>
              <w:spacing w:after="0" w:line="160" w:lineRule="exact"/>
              <w:rPr>
                <w:sz w:val="20"/>
                <w:szCs w:val="20"/>
                <w:color w:val="auto"/>
              </w:rPr>
            </w:pPr>
            <w:r>
              <w:rPr>
                <w:rFonts w:ascii="Times New Roman" w:cs="Times New Roman" w:eastAsia="Times New Roman" w:hAnsi="Times New Roman"/>
                <w:sz w:val="15"/>
                <w:szCs w:val="15"/>
                <w:color w:val="0000EE"/>
                <w:w w:val="79"/>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6"/>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USE OF PROCEEDS</w:t>
            </w:r>
          </w:p>
        </w:tc>
        <w:tc>
          <w:tcPr>
            <w:tcW w:w="540" w:type="dxa"/>
            <w:vAlign w:val="bottom"/>
            <w:gridSpan w:val="5"/>
            <w:shd w:val="clear" w:color="auto" w:fill="CCEEFF"/>
          </w:tcPr>
          <w:p>
            <w:pPr>
              <w:jc w:val="center"/>
              <w:ind w:left="364"/>
              <w:spacing w:after="0" w:line="160" w:lineRule="exact"/>
              <w:rPr>
                <w:sz w:val="20"/>
                <w:szCs w:val="20"/>
                <w:color w:val="auto"/>
              </w:rPr>
            </w:pPr>
            <w:r>
              <w:rPr>
                <w:rFonts w:ascii="Times New Roman" w:cs="Times New Roman" w:eastAsia="Times New Roman" w:hAnsi="Times New Roman"/>
                <w:sz w:val="15"/>
                <w:szCs w:val="15"/>
                <w:color w:val="0000EE"/>
                <w:w w:val="79"/>
              </w:rPr>
              <w:t>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6"/>
          </w:tcPr>
          <w:p>
            <w:pPr>
              <w:spacing w:after="0" w:line="160"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540" w:type="dxa"/>
            <w:vAlign w:val="bottom"/>
            <w:gridSpan w:val="5"/>
          </w:tcPr>
          <w:p>
            <w:pPr>
              <w:jc w:val="center"/>
              <w:ind w:left="364"/>
              <w:spacing w:after="0" w:line="160" w:lineRule="exact"/>
              <w:rPr>
                <w:sz w:val="20"/>
                <w:szCs w:val="20"/>
                <w:color w:val="auto"/>
              </w:rPr>
            </w:pPr>
            <w:r>
              <w:rPr>
                <w:rFonts w:ascii="Times New Roman" w:cs="Times New Roman" w:eastAsia="Times New Roman" w:hAnsi="Times New Roman"/>
                <w:sz w:val="15"/>
                <w:szCs w:val="15"/>
                <w:color w:val="0000EE"/>
                <w:w w:val="79"/>
              </w:rPr>
              <w:t>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6560" w:type="dxa"/>
            <w:vAlign w:val="bottom"/>
            <w:gridSpan w:val="16"/>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DESCRIPTION OF DEBT SECURITIES</w:t>
            </w:r>
          </w:p>
        </w:tc>
        <w:tc>
          <w:tcPr>
            <w:tcW w:w="540" w:type="dxa"/>
            <w:vAlign w:val="bottom"/>
            <w:gridSpan w:val="5"/>
            <w:shd w:val="clear" w:color="auto" w:fill="CCEEFF"/>
          </w:tcPr>
          <w:p>
            <w:pPr>
              <w:jc w:val="center"/>
              <w:ind w:left="304"/>
              <w:spacing w:after="0" w:line="160" w:lineRule="exact"/>
              <w:rPr>
                <w:sz w:val="20"/>
                <w:szCs w:val="20"/>
                <w:color w:val="auto"/>
              </w:rPr>
            </w:pPr>
            <w:r>
              <w:rPr>
                <w:rFonts w:ascii="Times New Roman" w:cs="Times New Roman" w:eastAsia="Times New Roman" w:hAnsi="Times New Roman"/>
                <w:sz w:val="15"/>
                <w:szCs w:val="15"/>
                <w:color w:val="0000EE"/>
              </w:rPr>
              <w:t>14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40" w:type="dxa"/>
            <w:vAlign w:val="bottom"/>
            <w:tcBorders>
              <w:top w:val="single" w:sz="8" w:color="0000EE"/>
            </w:tcBorders>
            <w:gridSpan w:val="12"/>
          </w:tcPr>
          <w:p>
            <w:pPr>
              <w:spacing w:after="0" w:line="160" w:lineRule="exact"/>
              <w:rPr>
                <w:sz w:val="20"/>
                <w:szCs w:val="20"/>
                <w:color w:val="auto"/>
              </w:rPr>
            </w:pPr>
            <w:r>
              <w:rPr>
                <w:rFonts w:ascii="Times New Roman" w:cs="Times New Roman" w:eastAsia="Times New Roman" w:hAnsi="Times New Roman"/>
                <w:sz w:val="15"/>
                <w:szCs w:val="15"/>
                <w:color w:val="0000EE"/>
              </w:rPr>
              <w:t>DESCRIPTION OF WARRANTS</w:t>
            </w:r>
          </w:p>
        </w:tc>
        <w:tc>
          <w:tcPr>
            <w:tcW w:w="4020" w:type="dxa"/>
            <w:vAlign w:val="bottom"/>
            <w:tcBorders>
              <w:top w:val="single" w:sz="8" w:color="CCEEFF"/>
            </w:tcBorders>
            <w:gridSpan w:val="4"/>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60" w:type="dxa"/>
            <w:vAlign w:val="bottom"/>
            <w:tcBorders>
              <w:top w:val="single" w:sz="8" w:color="0000EE"/>
            </w:tcBorders>
            <w:gridSpan w:val="4"/>
          </w:tcPr>
          <w:p>
            <w:pPr>
              <w:jc w:val="center"/>
              <w:spacing w:after="0" w:line="160" w:lineRule="exact"/>
              <w:rPr>
                <w:sz w:val="20"/>
                <w:szCs w:val="20"/>
                <w:color w:val="auto"/>
              </w:rPr>
            </w:pPr>
            <w:r>
              <w:rPr>
                <w:rFonts w:ascii="Times New Roman" w:cs="Times New Roman" w:eastAsia="Times New Roman" w:hAnsi="Times New Roman"/>
                <w:sz w:val="15"/>
                <w:szCs w:val="15"/>
                <w:color w:val="0000EE"/>
              </w:rPr>
              <w:t>20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6560" w:type="dxa"/>
            <w:vAlign w:val="bottom"/>
            <w:gridSpan w:val="16"/>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LEGAL OWNERSHIP OF SECURITIES</w:t>
            </w:r>
          </w:p>
        </w:tc>
        <w:tc>
          <w:tcPr>
            <w:tcW w:w="540" w:type="dxa"/>
            <w:vAlign w:val="bottom"/>
            <w:gridSpan w:val="5"/>
            <w:shd w:val="clear" w:color="auto" w:fill="CCEEFF"/>
          </w:tcPr>
          <w:p>
            <w:pPr>
              <w:jc w:val="center"/>
              <w:ind w:left="304"/>
              <w:spacing w:after="0" w:line="160" w:lineRule="exact"/>
              <w:rPr>
                <w:sz w:val="20"/>
                <w:szCs w:val="20"/>
                <w:color w:val="auto"/>
              </w:rPr>
            </w:pPr>
            <w:r>
              <w:rPr>
                <w:rFonts w:ascii="Times New Roman" w:cs="Times New Roman" w:eastAsia="Times New Roman" w:hAnsi="Times New Roman"/>
                <w:sz w:val="15"/>
                <w:szCs w:val="15"/>
                <w:color w:val="0000EE"/>
              </w:rPr>
              <w:t>22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540" w:type="dxa"/>
            <w:vAlign w:val="bottom"/>
            <w:tcBorders>
              <w:top w:val="single" w:sz="8" w:color="0000EE"/>
            </w:tcBorders>
            <w:gridSpan w:val="12"/>
          </w:tcPr>
          <w:p>
            <w:pPr>
              <w:spacing w:after="0" w:line="160" w:lineRule="exact"/>
              <w:rPr>
                <w:sz w:val="20"/>
                <w:szCs w:val="20"/>
                <w:color w:val="auto"/>
              </w:rPr>
            </w:pPr>
            <w:r>
              <w:rPr>
                <w:rFonts w:ascii="Times New Roman" w:cs="Times New Roman" w:eastAsia="Times New Roman" w:hAnsi="Times New Roman"/>
                <w:sz w:val="15"/>
                <w:szCs w:val="15"/>
                <w:color w:val="0000EE"/>
              </w:rPr>
              <w:t>SELLING SECURITYHOLDERS</w:t>
            </w:r>
          </w:p>
        </w:tc>
        <w:tc>
          <w:tcPr>
            <w:tcW w:w="4020" w:type="dxa"/>
            <w:vAlign w:val="bottom"/>
            <w:tcBorders>
              <w:top w:val="single" w:sz="8" w:color="CCEEFF"/>
            </w:tcBorders>
            <w:gridSpan w:val="4"/>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60" w:type="dxa"/>
            <w:vAlign w:val="bottom"/>
            <w:tcBorders>
              <w:top w:val="single" w:sz="8" w:color="0000EE"/>
            </w:tcBorders>
            <w:gridSpan w:val="4"/>
          </w:tcPr>
          <w:p>
            <w:pPr>
              <w:jc w:val="center"/>
              <w:spacing w:after="0" w:line="160" w:lineRule="exact"/>
              <w:rPr>
                <w:sz w:val="20"/>
                <w:szCs w:val="20"/>
                <w:color w:val="auto"/>
              </w:rPr>
            </w:pPr>
            <w:r>
              <w:rPr>
                <w:rFonts w:ascii="Times New Roman" w:cs="Times New Roman" w:eastAsia="Times New Roman" w:hAnsi="Times New Roman"/>
                <w:sz w:val="15"/>
                <w:szCs w:val="15"/>
                <w:color w:val="0000EE"/>
              </w:rPr>
              <w:t>24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1720" w:type="dxa"/>
            <w:vAlign w:val="bottom"/>
            <w:tcBorders>
              <w:bottom w:val="single" w:sz="8" w:color="0000EE"/>
            </w:tcBorders>
            <w:gridSpan w:val="6"/>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w w:val="99"/>
              </w:rPr>
              <w:t>PLAN OF DISTRIBUTION</w:t>
            </w:r>
          </w:p>
        </w:tc>
        <w:tc>
          <w:tcPr>
            <w:tcW w:w="4840" w:type="dxa"/>
            <w:vAlign w:val="bottom"/>
            <w:tcBorders>
              <w:bottom w:val="single" w:sz="8" w:color="CCEEFF"/>
            </w:tcBorders>
            <w:gridSpan w:val="10"/>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0000EE"/>
            </w:tcBorders>
            <w:gridSpan w:val="4"/>
            <w:shd w:val="clear" w:color="auto" w:fill="CCEEFF"/>
          </w:tcPr>
          <w:p>
            <w:pPr>
              <w:jc w:val="center"/>
              <w:spacing w:after="0" w:line="160" w:lineRule="exact"/>
              <w:rPr>
                <w:sz w:val="20"/>
                <w:szCs w:val="20"/>
                <w:color w:val="auto"/>
              </w:rPr>
            </w:pPr>
            <w:r>
              <w:rPr>
                <w:rFonts w:ascii="Times New Roman" w:cs="Times New Roman" w:eastAsia="Times New Roman" w:hAnsi="Times New Roman"/>
                <w:sz w:val="15"/>
                <w:szCs w:val="15"/>
                <w:color w:val="0000EE"/>
              </w:rPr>
              <w:t>25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60" w:type="dxa"/>
            <w:vAlign w:val="bottom"/>
            <w:gridSpan w:val="16"/>
          </w:tcPr>
          <w:p>
            <w:pPr>
              <w:spacing w:after="0" w:line="160" w:lineRule="exact"/>
              <w:rPr>
                <w:sz w:val="20"/>
                <w:szCs w:val="20"/>
                <w:color w:val="auto"/>
              </w:rPr>
            </w:pPr>
            <w:r>
              <w:rPr>
                <w:rFonts w:ascii="Times New Roman" w:cs="Times New Roman" w:eastAsia="Times New Roman" w:hAnsi="Times New Roman"/>
                <w:sz w:val="15"/>
                <w:szCs w:val="15"/>
                <w:color w:val="0000EE"/>
              </w:rPr>
              <w:t>LEGAL MATTERS</w:t>
            </w:r>
          </w:p>
        </w:tc>
        <w:tc>
          <w:tcPr>
            <w:tcW w:w="540" w:type="dxa"/>
            <w:vAlign w:val="bottom"/>
            <w:gridSpan w:val="5"/>
          </w:tcPr>
          <w:p>
            <w:pPr>
              <w:jc w:val="center"/>
              <w:ind w:left="304"/>
              <w:spacing w:after="0" w:line="160" w:lineRule="exact"/>
              <w:rPr>
                <w:sz w:val="20"/>
                <w:szCs w:val="20"/>
                <w:color w:val="auto"/>
              </w:rPr>
            </w:pPr>
            <w:r>
              <w:rPr>
                <w:rFonts w:ascii="Times New Roman" w:cs="Times New Roman" w:eastAsia="Times New Roman" w:hAnsi="Times New Roman"/>
                <w:sz w:val="15"/>
                <w:szCs w:val="15"/>
                <w:color w:val="0000EE"/>
              </w:rPr>
              <w:t>26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vMerge w:val="continue"/>
          </w:tcPr>
          <w:p>
            <w:pPr>
              <w:spacing w:after="0"/>
              <w:rPr>
                <w:sz w:val="16"/>
                <w:szCs w:val="16"/>
                <w:color w:val="auto"/>
              </w:rPr>
            </w:pPr>
          </w:p>
        </w:tc>
        <w:tc>
          <w:tcPr>
            <w:tcW w:w="640" w:type="dxa"/>
            <w:vAlign w:val="bottom"/>
            <w:tcBorders>
              <w:bottom w:val="single" w:sz="8" w:color="0000EE"/>
            </w:tcBorders>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w w:val="95"/>
              </w:rPr>
              <w:t>EXPERTS</w:t>
            </w:r>
          </w:p>
        </w:tc>
        <w:tc>
          <w:tcPr>
            <w:tcW w:w="5920" w:type="dxa"/>
            <w:vAlign w:val="bottom"/>
            <w:tcBorders>
              <w:bottom w:val="single" w:sz="8" w:color="CCEEFF"/>
            </w:tcBorders>
            <w:gridSpan w:val="15"/>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0000EE"/>
            </w:tcBorders>
            <w:gridSpan w:val="4"/>
            <w:shd w:val="clear" w:color="auto" w:fill="CCEEFF"/>
          </w:tcPr>
          <w:p>
            <w:pPr>
              <w:jc w:val="center"/>
              <w:spacing w:after="0" w:line="160" w:lineRule="exact"/>
              <w:rPr>
                <w:sz w:val="20"/>
                <w:szCs w:val="20"/>
                <w:color w:val="auto"/>
              </w:rPr>
            </w:pPr>
            <w:r>
              <w:rPr>
                <w:rFonts w:ascii="Times New Roman" w:cs="Times New Roman" w:eastAsia="Times New Roman" w:hAnsi="Times New Roman"/>
                <w:sz w:val="15"/>
                <w:szCs w:val="15"/>
                <w:color w:val="0000EE"/>
              </w:rPr>
              <w:t>26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560" w:type="dxa"/>
            <w:vAlign w:val="bottom"/>
            <w:gridSpan w:val="16"/>
          </w:tcPr>
          <w:p>
            <w:pPr>
              <w:spacing w:after="0" w:line="160"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540" w:type="dxa"/>
            <w:vAlign w:val="bottom"/>
            <w:gridSpan w:val="5"/>
          </w:tcPr>
          <w:p>
            <w:pPr>
              <w:jc w:val="center"/>
              <w:ind w:left="304"/>
              <w:spacing w:after="0" w:line="160" w:lineRule="exact"/>
              <w:rPr>
                <w:sz w:val="20"/>
                <w:szCs w:val="20"/>
                <w:color w:val="auto"/>
              </w:rPr>
            </w:pPr>
            <w:r>
              <w:rPr>
                <w:rFonts w:ascii="Times New Roman" w:cs="Times New Roman" w:eastAsia="Times New Roman" w:hAnsi="Times New Roman"/>
                <w:sz w:val="15"/>
                <w:szCs w:val="15"/>
                <w:color w:val="0000EE"/>
              </w:rPr>
              <w:t>27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6560" w:type="dxa"/>
            <w:vAlign w:val="bottom"/>
            <w:gridSpan w:val="16"/>
            <w:shd w:val="clear" w:color="auto" w:fill="CCEEFF"/>
          </w:tcPr>
          <w:p>
            <w:pPr>
              <w:spacing w:after="0" w:line="160" w:lineRule="exact"/>
              <w:rPr>
                <w:sz w:val="20"/>
                <w:szCs w:val="20"/>
                <w:color w:val="auto"/>
              </w:rPr>
            </w:pPr>
            <w:r>
              <w:rPr>
                <w:rFonts w:ascii="Times New Roman" w:cs="Times New Roman" w:eastAsia="Times New Roman" w:hAnsi="Times New Roman"/>
                <w:sz w:val="15"/>
                <w:szCs w:val="15"/>
                <w:color w:val="0000EE"/>
              </w:rPr>
              <w:t>INCORPORATION OF CERTAIN INFORMATION BY REFERENCE</w:t>
            </w:r>
          </w:p>
        </w:tc>
        <w:tc>
          <w:tcPr>
            <w:tcW w:w="540" w:type="dxa"/>
            <w:vAlign w:val="bottom"/>
            <w:gridSpan w:val="5"/>
            <w:shd w:val="clear" w:color="auto" w:fill="CCEEFF"/>
          </w:tcPr>
          <w:p>
            <w:pPr>
              <w:jc w:val="center"/>
              <w:ind w:left="304"/>
              <w:spacing w:after="0" w:line="160" w:lineRule="exact"/>
              <w:rPr>
                <w:sz w:val="20"/>
                <w:szCs w:val="20"/>
                <w:color w:val="auto"/>
              </w:rPr>
            </w:pPr>
            <w:r>
              <w:rPr>
                <w:rFonts w:ascii="Times New Roman" w:cs="Times New Roman" w:eastAsia="Times New Roman" w:hAnsi="Times New Roman"/>
                <w:sz w:val="15"/>
                <w:szCs w:val="15"/>
                <w:color w:val="0000EE"/>
              </w:rPr>
              <w:t>28</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6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16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1" w:right="1440" w:bottom="1440" w:gutter="0" w:footer="0" w:header="0"/>
        </w:sectPr>
      </w:pPr>
    </w:p>
    <w:bookmarkStart w:id="18" w:name="page19"/>
    <w:bookmarkEnd w:id="18"/>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ABOUT THIS PROSPECTUS</w:t>
      </w:r>
    </w:p>
    <w:p>
      <w:pPr>
        <w:spacing w:after="0" w:line="105" w:lineRule="exact"/>
        <w:rPr>
          <w:sz w:val="20"/>
          <w:szCs w:val="20"/>
          <w:color w:val="auto"/>
        </w:rPr>
      </w:pPr>
    </w:p>
    <w:p>
      <w:pPr>
        <w:ind w:left="940" w:right="1159"/>
        <w:spacing w:after="0" w:line="259" w:lineRule="auto"/>
        <w:rPr>
          <w:sz w:val="20"/>
          <w:szCs w:val="20"/>
          <w:color w:val="auto"/>
        </w:rPr>
      </w:pPr>
      <w:r>
        <w:rPr>
          <w:rFonts w:ascii="Times New Roman" w:cs="Times New Roman" w:eastAsia="Times New Roman" w:hAnsi="Times New Roman"/>
          <w:sz w:val="15"/>
          <w:szCs w:val="15"/>
          <w:color w:val="auto"/>
        </w:rPr>
        <w:t>This prospectus is part of a registration statement on Form S-3 that we filed with the Securities and Exchange Commission, or SEC, utilizing a “shelf” registration process. Under this shelf registration process, we or selling securityholders may offer and sell shares of our Class 2 common stock and preferred stock, various series of debt securities and/or warrants to purchase any of such securities, either individually or in combination with other securities, in one or more offerings. There is no limit on the aggregate amount of the securities that we or selling securityholders may offer pursuant to the registration statement of which this prospectus is a part. This prospectus provides you with a general description of the securities we or selling securityholders may offer.</w:t>
      </w:r>
    </w:p>
    <w:p>
      <w:pPr>
        <w:spacing w:after="0" w:line="65" w:lineRule="exact"/>
        <w:rPr>
          <w:sz w:val="20"/>
          <w:szCs w:val="20"/>
          <w:color w:val="auto"/>
        </w:rPr>
      </w:pPr>
    </w:p>
    <w:p>
      <w:pPr>
        <w:ind w:left="940" w:right="959"/>
        <w:spacing w:after="0" w:line="258" w:lineRule="auto"/>
        <w:rPr>
          <w:sz w:val="20"/>
          <w:szCs w:val="20"/>
          <w:color w:val="auto"/>
        </w:rPr>
      </w:pPr>
      <w:r>
        <w:rPr>
          <w:rFonts w:ascii="Times New Roman" w:cs="Times New Roman" w:eastAsia="Times New Roman" w:hAnsi="Times New Roman"/>
          <w:sz w:val="15"/>
          <w:szCs w:val="15"/>
          <w:color w:val="auto"/>
        </w:rPr>
        <w:t>Each time we or selling securityholders offer securities under this prospectus, we will provide a prospectus supplement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 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Certain Information by Reference,” before buying any of the securities being offered.</w:t>
      </w:r>
    </w:p>
    <w:p>
      <w:pPr>
        <w:spacing w:after="0" w:line="288" w:lineRule="exact"/>
        <w:rPr>
          <w:sz w:val="20"/>
          <w:szCs w:val="20"/>
          <w:color w:val="auto"/>
        </w:rPr>
      </w:pPr>
    </w:p>
    <w:p>
      <w:pPr>
        <w:ind w:left="940" w:right="1079"/>
        <w:spacing w:after="0" w:line="294" w:lineRule="auto"/>
        <w:rPr>
          <w:sz w:val="20"/>
          <w:szCs w:val="20"/>
          <w:color w:val="auto"/>
        </w:rPr>
      </w:pPr>
      <w:r>
        <w:rPr>
          <w:rFonts w:ascii="Times New Roman" w:cs="Times New Roman" w:eastAsia="Times New Roman" w:hAnsi="Times New Roman"/>
          <w:sz w:val="15"/>
          <w:szCs w:val="15"/>
          <w:b w:val="1"/>
          <w:bCs w:val="1"/>
          <w:color w:val="auto"/>
        </w:rPr>
        <w:t>This prospectus may not be used to consummate a sale of securities unless it is accompanied by a prospectus supplement.</w:t>
      </w:r>
    </w:p>
    <w:p>
      <w:pPr>
        <w:spacing w:after="0" w:line="37" w:lineRule="exact"/>
        <w:rPr>
          <w:sz w:val="20"/>
          <w:szCs w:val="20"/>
          <w:color w:val="auto"/>
        </w:rPr>
      </w:pPr>
    </w:p>
    <w:p>
      <w:pPr>
        <w:ind w:left="940" w:right="1179"/>
        <w:spacing w:after="0" w:line="262" w:lineRule="auto"/>
        <w:rPr>
          <w:sz w:val="20"/>
          <w:szCs w:val="20"/>
          <w:color w:val="auto"/>
        </w:rPr>
      </w:pPr>
      <w:r>
        <w:rPr>
          <w:rFonts w:ascii="Times New Roman" w:cs="Times New Roman" w:eastAsia="Times New Roman" w:hAnsi="Times New Roman"/>
          <w:sz w:val="15"/>
          <w:szCs w:val="15"/>
          <w:color w:val="auto"/>
        </w:rPr>
        <w:t>You should rely only on the information contained in, or incorporated by reference into, this prospectus and the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62" w:lineRule="exact"/>
        <w:rPr>
          <w:sz w:val="20"/>
          <w:szCs w:val="20"/>
          <w:color w:val="auto"/>
        </w:rPr>
      </w:pPr>
    </w:p>
    <w:p>
      <w:pPr>
        <w:ind w:left="940" w:right="959"/>
        <w:spacing w:after="0" w:line="262" w:lineRule="auto"/>
        <w:rPr>
          <w:sz w:val="20"/>
          <w:szCs w:val="20"/>
          <w:color w:val="auto"/>
        </w:rPr>
      </w:pPr>
      <w:r>
        <w:rPr>
          <w:rFonts w:ascii="Times New Roman" w:cs="Times New Roman" w:eastAsia="Times New Roman" w:hAnsi="Times New Roman"/>
          <w:sz w:val="15"/>
          <w:szCs w:val="15"/>
          <w:color w:val="auto"/>
        </w:rPr>
        <w:t>The information appearing in this prospectus, any applicable prospectus supplement and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the applicable prospectus supplement or any related free writing prospectus, or any sale of a security. Our business, financial condition, results of operations and prospects may have changed since those dates.</w:t>
      </w:r>
    </w:p>
    <w:p>
      <w:pPr>
        <w:spacing w:after="0" w:line="62" w:lineRule="exact"/>
        <w:rPr>
          <w:sz w:val="20"/>
          <w:szCs w:val="20"/>
          <w:color w:val="auto"/>
        </w:rPr>
      </w:pPr>
    </w:p>
    <w:p>
      <w:pPr>
        <w:ind w:left="940" w:right="959"/>
        <w:spacing w:after="0" w:line="260" w:lineRule="auto"/>
        <w:rPr>
          <w:sz w:val="20"/>
          <w:szCs w:val="20"/>
          <w:color w:val="auto"/>
        </w:rPr>
      </w:pPr>
      <w:r>
        <w:rPr>
          <w:rFonts w:ascii="Times New Roman" w:cs="Times New Roman" w:eastAsia="Times New Roman" w:hAnsi="Times New Roman"/>
          <w:sz w:val="15"/>
          <w:szCs w:val="15"/>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More Information.”</w:t>
      </w:r>
    </w:p>
    <w:p>
      <w:pPr>
        <w:spacing w:after="0" w:line="65" w:lineRule="exact"/>
        <w:rPr>
          <w:sz w:val="20"/>
          <w:szCs w:val="20"/>
          <w:color w:val="auto"/>
        </w:rPr>
      </w:pPr>
    </w:p>
    <w:p>
      <w:pPr>
        <w:ind w:left="940" w:right="959"/>
        <w:spacing w:after="0" w:line="258" w:lineRule="auto"/>
        <w:rPr>
          <w:sz w:val="20"/>
          <w:szCs w:val="20"/>
          <w:color w:val="auto"/>
        </w:rPr>
      </w:pPr>
      <w:r>
        <w:rPr>
          <w:rFonts w:ascii="Times New Roman" w:cs="Times New Roman" w:eastAsia="Times New Roman" w:hAnsi="Times New Roman"/>
          <w:sz w:val="15"/>
          <w:szCs w:val="15"/>
          <w:color w:val="auto"/>
        </w:rPr>
        <w:t>Unless the context requires otherwise, references in this prospectus to “Tilray,” the “company,” “we,” “us” and “our” refer to Tilray Brands, Inc. and its wholly owned subsidiaries. Tilray, our logo and our other registered or common law trademarks, trade names or service marks appearing in this prospectus are owned by us.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of the applicable licensor to these trademarks and trade names. Unless otherwise stated in this prospectus, we do not intend our use or display of other companies’ trade names or trademarks to imply a relationship with, or endorsement or sponsorship of us by, any other companies.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9" w:name="page20"/>
    <w:bookmarkEnd w:id="19"/>
    <w:p>
      <w:pPr>
        <w:ind w:left="76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75565</wp:posOffset>
            </wp:positionV>
            <wp:extent cx="4777105" cy="689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777105" cy="6898640"/>
                    </a:xfrm>
                    <a:prstGeom prst="rect">
                      <a:avLst/>
                    </a:prstGeom>
                    <a:noFill/>
                  </pic:spPr>
                </pic:pic>
              </a:graphicData>
            </a:graphic>
          </wp:anchor>
        </w:drawing>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PROSPECTUS SUMMARY</w:t>
      </w:r>
    </w:p>
    <w:p>
      <w:pPr>
        <w:spacing w:after="0" w:line="101" w:lineRule="exact"/>
        <w:rPr>
          <w:sz w:val="20"/>
          <w:szCs w:val="20"/>
          <w:color w:val="auto"/>
        </w:rPr>
      </w:pPr>
    </w:p>
    <w:p>
      <w:pPr>
        <w:ind w:left="960" w:right="939"/>
        <w:spacing w:after="0" w:line="259"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Our Company</w:t>
      </w:r>
    </w:p>
    <w:p>
      <w:pPr>
        <w:spacing w:after="0" w:line="105" w:lineRule="exact"/>
        <w:rPr>
          <w:sz w:val="20"/>
          <w:szCs w:val="20"/>
          <w:color w:val="auto"/>
        </w:rPr>
      </w:pPr>
    </w:p>
    <w:p>
      <w:pPr>
        <w:ind w:left="960" w:right="1019"/>
        <w:spacing w:after="0" w:line="258" w:lineRule="auto"/>
        <w:rPr>
          <w:sz w:val="20"/>
          <w:szCs w:val="20"/>
          <w:color w:val="auto"/>
        </w:rPr>
      </w:pPr>
      <w:r>
        <w:rPr>
          <w:rFonts w:ascii="Times New Roman" w:cs="Times New Roman" w:eastAsia="Times New Roman" w:hAnsi="Times New Roman"/>
          <w:sz w:val="15"/>
          <w:szCs w:val="15"/>
          <w:color w:val="auto"/>
        </w:rPr>
        <w:t>Tilray is a leading global cannabis-lifestyle and consumer packaged goods company with operations in Canada, the United States, Europe, Australia,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unprecedented production platform supports over 20 brands in over 20 countries, including comprehensive cannabis offerings, hemp-based foods, and alcoholic beverages.</w:t>
      </w: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05" w:lineRule="exact"/>
        <w:rPr>
          <w:sz w:val="20"/>
          <w:szCs w:val="20"/>
          <w:color w:val="auto"/>
        </w:rPr>
      </w:pPr>
    </w:p>
    <w:p>
      <w:pPr>
        <w:ind w:left="960" w:right="979"/>
        <w:spacing w:after="0" w:line="260" w:lineRule="auto"/>
        <w:rPr>
          <w:sz w:val="20"/>
          <w:szCs w:val="20"/>
          <w:color w:val="auto"/>
        </w:rPr>
      </w:pPr>
      <w:r>
        <w:rPr>
          <w:rFonts w:ascii="Times New Roman" w:cs="Times New Roman" w:eastAsia="Times New Roman" w:hAnsi="Times New Roman"/>
          <w:sz w:val="15"/>
          <w:szCs w:val="15"/>
          <w:color w:val="auto"/>
        </w:rPr>
        <w:t>Tilray Brands, Inc. was incorporated in Delaware in January 2018. Prior to January 2018, Tilray Brands, Inc. operated its business under Decatur Holdings, BV, a Dutch private limited liability company (“Decatur”), which was formed in March 2016. Decatur was incorporated under the laws of the Netherlands on March 8, 2016 as a wholly-owned subsidiary of Privateer Holdings, Inc. (“Privateer Holdings”) to hold a 100% ownership interest in Tilray Brands, Inc.’s direct and indirect subsidiaries through which Tilray Brands, Inc. operated its business. Decatur was dissolved on December 27, 2018.</w:t>
      </w:r>
    </w:p>
    <w:p>
      <w:pPr>
        <w:spacing w:after="0" w:line="65" w:lineRule="exact"/>
        <w:rPr>
          <w:sz w:val="20"/>
          <w:szCs w:val="20"/>
          <w:color w:val="auto"/>
        </w:rPr>
      </w:pPr>
    </w:p>
    <w:p>
      <w:pPr>
        <w:ind w:left="960" w:right="1139"/>
        <w:spacing w:after="0" w:line="288" w:lineRule="auto"/>
        <w:rPr>
          <w:sz w:val="20"/>
          <w:szCs w:val="20"/>
          <w:color w:val="auto"/>
        </w:rPr>
      </w:pPr>
      <w:r>
        <w:rPr>
          <w:rFonts w:ascii="Times New Roman" w:cs="Times New Roman" w:eastAsia="Times New Roman" w:hAnsi="Times New Roman"/>
          <w:sz w:val="15"/>
          <w:szCs w:val="15"/>
          <w:color w:val="auto"/>
        </w:rPr>
        <w:t>On December 12, 2019, Privateer Holdings merged with and into a wholly owned subsidiary of Tilray pursuant to the agreement and plan of merger and reorganization.</w:t>
      </w:r>
    </w:p>
    <w:p>
      <w:pPr>
        <w:spacing w:after="0" w:line="42" w:lineRule="exact"/>
        <w:rPr>
          <w:sz w:val="20"/>
          <w:szCs w:val="20"/>
          <w:color w:val="auto"/>
        </w:rPr>
      </w:pPr>
    </w:p>
    <w:p>
      <w:pPr>
        <w:ind w:left="960" w:right="979"/>
        <w:spacing w:after="0" w:line="265" w:lineRule="auto"/>
        <w:rPr>
          <w:sz w:val="20"/>
          <w:szCs w:val="20"/>
          <w:color w:val="auto"/>
        </w:rPr>
      </w:pPr>
      <w:r>
        <w:rPr>
          <w:rFonts w:ascii="Times New Roman" w:cs="Times New Roman" w:eastAsia="Times New Roman" w:hAnsi="Times New Roman"/>
          <w:sz w:val="15"/>
          <w:szCs w:val="15"/>
          <w:color w:val="auto"/>
        </w:rPr>
        <w:t>Pursuant to an arrangement agreement, dated as of December 15, 2020, as amended on February 19, 2021, between Tilray and Aphria Inc. (“Aphria”), Tilray implemented an arrangement (the “Arrangement”) under the Business Corporations Act (Ontario) in accordance with a plan of arrangement. The Arrangement was completed on April 30, 2021.</w:t>
      </w:r>
    </w:p>
    <w:p>
      <w:pPr>
        <w:spacing w:after="0" w:line="59" w:lineRule="exact"/>
        <w:rPr>
          <w:sz w:val="20"/>
          <w:szCs w:val="20"/>
          <w:color w:val="auto"/>
        </w:rPr>
      </w:pPr>
    </w:p>
    <w:p>
      <w:pPr>
        <w:ind w:left="960" w:right="1039"/>
        <w:spacing w:after="0" w:line="271" w:lineRule="auto"/>
        <w:rPr>
          <w:sz w:val="20"/>
          <w:szCs w:val="20"/>
          <w:color w:val="auto"/>
        </w:rPr>
      </w:pPr>
      <w:r>
        <w:rPr>
          <w:rFonts w:ascii="Times New Roman" w:cs="Times New Roman" w:eastAsia="Times New Roman" w:hAnsi="Times New Roman"/>
          <w:sz w:val="15"/>
          <w:szCs w:val="15"/>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54" w:lineRule="exact"/>
        <w:rPr>
          <w:sz w:val="20"/>
          <w:szCs w:val="20"/>
          <w:color w:val="auto"/>
        </w:rPr>
      </w:pPr>
    </w:p>
    <w:p>
      <w:pPr>
        <w:ind w:left="960" w:right="1019"/>
        <w:spacing w:after="0" w:line="265" w:lineRule="auto"/>
        <w:rPr>
          <w:sz w:val="20"/>
          <w:szCs w:val="20"/>
          <w:color w:val="auto"/>
        </w:rPr>
      </w:pPr>
      <w:r>
        <w:rPr>
          <w:rFonts w:ascii="Times New Roman" w:cs="Times New Roman" w:eastAsia="Times New Roman" w:hAnsi="Times New Roman"/>
          <w:sz w:val="15"/>
          <w:szCs w:val="15"/>
          <w:color w:val="auto"/>
        </w:rPr>
        <w:t>Tilray’s principal executive offices are located at 265 Talbot Street West, Leamington, Ontario, Canada and its telephone number is (844) 845-7291. Its corporate website address is www.tilray.com. Information contained on or accessible through such website is not a part of this prospectus supplement, and the inclusion of the website address in this prospectus supplement is an inactive textual reference only.</w:t>
      </w:r>
    </w:p>
    <w:p>
      <w:pPr>
        <w:spacing w:after="0" w:line="21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Description of Securities</w:t>
      </w:r>
    </w:p>
    <w:p>
      <w:pPr>
        <w:spacing w:after="0" w:line="105" w:lineRule="exact"/>
        <w:rPr>
          <w:sz w:val="20"/>
          <w:szCs w:val="20"/>
          <w:color w:val="auto"/>
        </w:rPr>
      </w:pPr>
    </w:p>
    <w:p>
      <w:pPr>
        <w:ind w:left="960" w:right="999"/>
        <w:spacing w:after="0" w:line="258" w:lineRule="auto"/>
        <w:rPr>
          <w:sz w:val="20"/>
          <w:szCs w:val="20"/>
          <w:color w:val="auto"/>
        </w:rPr>
      </w:pPr>
      <w:r>
        <w:rPr>
          <w:rFonts w:ascii="Times New Roman" w:cs="Times New Roman" w:eastAsia="Times New Roman" w:hAnsi="Times New Roman"/>
          <w:sz w:val="15"/>
          <w:szCs w:val="15"/>
          <w:color w:val="auto"/>
        </w:rPr>
        <w:t>We or selling securityholders may offer shares of our Class 2 common stock and preferred stock, various series of debt securities and/or warrants to purchase any of such securities, either individually or in combination with other securities, from time to time under this prospectus, together with the applicable prospectus supplement and any related free writing prospectus, at prices and on terms to be determined by market conditions at the time of any offering. This prospectus provides you with a general description of the securities we or selling securityholders may offer. Each time we or selling securityholders offer a type or series of securities under this prospectus, we will provide a prospectus supplement that will describe the specific amounts, prices and other important terms of the securities, including, to the extent applicable:</w:t>
      </w:r>
    </w:p>
    <w:p>
      <w:pPr>
        <w:spacing w:after="0" w:line="22" w:lineRule="exact"/>
        <w:rPr>
          <w:sz w:val="20"/>
          <w:szCs w:val="20"/>
          <w:color w:val="auto"/>
        </w:rPr>
      </w:pPr>
    </w:p>
    <w:p>
      <w:pPr>
        <w:ind w:left="1560" w:hanging="294"/>
        <w:spacing w:after="0"/>
        <w:tabs>
          <w:tab w:leader="none" w:pos="15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designation or classification;</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aggregate principal amount or aggregate offering price;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0" w:name="page21"/>
    <w:bookmarkEnd w:id="20"/>
    <w:p>
      <w:pPr>
        <w:ind w:left="76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75565</wp:posOffset>
            </wp:positionV>
            <wp:extent cx="4777105" cy="6579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777105" cy="6579870"/>
                    </a:xfrm>
                    <a:prstGeom prst="rect">
                      <a:avLst/>
                    </a:prstGeom>
                    <a:noFill/>
                  </pic:spPr>
                </pic:pic>
              </a:graphicData>
            </a:graphic>
          </wp:anchor>
        </w:drawing>
      </w:r>
    </w:p>
    <w:p>
      <w:pPr>
        <w:spacing w:after="0" w:line="396" w:lineRule="exact"/>
        <w:rPr>
          <w:sz w:val="20"/>
          <w:szCs w:val="20"/>
          <w:color w:val="auto"/>
        </w:rPr>
      </w:pPr>
    </w:p>
    <w:p>
      <w:pPr>
        <w:ind w:left="1560" w:hanging="294"/>
        <w:spacing w:after="0"/>
        <w:tabs>
          <w:tab w:leader="none" w:pos="1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maturity date, if applicable;</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original issue discount, if any;</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rates and times of payment of interest or dividends, if any;</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redemption, conversion, exercise, exchange or sinking fund terms, if any;</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ranking;</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restrictive covenants, if any;</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or other rights, if any;</w:t>
      </w:r>
    </w:p>
    <w:p>
      <w:pPr>
        <w:spacing w:after="0" w:line="55" w:lineRule="exact"/>
        <w:rPr>
          <w:rFonts w:ascii="Times New Roman" w:cs="Times New Roman" w:eastAsia="Times New Roman" w:hAnsi="Times New Roman"/>
          <w:sz w:val="15"/>
          <w:szCs w:val="15"/>
          <w:color w:val="auto"/>
        </w:rPr>
      </w:pPr>
    </w:p>
    <w:p>
      <w:pPr>
        <w:ind w:left="1560" w:right="999" w:hanging="294"/>
        <w:spacing w:after="0" w:line="271" w:lineRule="auto"/>
        <w:tabs>
          <w:tab w:leader="none" w:pos="1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conversion or exchange prices or rates, if any, and, if applicable, any provisions for changes to or adjustments in the conversion or exchange prices or rates and in the securities or other property receivable upon conversion or exchange; and</w:t>
      </w:r>
    </w:p>
    <w:p>
      <w:pPr>
        <w:spacing w:after="0" w:line="8"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material or special U.S. federal income tax considerations, if any.</w:t>
      </w:r>
    </w:p>
    <w:p>
      <w:pPr>
        <w:spacing w:after="0" w:line="101" w:lineRule="exact"/>
        <w:rPr>
          <w:sz w:val="20"/>
          <w:szCs w:val="20"/>
          <w:color w:val="auto"/>
        </w:rPr>
      </w:pPr>
    </w:p>
    <w:p>
      <w:pPr>
        <w:ind w:left="960" w:right="1019"/>
        <w:spacing w:after="0" w:line="271" w:lineRule="auto"/>
        <w:rPr>
          <w:sz w:val="20"/>
          <w:szCs w:val="20"/>
          <w:color w:val="auto"/>
        </w:rPr>
      </w:pPr>
      <w:r>
        <w:rPr>
          <w:rFonts w:ascii="Times New Roman" w:cs="Times New Roman" w:eastAsia="Times New Roman" w:hAnsi="Times New Roman"/>
          <w:sz w:val="15"/>
          <w:szCs w:val="15"/>
          <w:color w:val="auto"/>
        </w:rPr>
        <w:t>The applicable prospectus supplement and any related free writing prospectus that we may authorize to be provided to you may also add, update or change any of the information contained in this prospectus or in the documents we have incorporated by reference.</w:t>
      </w:r>
    </w:p>
    <w:p>
      <w:pPr>
        <w:spacing w:after="0" w:line="54" w:lineRule="exact"/>
        <w:rPr>
          <w:sz w:val="20"/>
          <w:szCs w:val="20"/>
          <w:color w:val="auto"/>
        </w:rPr>
      </w:pPr>
    </w:p>
    <w:p>
      <w:pPr>
        <w:ind w:left="960" w:right="1139"/>
        <w:spacing w:after="0" w:line="271" w:lineRule="auto"/>
        <w:rPr>
          <w:sz w:val="20"/>
          <w:szCs w:val="20"/>
          <w:color w:val="auto"/>
        </w:rPr>
      </w:pPr>
      <w:r>
        <w:rPr>
          <w:rFonts w:ascii="Times New Roman" w:cs="Times New Roman" w:eastAsia="Times New Roman" w:hAnsi="Times New Roman"/>
          <w:sz w:val="15"/>
          <w:szCs w:val="15"/>
          <w:color w:val="auto"/>
        </w:rPr>
        <w:t>We or selling securityholders may sell the securities directly to investors or to or through agents, underwriters or dealers. If we or selling securityholders do offer securities to or through agents or underwriters, we will include in the applicable prospectus supplement:</w:t>
      </w:r>
    </w:p>
    <w:p>
      <w:pPr>
        <w:spacing w:after="0" w:line="9" w:lineRule="exact"/>
        <w:rPr>
          <w:sz w:val="20"/>
          <w:szCs w:val="20"/>
          <w:color w:val="auto"/>
        </w:rPr>
      </w:pPr>
    </w:p>
    <w:p>
      <w:pPr>
        <w:ind w:left="1560" w:hanging="294"/>
        <w:spacing w:after="0"/>
        <w:tabs>
          <w:tab w:leader="none" w:pos="15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names of those agents or underwriters;</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applicable fees, discounts and commissions to be paid to them;</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details regarding over-allotment or other options, if any; and</w:t>
      </w:r>
    </w:p>
    <w:p>
      <w:pPr>
        <w:spacing w:after="0" w:line="55" w:lineRule="exact"/>
        <w:rPr>
          <w:rFonts w:ascii="Times New Roman" w:cs="Times New Roman" w:eastAsia="Times New Roman" w:hAnsi="Times New Roman"/>
          <w:sz w:val="15"/>
          <w:szCs w:val="15"/>
          <w:color w:val="auto"/>
        </w:rPr>
      </w:pPr>
    </w:p>
    <w:p>
      <w:pPr>
        <w:ind w:left="1560" w:hanging="294"/>
        <w:spacing w:after="0"/>
        <w:tabs>
          <w:tab w:leader="none" w:pos="15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net proceeds to us, if any.</w:t>
      </w:r>
    </w:p>
    <w:p>
      <w:pPr>
        <w:spacing w:after="0" w:line="97" w:lineRule="exact"/>
        <w:rPr>
          <w:sz w:val="20"/>
          <w:szCs w:val="20"/>
          <w:color w:val="auto"/>
        </w:rPr>
      </w:pPr>
    </w:p>
    <w:p>
      <w:pPr>
        <w:ind w:left="960" w:right="939"/>
        <w:spacing w:after="0" w:line="256" w:lineRule="auto"/>
        <w:rPr>
          <w:sz w:val="20"/>
          <w:szCs w:val="20"/>
          <w:color w:val="auto"/>
        </w:rPr>
      </w:pPr>
      <w:r>
        <w:rPr>
          <w:rFonts w:ascii="Times New Roman" w:cs="Times New Roman" w:eastAsia="Times New Roman" w:hAnsi="Times New Roman"/>
          <w:sz w:val="15"/>
          <w:szCs w:val="15"/>
          <w:i w:val="1"/>
          <w:iCs w:val="1"/>
          <w:color w:val="auto"/>
        </w:rPr>
        <w:t>Class 2 Common Stock</w:t>
      </w:r>
      <w:r>
        <w:rPr>
          <w:rFonts w:ascii="Times New Roman" w:cs="Times New Roman" w:eastAsia="Times New Roman" w:hAnsi="Times New Roman"/>
          <w:sz w:val="15"/>
          <w:szCs w:val="15"/>
          <w:color w:val="auto"/>
        </w:rPr>
        <w:t>. We may issue shares of our Class 2 common stock from time to time. Holders of our Class 1</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and Class 2 common stock have identical rights, provided that, except as otherwise expressly provided in our amended and restated certificate of incorporation or required by applicable law, on any matter that is submitted to a vote of our stockholders, each holder of Class 1 common stock is entitled to 10 votes for each share of Class 1 common stock held by such holder and each holder of Class 2 common stock is entitled to one vote for each share of Class 2 common stock held by such holder. Subject to the preferences of any outstanding shares of preferred stock, the holders of Class 2 common stock are entitled to receive ratably any dividends our board of directors declares out of funds legally available for the payment of dividends. If we are liquidated, dissolved or wound up, the holders of Class 2 common stock are entitled to share pro rata all assets remaining after payment of liabilities and liquidation preferences of any outstanding shares of preferred stock. Holders of Class 2 common stock have no preemptive rights or rights to convert their Class 2 common stock into any other securities. There are no redemption or sinking fund provisions applicable to the Class 2 common stock. In this prospectus, we have summarized certain general features of the Class 2 common stock under the heading “Description of Capital Stock— Common Stock.” We urge you, however, to read the applicable prospectus supplement (and any related free writing prospectus that we may authorize to be provided to you) related to any Class 2 common stock being offered.</w:t>
      </w:r>
    </w:p>
    <w:p>
      <w:pPr>
        <w:spacing w:after="0" w:line="68" w:lineRule="exact"/>
        <w:rPr>
          <w:sz w:val="20"/>
          <w:szCs w:val="20"/>
          <w:color w:val="auto"/>
        </w:rPr>
      </w:pPr>
    </w:p>
    <w:p>
      <w:pPr>
        <w:ind w:left="960" w:right="959"/>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Preferred Stock. </w:t>
      </w:r>
      <w:r>
        <w:rPr>
          <w:rFonts w:ascii="Times New Roman" w:cs="Times New Roman" w:eastAsia="Times New Roman" w:hAnsi="Times New Roman"/>
          <w:sz w:val="15"/>
          <w:szCs w:val="15"/>
          <w:color w:val="auto"/>
        </w:rPr>
        <w:t>We may issue shares of our preferred stock from time to time, in one or more series. Under our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amended and restated certificate of incorporation, our board of directors has the authority to designate up to 10,000,000 shares of preferred stock in one or more series and determine or alter the designation, rights, preferences, privileges and restrictions granted to or imposed upon any series of preferred stock, any or all of which may be greater than the rights of the Class 2 common stock. If we sell any new series of preferred stock under this prospectus and any applicable prospectus supplement, our board of directors will determine the rights, preferences and privileges of the preferred stock being offered, as well as the qualifications, limitations or restrictions thereof, including dividend rights, conversion rights, voting rights, preemptive rights, terms of redemption or repurchase, liquidation preferences, sinking fund terms and the number of shares constituting any series or the designation of any series. Preferred stock may be convertible into our Class 2 common stock or other securities of ours, or may be exchangeable for debt securities. Conversion may be mandatory or at the holder’s option and would be at prescribed conversion rates. We will file as an exhibit to the registration statement of which this prospectus is a part, or will incorporate by reference from reports that we file with the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1" w:name="page22"/>
    <w:bookmarkEnd w:id="21"/>
    <w:p>
      <w:pPr>
        <w:ind w:left="76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75565</wp:posOffset>
            </wp:positionV>
            <wp:extent cx="4777105" cy="6790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4777105" cy="6790055"/>
                    </a:xfrm>
                    <a:prstGeom prst="rect">
                      <a:avLst/>
                    </a:prstGeom>
                    <a:noFill/>
                  </pic:spPr>
                </pic:pic>
              </a:graphicData>
            </a:graphic>
          </wp:anchor>
        </w:drawing>
      </w:r>
    </w:p>
    <w:p>
      <w:pPr>
        <w:spacing w:after="0" w:line="396" w:lineRule="exact"/>
        <w:rPr>
          <w:sz w:val="20"/>
          <w:szCs w:val="20"/>
          <w:color w:val="auto"/>
        </w:rPr>
      </w:pPr>
    </w:p>
    <w:p>
      <w:pPr>
        <w:ind w:left="960" w:right="1039"/>
        <w:spacing w:after="0" w:line="260" w:lineRule="auto"/>
        <w:rPr>
          <w:sz w:val="20"/>
          <w:szCs w:val="20"/>
          <w:color w:val="auto"/>
        </w:rPr>
      </w:pPr>
      <w:r>
        <w:rPr>
          <w:rFonts w:ascii="Times New Roman" w:cs="Times New Roman" w:eastAsia="Times New Roman" w:hAnsi="Times New Roman"/>
          <w:sz w:val="15"/>
          <w:szCs w:val="15"/>
          <w:color w:val="auto"/>
        </w:rPr>
        <w:t>SEC, the form of the certificate of designation that describes the terms of the series of preferred stock being offered before the issuance of the related series of preferred stock. In this prospectus, we have summarized certain general features of the preferred stock under the heading “Description of Capital Stock—Preferred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spacing w:after="0" w:line="61" w:lineRule="exact"/>
        <w:rPr>
          <w:sz w:val="20"/>
          <w:szCs w:val="20"/>
          <w:color w:val="auto"/>
        </w:rPr>
      </w:pPr>
    </w:p>
    <w:p>
      <w:pPr>
        <w:ind w:left="960" w:right="979"/>
        <w:spacing w:after="0" w:line="263" w:lineRule="auto"/>
        <w:rPr>
          <w:sz w:val="20"/>
          <w:szCs w:val="20"/>
          <w:color w:val="auto"/>
        </w:rPr>
      </w:pPr>
      <w:r>
        <w:rPr>
          <w:rFonts w:ascii="Times New Roman" w:cs="Times New Roman" w:eastAsia="Times New Roman" w:hAnsi="Times New Roman"/>
          <w:sz w:val="15"/>
          <w:szCs w:val="15"/>
          <w:i w:val="1"/>
          <w:iCs w:val="1"/>
          <w:color w:val="auto"/>
        </w:rPr>
        <w:t xml:space="preserve">Debt Securities. </w:t>
      </w:r>
      <w:r>
        <w:rPr>
          <w:rFonts w:ascii="Times New Roman" w:cs="Times New Roman" w:eastAsia="Times New Roman" w:hAnsi="Times New Roman"/>
          <w:sz w:val="15"/>
          <w:szCs w:val="15"/>
          <w:color w:val="auto"/>
        </w:rPr>
        <w:t>We may issue debt securities from time to time, in one or more series, as either senior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subordinated debt or as senior or subordinated convertible debt. Convertible or exchangeable debt securities will be convertible into or exchangeable for our Class 2 common stock or our other securities. Conversion or exchange may be mandatory or optional (at our option or the holders’ option) and would be at prescribed conversion or exchange prices.</w:t>
      </w:r>
    </w:p>
    <w:p>
      <w:pPr>
        <w:spacing w:after="0" w:line="62" w:lineRule="exact"/>
        <w:rPr>
          <w:sz w:val="20"/>
          <w:szCs w:val="20"/>
          <w:color w:val="auto"/>
        </w:rPr>
      </w:pPr>
    </w:p>
    <w:p>
      <w:pPr>
        <w:ind w:left="960" w:right="999"/>
        <w:spacing w:after="0" w:line="258" w:lineRule="auto"/>
        <w:rPr>
          <w:sz w:val="20"/>
          <w:szCs w:val="20"/>
          <w:color w:val="auto"/>
        </w:rPr>
      </w:pPr>
      <w:r>
        <w:rPr>
          <w:rFonts w:ascii="Times New Roman" w:cs="Times New Roman" w:eastAsia="Times New Roman" w:hAnsi="Times New Roman"/>
          <w:sz w:val="15"/>
          <w:szCs w:val="15"/>
          <w:color w:val="auto"/>
        </w:rPr>
        <w:t>The debt securities will be issued under an indenture that we will enter into with a national banking association or other eligible party, as trustee. In this prospectus, we have summarized certain general features of the debt securities under the heading “Description of Debt Securities.” We urge you, however, to read the applicable prospectus supplement (and any related free writing prospectus that we may authorize to be provided to you) related to the series of debt securities being offered, as well as the complete indenture and any supplemental indentures that contain the terms of the debt securities.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60" w:lineRule="exact"/>
        <w:rPr>
          <w:sz w:val="20"/>
          <w:szCs w:val="20"/>
          <w:color w:val="auto"/>
        </w:rPr>
      </w:pPr>
    </w:p>
    <w:p>
      <w:pPr>
        <w:ind w:left="960" w:right="939"/>
        <w:spacing w:after="0" w:line="257" w:lineRule="auto"/>
        <w:rPr>
          <w:sz w:val="20"/>
          <w:szCs w:val="20"/>
          <w:color w:val="auto"/>
        </w:rPr>
      </w:pPr>
      <w:r>
        <w:rPr>
          <w:rFonts w:ascii="Times New Roman" w:cs="Times New Roman" w:eastAsia="Times New Roman" w:hAnsi="Times New Roman"/>
          <w:sz w:val="15"/>
          <w:szCs w:val="15"/>
          <w:i w:val="1"/>
          <w:iCs w:val="1"/>
          <w:color w:val="auto"/>
        </w:rPr>
        <w:t xml:space="preserve">Warrants. </w:t>
      </w:r>
      <w:r>
        <w:rPr>
          <w:rFonts w:ascii="Times New Roman" w:cs="Times New Roman" w:eastAsia="Times New Roman" w:hAnsi="Times New Roman"/>
          <w:sz w:val="15"/>
          <w:szCs w:val="15"/>
          <w:color w:val="auto"/>
        </w:rPr>
        <w:t>We may issue warrants for the purchase of Class 2 common stock, preferred stock and/or debt securities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one or more series. We may issue warrants independently or in combination with Class 2 common stock, preferred stock and/or debt securities offered by any prospectus supplement. In this prospectus, we have summarized certain general features of the warrants under the heading “Description of Warrants.” We urge you, however, to read the applicable prospectus supplement (and any related free writing prospectus that we may authorize to be provided to you) related to the particular series of warrants being offered, as well as the form of warrant and/or the warrant agreement and warrant certificate, as applicable, that contain the terms of the warrants. We have filed the forms of the warrant agreements and forms of warrant certificates containing the terms of the warrants that we may offer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w:t>
      </w:r>
    </w:p>
    <w:p>
      <w:pPr>
        <w:spacing w:after="0" w:line="68" w:lineRule="exact"/>
        <w:rPr>
          <w:sz w:val="20"/>
          <w:szCs w:val="20"/>
          <w:color w:val="auto"/>
        </w:rPr>
      </w:pPr>
    </w:p>
    <w:p>
      <w:pPr>
        <w:ind w:left="960" w:right="1019"/>
        <w:spacing w:after="0" w:line="271" w:lineRule="auto"/>
        <w:rPr>
          <w:sz w:val="20"/>
          <w:szCs w:val="20"/>
          <w:color w:val="auto"/>
        </w:rPr>
      </w:pPr>
      <w:r>
        <w:rPr>
          <w:rFonts w:ascii="Times New Roman" w:cs="Times New Roman" w:eastAsia="Times New Roman" w:hAnsi="Times New Roman"/>
          <w:sz w:val="15"/>
          <w:szCs w:val="15"/>
          <w:color w:val="auto"/>
        </w:rPr>
        <w:t>Warrants may be issued under a warrant agreement that we enter into with a warrant agent. We will indicate the name and address of the warrant agent, if any, in the applicable prospectus supplement relating to a particular series of warrants.</w:t>
      </w:r>
    </w:p>
    <w:p>
      <w:pPr>
        <w:spacing w:after="0" w:line="15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Selling Securityholders</w:t>
      </w:r>
    </w:p>
    <w:p>
      <w:pPr>
        <w:spacing w:after="0" w:line="105" w:lineRule="exact"/>
        <w:rPr>
          <w:sz w:val="20"/>
          <w:szCs w:val="20"/>
          <w:color w:val="auto"/>
        </w:rPr>
      </w:pPr>
    </w:p>
    <w:p>
      <w:pPr>
        <w:jc w:val="both"/>
        <w:ind w:left="960" w:right="1219"/>
        <w:spacing w:after="0" w:line="271" w:lineRule="auto"/>
        <w:rPr>
          <w:sz w:val="20"/>
          <w:szCs w:val="20"/>
          <w:color w:val="auto"/>
        </w:rPr>
      </w:pPr>
      <w:r>
        <w:rPr>
          <w:rFonts w:ascii="Times New Roman" w:cs="Times New Roman" w:eastAsia="Times New Roman" w:hAnsi="Times New Roman"/>
          <w:sz w:val="15"/>
          <w:szCs w:val="15"/>
          <w:color w:val="auto"/>
        </w:rPr>
        <w:t xml:space="preserve">Selling securityholders are persons or entities that, directly or indirectly, have acquired or will from time to time acquire from us, our securities. Information about selling securityholders, if any, will be set forth in a prospectus supplement. See “Selling Securityholders” on page </w:t>
      </w:r>
      <w:r>
        <w:rPr>
          <w:rFonts w:ascii="Times New Roman" w:cs="Times New Roman" w:eastAsia="Times New Roman" w:hAnsi="Times New Roman"/>
          <w:sz w:val="15"/>
          <w:szCs w:val="15"/>
          <w:u w:val="single" w:color="auto"/>
          <w:color w:val="0000EE"/>
        </w:rPr>
        <w:t>24</w:t>
      </w:r>
      <w:r>
        <w:rPr>
          <w:rFonts w:ascii="Times New Roman" w:cs="Times New Roman" w:eastAsia="Times New Roman" w:hAnsi="Times New Roman"/>
          <w:sz w:val="15"/>
          <w:szCs w:val="15"/>
          <w:color w:val="auto"/>
        </w:rPr>
        <w:t xml:space="preserve"> of this prospectus.</w:t>
      </w:r>
    </w:p>
    <w:p>
      <w:pPr>
        <w:spacing w:after="0" w:line="15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05" w:lineRule="exact"/>
        <w:rPr>
          <w:sz w:val="20"/>
          <w:szCs w:val="20"/>
          <w:color w:val="auto"/>
        </w:rPr>
      </w:pPr>
    </w:p>
    <w:p>
      <w:pPr>
        <w:ind w:left="960" w:right="959"/>
        <w:spacing w:after="0" w:line="259" w:lineRule="auto"/>
        <w:rPr>
          <w:sz w:val="20"/>
          <w:szCs w:val="20"/>
          <w:color w:val="auto"/>
        </w:rPr>
      </w:pPr>
      <w:r>
        <w:rPr>
          <w:rFonts w:ascii="Times New Roman" w:cs="Times New Roman" w:eastAsia="Times New Roman" w:hAnsi="Times New Roman"/>
          <w:sz w:val="15"/>
          <w:szCs w:val="15"/>
          <w:color w:val="auto"/>
        </w:rPr>
        <w:t xml:space="preserve">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See “Use of Proceeds” on page </w:t>
      </w:r>
      <w:r>
        <w:rPr>
          <w:rFonts w:ascii="Times New Roman" w:cs="Times New Roman" w:eastAsia="Times New Roman" w:hAnsi="Times New Roman"/>
          <w:sz w:val="15"/>
          <w:szCs w:val="15"/>
          <w:u w:val="single" w:color="auto"/>
          <w:color w:val="0000EE"/>
        </w:rPr>
        <w:t>8</w:t>
      </w:r>
      <w:r>
        <w:rPr>
          <w:rFonts w:ascii="Times New Roman" w:cs="Times New Roman" w:eastAsia="Times New Roman" w:hAnsi="Times New Roman"/>
          <w:sz w:val="15"/>
          <w:szCs w:val="15"/>
          <w:color w:val="auto"/>
        </w:rPr>
        <w:t xml:space="preserve"> of this prospectus. Unless the applicable prospectus supplement provides otherwise, we will not receive any of the proceeds from the sale of our securities by selling securityholders.</w:t>
      </w:r>
    </w:p>
    <w:p>
      <w:pPr>
        <w:spacing w:after="0" w:line="16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b w:val="1"/>
          <w:bCs w:val="1"/>
          <w:color w:val="auto"/>
        </w:rPr>
        <w:t>Nasdaq Global Select Market Listing</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5"/>
          <w:szCs w:val="15"/>
          <w:color w:val="auto"/>
        </w:rPr>
        <w:t>Our Class 2 common stock is listed on The Nasdaq Global Select Market under the symbol “TLRY.”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2" w:name="page23"/>
    <w:bookmarkEnd w:id="22"/>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05" w:lineRule="exact"/>
        <w:rPr>
          <w:sz w:val="20"/>
          <w:szCs w:val="20"/>
          <w:color w:val="auto"/>
        </w:rPr>
      </w:pPr>
    </w:p>
    <w:p>
      <w:pPr>
        <w:ind w:left="940" w:right="979"/>
        <w:spacing w:after="0" w:line="256"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described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a specific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cash flow or prospects could be seriously harmed. This could cause the trading price of our securities to decline, resulting in a loss of all or part of your investment. Please also carefully read the section below entitled “Special Note Regarding Forward-Looking Statements.”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3" w:name="page24"/>
    <w:bookmarkEnd w:id="23"/>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05" w:lineRule="exact"/>
        <w:rPr>
          <w:sz w:val="20"/>
          <w:szCs w:val="20"/>
          <w:color w:val="auto"/>
        </w:rPr>
      </w:pPr>
    </w:p>
    <w:p>
      <w:pPr>
        <w:ind w:left="940" w:right="1039"/>
        <w:spacing w:after="0" w:line="260" w:lineRule="auto"/>
        <w:rPr>
          <w:sz w:val="20"/>
          <w:szCs w:val="20"/>
          <w:color w:val="auto"/>
        </w:rPr>
      </w:pPr>
      <w:r>
        <w:rPr>
          <w:rFonts w:ascii="Times New Roman" w:cs="Times New Roman" w:eastAsia="Times New Roman" w:hAnsi="Times New Roman"/>
          <w:sz w:val="15"/>
          <w:szCs w:val="15"/>
          <w:color w:val="auto"/>
        </w:rPr>
        <w:t>Certain statements in this prospectus and any accompanying prospectus supplement, including the documents incorporated by reference herein and therein, constitute forward-looking information or forward-looking statements within the meaning of Section 27A of the Securities Act of 1933, as amended (the “Securities Act”), and Section</w:t>
      </w:r>
    </w:p>
    <w:p>
      <w:pPr>
        <w:spacing w:after="0" w:line="2" w:lineRule="exact"/>
        <w:rPr>
          <w:sz w:val="20"/>
          <w:szCs w:val="20"/>
          <w:color w:val="auto"/>
        </w:rPr>
      </w:pPr>
    </w:p>
    <w:p>
      <w:pPr>
        <w:ind w:left="940" w:right="959"/>
        <w:spacing w:after="0" w:line="254" w:lineRule="auto"/>
        <w:rPr>
          <w:sz w:val="20"/>
          <w:szCs w:val="20"/>
          <w:color w:val="auto"/>
        </w:rPr>
      </w:pPr>
      <w:r>
        <w:rPr>
          <w:rFonts w:ascii="Times New Roman" w:cs="Times New Roman" w:eastAsia="Times New Roman" w:hAnsi="Times New Roman"/>
          <w:sz w:val="15"/>
          <w:szCs w:val="15"/>
          <w:color w:val="auto"/>
        </w:rPr>
        <w:t>21E of the Securities Exchange Act of 1934, as amended (the “Exchange Act”),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our operations, business, financial condition, expected financial results, performance, prospects, opportunities, priorities, targets, goals, ongoing objectives, strategies and outlook.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with respect to future events and are based on information currently available to management including based on reasonable assumptions, estimates, internal and external analysis and opinions of management concerning its experience, perception of trends, current conditions and expected developments as well as other factors that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Our estimates, beliefs and assumptions are inherently subject to significant business, economic, competitive and other uncertainties and contingencies regarding future events and as such, are subject to change. We can give no assurance that such estimates, beliefs and assumptions will prove to be correct.</w:t>
      </w:r>
    </w:p>
    <w:p>
      <w:pPr>
        <w:spacing w:after="0" w:line="256" w:lineRule="exact"/>
        <w:rPr>
          <w:sz w:val="20"/>
          <w:szCs w:val="20"/>
          <w:color w:val="auto"/>
        </w:rPr>
      </w:pPr>
    </w:p>
    <w:p>
      <w:pPr>
        <w:jc w:val="both"/>
        <w:ind w:left="940" w:right="1079"/>
        <w:spacing w:after="0" w:line="271" w:lineRule="auto"/>
        <w:rPr>
          <w:sz w:val="20"/>
          <w:szCs w:val="20"/>
          <w:color w:val="auto"/>
        </w:rPr>
      </w:pPr>
      <w:r>
        <w:rPr>
          <w:rFonts w:ascii="Times New Roman" w:cs="Times New Roman" w:eastAsia="Times New Roman" w:hAnsi="Times New Roman"/>
          <w:sz w:val="15"/>
          <w:szCs w:val="15"/>
          <w:color w:val="auto"/>
        </w:rPr>
        <w:t>Any information or statements that are contained in this prospectus and any accompanying prospectus supplement, including the documents incorporated by reference herein and therein, that are not statements of historical fact may be deemed to be forward-looking statements, including, but not limited to, statements with regards to:</w:t>
      </w:r>
    </w:p>
    <w:p>
      <w:pPr>
        <w:spacing w:after="0" w:line="54" w:lineRule="exact"/>
        <w:rPr>
          <w:sz w:val="20"/>
          <w:szCs w:val="20"/>
          <w:color w:val="auto"/>
        </w:rPr>
      </w:pPr>
    </w:p>
    <w:p>
      <w:pPr>
        <w:ind w:left="1540" w:right="1319" w:hanging="290"/>
        <w:spacing w:after="0" w:line="288" w:lineRule="auto"/>
        <w:tabs>
          <w:tab w:leader="none" w:pos="1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estimates of our financial information, including in respect of expected revenues, margins, cash flow, profitability, and production of cannabis;</w:t>
      </w:r>
    </w:p>
    <w:p>
      <w:pPr>
        <w:spacing w:after="0" w:line="42" w:lineRule="exact"/>
        <w:rPr>
          <w:rFonts w:ascii="Times New Roman" w:cs="Times New Roman" w:eastAsia="Times New Roman" w:hAnsi="Times New Roman"/>
          <w:sz w:val="15"/>
          <w:szCs w:val="15"/>
          <w:color w:val="auto"/>
        </w:rPr>
      </w:pPr>
    </w:p>
    <w:p>
      <w:pPr>
        <w:ind w:left="1540" w:right="1459" w:hanging="290"/>
        <w:spacing w:after="0" w:line="288" w:lineRule="auto"/>
        <w:tabs>
          <w:tab w:leader="none" w:pos="1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estimates of future costs applicable to sales, future capital expenditures, future cost reductions, and projected synergies including pre-tax synergies, cost savings and efficiencies;</w:t>
      </w:r>
    </w:p>
    <w:p>
      <w:pPr>
        <w:spacing w:after="0" w:line="42" w:lineRule="exact"/>
        <w:rPr>
          <w:rFonts w:ascii="Times New Roman" w:cs="Times New Roman" w:eastAsia="Times New Roman" w:hAnsi="Times New Roman"/>
          <w:sz w:val="15"/>
          <w:szCs w:val="15"/>
          <w:color w:val="auto"/>
        </w:rPr>
      </w:pPr>
    </w:p>
    <w:p>
      <w:pPr>
        <w:ind w:left="1540" w:right="1239" w:hanging="290"/>
        <w:spacing w:after="0" w:line="288" w:lineRule="auto"/>
        <w:tabs>
          <w:tab w:leader="none" w:pos="1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 to have scalable medical and adult-use cannabis platforms to strengthen the leadership position in Canada, internationally, and eventually in the United States;</w:t>
      </w:r>
    </w:p>
    <w:p>
      <w:pPr>
        <w:spacing w:after="0" w:line="42" w:lineRule="exact"/>
        <w:rPr>
          <w:rFonts w:ascii="Times New Roman" w:cs="Times New Roman" w:eastAsia="Times New Roman" w:hAnsi="Times New Roman"/>
          <w:sz w:val="15"/>
          <w:szCs w:val="15"/>
          <w:color w:val="auto"/>
        </w:rPr>
      </w:pPr>
    </w:p>
    <w:p>
      <w:pPr>
        <w:ind w:left="1540" w:right="1559" w:hanging="290"/>
        <w:spacing w:after="0" w:line="288" w:lineRule="auto"/>
        <w:tabs>
          <w:tab w:leader="none" w:pos="1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being well positioned in the European cannabis markets and our ability to leverage our current European platforms;</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strategic and financial benefits in connection with the Arrangement;</w:t>
      </w:r>
    </w:p>
    <w:p>
      <w:pPr>
        <w:spacing w:after="0" w:line="101" w:lineRule="exact"/>
        <w:rPr>
          <w:rFonts w:ascii="Times New Roman" w:cs="Times New Roman" w:eastAsia="Times New Roman" w:hAnsi="Times New Roman"/>
          <w:sz w:val="15"/>
          <w:szCs w:val="15"/>
          <w:color w:val="auto"/>
        </w:rPr>
      </w:pPr>
    </w:p>
    <w:p>
      <w:pPr>
        <w:ind w:left="1540" w:right="1259" w:hanging="290"/>
        <w:spacing w:after="0" w:line="288" w:lineRule="auto"/>
        <w:tabs>
          <w:tab w:leader="none" w:pos="1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legalization of cannabis in the United States and us being well positioned to compete in the United States market;</w:t>
      </w:r>
    </w:p>
    <w:p>
      <w:pPr>
        <w:spacing w:after="0" w:line="42" w:lineRule="exact"/>
        <w:rPr>
          <w:rFonts w:ascii="Times New Roman" w:cs="Times New Roman" w:eastAsia="Times New Roman" w:hAnsi="Times New Roman"/>
          <w:sz w:val="15"/>
          <w:szCs w:val="15"/>
          <w:color w:val="auto"/>
        </w:rPr>
      </w:pPr>
    </w:p>
    <w:p>
      <w:pPr>
        <w:ind w:left="1540" w:right="1039" w:hanging="290"/>
        <w:spacing w:after="0" w:line="288" w:lineRule="auto"/>
        <w:tabs>
          <w:tab w:leader="none" w:pos="1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become the world’s leading cannabis-focused consumer branded company with $4 billion of revenue by 2024;</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projected growth in our market share and growth in the European Union market; and</w:t>
      </w:r>
    </w:p>
    <w:p>
      <w:pPr>
        <w:spacing w:after="0" w:line="101" w:lineRule="exact"/>
        <w:rPr>
          <w:rFonts w:ascii="Times New Roman" w:cs="Times New Roman" w:eastAsia="Times New Roman" w:hAnsi="Times New Roman"/>
          <w:sz w:val="15"/>
          <w:szCs w:val="15"/>
          <w:color w:val="auto"/>
        </w:rPr>
      </w:pPr>
    </w:p>
    <w:p>
      <w:pPr>
        <w:ind w:left="1540" w:right="1099" w:hanging="290"/>
        <w:spacing w:after="0" w:line="288" w:lineRule="auto"/>
        <w:tabs>
          <w:tab w:leader="none" w:pos="1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 to offer a diversified and branded product offering and distribution footprint, world-class cultivation, processing and manufacturing facilities.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4" w:name="page25"/>
    <w:bookmarkEnd w:id="24"/>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940" w:right="1019"/>
        <w:spacing w:after="0" w:line="265" w:lineRule="auto"/>
        <w:rPr>
          <w:sz w:val="20"/>
          <w:szCs w:val="20"/>
          <w:color w:val="auto"/>
        </w:rPr>
      </w:pPr>
      <w:r>
        <w:rPr>
          <w:rFonts w:ascii="Times New Roman" w:cs="Times New Roman" w:eastAsia="Times New Roman" w:hAnsi="Times New Roman"/>
          <w:sz w:val="15"/>
          <w:szCs w:val="15"/>
          <w:color w:val="auto"/>
        </w:rPr>
        <w:t>The forward-looking statements contained in this prospectus and any accompanying prospectus supplement, including the documents incorporated by reference herein and therein, are subject to inherent risks and uncertainties and other factors which could cause actual results to differ materially from those anticipated by the forward-looking statements. The factors which could cause results to differ from current expectations include, but are not limited to:</w:t>
      </w:r>
    </w:p>
    <w:p>
      <w:pPr>
        <w:spacing w:after="0" w:line="59" w:lineRule="exact"/>
        <w:rPr>
          <w:sz w:val="20"/>
          <w:szCs w:val="20"/>
          <w:color w:val="auto"/>
        </w:rPr>
      </w:pPr>
    </w:p>
    <w:p>
      <w:pPr>
        <w:ind w:left="1540" w:right="1179" w:hanging="290"/>
        <w:spacing w:after="0" w:line="265"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recently closed on an investment and certain transactions with HEXO Corp. (“HEXO”) and we face uncertainty with respect to our ability to realize a return on our investment and achieve expected production efficiencies and cost savings in connection with the commercial transactions with HEXO as well as the MedMen investment;</w:t>
      </w:r>
    </w:p>
    <w:p>
      <w:pPr>
        <w:spacing w:after="0" w:line="59" w:lineRule="exact"/>
        <w:rPr>
          <w:rFonts w:ascii="Times New Roman" w:cs="Times New Roman" w:eastAsia="Times New Roman" w:hAnsi="Times New Roman"/>
          <w:sz w:val="15"/>
          <w:szCs w:val="15"/>
          <w:color w:val="auto"/>
        </w:rPr>
      </w:pPr>
    </w:p>
    <w:p>
      <w:pPr>
        <w:ind w:left="1540" w:right="133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is dependent upon regulatory approvals and licenses, ongoing compliance and reporting obligations, and timely renewals;</w:t>
      </w:r>
    </w:p>
    <w:p>
      <w:pPr>
        <w:spacing w:after="0" w:line="42" w:lineRule="exact"/>
        <w:rPr>
          <w:rFonts w:ascii="Times New Roman" w:cs="Times New Roman" w:eastAsia="Times New Roman" w:hAnsi="Times New Roman"/>
          <w:sz w:val="15"/>
          <w:szCs w:val="15"/>
          <w:color w:val="auto"/>
        </w:rPr>
      </w:pPr>
    </w:p>
    <w:p>
      <w:pPr>
        <w:ind w:left="1540" w:right="1299" w:hanging="290"/>
        <w:spacing w:after="0" w:line="271"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regulation is evolving, and unfavorable changes or lack of commercial legalization could impact our ability to carry on our business as currently conducted and the potential expansion of our business;</w:t>
      </w:r>
    </w:p>
    <w:p>
      <w:pPr>
        <w:spacing w:after="0" w:line="54" w:lineRule="exact"/>
        <w:rPr>
          <w:rFonts w:ascii="Times New Roman" w:cs="Times New Roman" w:eastAsia="Times New Roman" w:hAnsi="Times New Roman"/>
          <w:sz w:val="15"/>
          <w:szCs w:val="15"/>
          <w:color w:val="auto"/>
        </w:rPr>
      </w:pPr>
    </w:p>
    <w:p>
      <w:pPr>
        <w:ind w:left="1540" w:right="105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production and processing facilities are integral to our business and adverse changes or developments affecting our facilities may have an adverse impact on our business;</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face intense competition, and anticipate competition will increase, which could hurt our business;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regulations constrain our ability to market and distribute our products in Canada;</w:t>
      </w:r>
    </w:p>
    <w:p>
      <w:pPr>
        <w:spacing w:after="0" w:line="101" w:lineRule="exact"/>
        <w:rPr>
          <w:rFonts w:ascii="Times New Roman" w:cs="Times New Roman" w:eastAsia="Times New Roman" w:hAnsi="Times New Roman"/>
          <w:sz w:val="15"/>
          <w:szCs w:val="15"/>
          <w:color w:val="auto"/>
        </w:rPr>
      </w:pPr>
    </w:p>
    <w:p>
      <w:pPr>
        <w:ind w:left="1540" w:right="137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United States regulations relating to hemp-derived CBD products are new and rapidly evolving, and changes may not develop in the timeframe or manner most favorable to our business objectives;</w:t>
      </w:r>
    </w:p>
    <w:p>
      <w:pPr>
        <w:spacing w:after="0" w:line="42" w:lineRule="exact"/>
        <w:rPr>
          <w:rFonts w:ascii="Times New Roman" w:cs="Times New Roman" w:eastAsia="Times New Roman" w:hAnsi="Times New Roman"/>
          <w:sz w:val="15"/>
          <w:szCs w:val="15"/>
          <w:color w:val="auto"/>
        </w:rPr>
      </w:pPr>
    </w:p>
    <w:p>
      <w:pPr>
        <w:ind w:left="1540" w:right="95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consumer preferences or public attitudes about alcohol could decrease demand for our beverage alcohol products;</w:t>
      </w:r>
    </w:p>
    <w:p>
      <w:pPr>
        <w:spacing w:after="0" w:line="42" w:lineRule="exact"/>
        <w:rPr>
          <w:rFonts w:ascii="Times New Roman" w:cs="Times New Roman" w:eastAsia="Times New Roman" w:hAnsi="Times New Roman"/>
          <w:sz w:val="15"/>
          <w:szCs w:val="15"/>
          <w:color w:val="auto"/>
        </w:rPr>
      </w:pPr>
    </w:p>
    <w:p>
      <w:pPr>
        <w:jc w:val="both"/>
        <w:ind w:left="1540" w:right="1159" w:hanging="290"/>
        <w:spacing w:after="0" w:line="271"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SW Brewing Company, LLC and Double Diamond Distillery LLC (d/b/a Breckenridge Distillery) each face substantial competition in the beer industry and the broader market for alcoholic beverage products which could impact our business and financial results;</w:t>
      </w:r>
    </w:p>
    <w:p>
      <w:pPr>
        <w:spacing w:after="0" w:line="54" w:lineRule="exact"/>
        <w:rPr>
          <w:rFonts w:ascii="Times New Roman" w:cs="Times New Roman" w:eastAsia="Times New Roman" w:hAnsi="Times New Roman"/>
          <w:sz w:val="15"/>
          <w:szCs w:val="15"/>
          <w:color w:val="auto"/>
        </w:rPr>
      </w:pPr>
    </w:p>
    <w:p>
      <w:pPr>
        <w:ind w:left="1540" w:right="143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limited operating history and a history of net losses, and we may not achieve or maintain profitability in the future;</w:t>
      </w:r>
    </w:p>
    <w:p>
      <w:pPr>
        <w:spacing w:after="0" w:line="42" w:lineRule="exact"/>
        <w:rPr>
          <w:rFonts w:ascii="Times New Roman" w:cs="Times New Roman" w:eastAsia="Times New Roman" w:hAnsi="Times New Roman"/>
          <w:sz w:val="15"/>
          <w:szCs w:val="15"/>
          <w:color w:val="auto"/>
        </w:rPr>
      </w:pPr>
    </w:p>
    <w:p>
      <w:pPr>
        <w:ind w:left="1540" w:right="113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litigation, arbitration and demands, which could result in significant liability and costs, and impact our resources and reputation;</w:t>
      </w:r>
    </w:p>
    <w:p>
      <w:pPr>
        <w:spacing w:after="0" w:line="42" w:lineRule="exact"/>
        <w:rPr>
          <w:rFonts w:ascii="Times New Roman" w:cs="Times New Roman" w:eastAsia="Times New Roman" w:hAnsi="Times New Roman"/>
          <w:sz w:val="15"/>
          <w:szCs w:val="15"/>
          <w:color w:val="auto"/>
        </w:rPr>
      </w:pPr>
    </w:p>
    <w:p>
      <w:pPr>
        <w:ind w:left="1540" w:right="101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strategic alliances and other third-party business relationships may not achieve the intended beneficial impact and expose us to risks;</w:t>
      </w:r>
    </w:p>
    <w:p>
      <w:pPr>
        <w:spacing w:after="0" w:line="42" w:lineRule="exact"/>
        <w:rPr>
          <w:rFonts w:ascii="Times New Roman" w:cs="Times New Roman" w:eastAsia="Times New Roman" w:hAnsi="Times New Roman"/>
          <w:sz w:val="15"/>
          <w:szCs w:val="15"/>
          <w:color w:val="auto"/>
        </w:rPr>
      </w:pPr>
    </w:p>
    <w:p>
      <w:pPr>
        <w:ind w:left="1540" w:right="117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successfully identify and execute future acquisitions, dispositions or other equity transactions or to successfully manage the impacts of such transactions on our operations;</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risks inherent in an agricultural business, including the risk of crop failure;</w:t>
      </w:r>
    </w:p>
    <w:p>
      <w:pPr>
        <w:spacing w:after="0" w:line="101" w:lineRule="exact"/>
        <w:rPr>
          <w:rFonts w:ascii="Times New Roman" w:cs="Times New Roman" w:eastAsia="Times New Roman" w:hAnsi="Times New Roman"/>
          <w:sz w:val="15"/>
          <w:szCs w:val="15"/>
          <w:color w:val="auto"/>
        </w:rPr>
      </w:pPr>
    </w:p>
    <w:p>
      <w:pPr>
        <w:ind w:left="1540" w:right="1079" w:hanging="290"/>
        <w:spacing w:after="0" w:line="271"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54" w:lineRule="exact"/>
        <w:rPr>
          <w:rFonts w:ascii="Times New Roman" w:cs="Times New Roman" w:eastAsia="Times New Roman" w:hAnsi="Times New Roman"/>
          <w:sz w:val="15"/>
          <w:szCs w:val="15"/>
          <w:color w:val="auto"/>
        </w:rPr>
      </w:pPr>
    </w:p>
    <w:p>
      <w:pPr>
        <w:ind w:left="1540" w:right="163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products may be subject to recalls for a variety of reasons, which could require us to expend significant management and capital resources;</w:t>
      </w:r>
    </w:p>
    <w:p>
      <w:pPr>
        <w:spacing w:after="0" w:line="42" w:lineRule="exact"/>
        <w:rPr>
          <w:rFonts w:ascii="Times New Roman" w:cs="Times New Roman" w:eastAsia="Times New Roman" w:hAnsi="Times New Roman"/>
          <w:sz w:val="15"/>
          <w:szCs w:val="15"/>
          <w:color w:val="auto"/>
        </w:rPr>
      </w:pPr>
    </w:p>
    <w:p>
      <w:pPr>
        <w:ind w:left="1540" w:right="145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interruptions in our access to certain supply chains for key inputs such as raw materials, supplies, electricity, water and other utilities may impair our operations;</w:t>
      </w:r>
    </w:p>
    <w:p>
      <w:pPr>
        <w:spacing w:after="0" w:line="42" w:lineRule="exact"/>
        <w:rPr>
          <w:rFonts w:ascii="Times New Roman" w:cs="Times New Roman" w:eastAsia="Times New Roman" w:hAnsi="Times New Roman"/>
          <w:sz w:val="15"/>
          <w:szCs w:val="15"/>
          <w:color w:val="auto"/>
        </w:rPr>
      </w:pPr>
    </w:p>
    <w:p>
      <w:pPr>
        <w:ind w:left="1540" w:right="145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may not be able to successfully establish and maintain effective internal controls over financial reporting;</w:t>
      </w:r>
    </w:p>
    <w:p>
      <w:pPr>
        <w:spacing w:after="0" w:line="42" w:lineRule="exact"/>
        <w:rPr>
          <w:rFonts w:ascii="Times New Roman" w:cs="Times New Roman" w:eastAsia="Times New Roman" w:hAnsi="Times New Roman"/>
          <w:sz w:val="15"/>
          <w:szCs w:val="15"/>
          <w:color w:val="auto"/>
        </w:rPr>
      </w:pPr>
    </w:p>
    <w:p>
      <w:pPr>
        <w:ind w:left="1540" w:right="1099" w:hanging="290"/>
        <w:spacing w:after="0" w:line="288" w:lineRule="auto"/>
        <w:tabs>
          <w:tab w:leader="none" w:pos="154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of our common stock in public markets has experienced and may continue to experience severe volatility and fluctuations;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5" w:name="page26"/>
    <w:bookmarkEnd w:id="25"/>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1540" w:right="1119" w:hanging="290"/>
        <w:spacing w:after="0" w:line="288" w:lineRule="auto"/>
        <w:tabs>
          <w:tab w:leader="none" w:pos="1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volatility of our stock and the stockholder base may hinder or prevent us from engaging in beneficial corporate initiatives;</w:t>
      </w:r>
    </w:p>
    <w:p>
      <w:pPr>
        <w:spacing w:after="0" w:line="42" w:lineRule="exact"/>
        <w:rPr>
          <w:rFonts w:ascii="Times New Roman" w:cs="Times New Roman" w:eastAsia="Times New Roman" w:hAnsi="Times New Roman"/>
          <w:sz w:val="15"/>
          <w:szCs w:val="15"/>
          <w:color w:val="auto"/>
        </w:rPr>
      </w:pPr>
    </w:p>
    <w:p>
      <w:pPr>
        <w:ind w:left="1540" w:right="1319" w:hanging="290"/>
        <w:spacing w:after="0" w:line="271" w:lineRule="auto"/>
        <w:tabs>
          <w:tab w:leader="none" w:pos="1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54" w:lineRule="exact"/>
        <w:rPr>
          <w:rFonts w:ascii="Times New Roman" w:cs="Times New Roman" w:eastAsia="Times New Roman" w:hAnsi="Times New Roman"/>
          <w:sz w:val="15"/>
          <w:szCs w:val="15"/>
          <w:color w:val="auto"/>
        </w:rPr>
      </w:pPr>
    </w:p>
    <w:p>
      <w:pPr>
        <w:ind w:left="1540" w:right="1079" w:hanging="290"/>
        <w:spacing w:after="0" w:line="288" w:lineRule="auto"/>
        <w:tabs>
          <w:tab w:leader="none" w:pos="1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have the ability to raise the funds necessary to settle conversions of the convertible securities in cash or to repurchase the convertible securities upon a fundamental change; and</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other risks generally applicable to our industry and the conduct of our business.</w:t>
      </w:r>
    </w:p>
    <w:p>
      <w:pPr>
        <w:spacing w:after="0" w:line="101" w:lineRule="exact"/>
        <w:rPr>
          <w:sz w:val="20"/>
          <w:szCs w:val="20"/>
          <w:color w:val="auto"/>
        </w:rPr>
      </w:pPr>
    </w:p>
    <w:p>
      <w:pPr>
        <w:ind w:left="940" w:right="979"/>
        <w:spacing w:after="0" w:line="271" w:lineRule="auto"/>
        <w:rPr>
          <w:sz w:val="20"/>
          <w:szCs w:val="20"/>
          <w:color w:val="auto"/>
        </w:rPr>
      </w:pPr>
      <w:r>
        <w:rPr>
          <w:rFonts w:ascii="Times New Roman" w:cs="Times New Roman" w:eastAsia="Times New Roman" w:hAnsi="Times New Roman"/>
          <w:sz w:val="15"/>
          <w:szCs w:val="15"/>
          <w:color w:val="auto"/>
        </w:rPr>
        <w:t>Readers are cautioned that the foregoing list of factors is not exhaustive. Other risks and uncertainties not presently known to us or that we presently believe are not material could also cause actual results or events to differ materially from those expressed in the forward-looking statements contained herein.</w:t>
      </w:r>
    </w:p>
    <w:p>
      <w:pPr>
        <w:spacing w:after="0" w:line="54" w:lineRule="exact"/>
        <w:rPr>
          <w:sz w:val="20"/>
          <w:szCs w:val="20"/>
          <w:color w:val="auto"/>
        </w:rPr>
      </w:pPr>
    </w:p>
    <w:p>
      <w:pPr>
        <w:ind w:left="940" w:right="1019"/>
        <w:spacing w:after="0" w:line="260" w:lineRule="auto"/>
        <w:rPr>
          <w:sz w:val="20"/>
          <w:szCs w:val="20"/>
          <w:color w:val="auto"/>
        </w:rPr>
      </w:pPr>
      <w:r>
        <w:rPr>
          <w:rFonts w:ascii="Times New Roman" w:cs="Times New Roman" w:eastAsia="Times New Roman" w:hAnsi="Times New Roman"/>
          <w:sz w:val="15"/>
          <w:szCs w:val="15"/>
          <w:color w:val="auto"/>
        </w:rPr>
        <w:t>Additional information on these and other factors that could affect our operations or financial results are included in reports filed by us with applicable securities regulatory authorities and may be accessed through EDGAR (www.sec.gov). These risks and other factors are also discussed in more detail in the section entitled “Risk Factors” contained in our most recent Annual Report on Form 10-K, as well as any amendments thereto reflected in subsequent filings with the SEC and in our other filings that are incorporated by reference into this prospectus and any accompanying prospectus supplement.</w:t>
      </w:r>
    </w:p>
    <w:p>
      <w:pPr>
        <w:spacing w:after="0" w:line="65" w:lineRule="exact"/>
        <w:rPr>
          <w:sz w:val="20"/>
          <w:szCs w:val="20"/>
          <w:color w:val="auto"/>
        </w:rPr>
      </w:pPr>
    </w:p>
    <w:p>
      <w:pPr>
        <w:ind w:left="940" w:right="979"/>
        <w:spacing w:after="0" w:line="256" w:lineRule="auto"/>
        <w:rPr>
          <w:sz w:val="20"/>
          <w:szCs w:val="20"/>
          <w:color w:val="auto"/>
        </w:rPr>
      </w:pPr>
      <w:r>
        <w:rPr>
          <w:rFonts w:ascii="Times New Roman" w:cs="Times New Roman" w:eastAsia="Times New Roman" w:hAnsi="Times New Roman"/>
          <w:sz w:val="15"/>
          <w:szCs w:val="15"/>
          <w:color w:val="auto"/>
        </w:rPr>
        <w:t>The forward-looking statements contained in this prospectus and any accompanying prospectus supplement, including the documents incorporated by reference herein and therein, are expressly qualified in their entirety by this cautionary statement. We cannot guarantee that the results or events expressed or implied in any forward-looking statement and information will materialize and accordingly, readers are cautioned not to place undue reliance on these forward-looking statements, which reflect our expectations only as of the date of the document containing the applicable statement. We disclaim any obligation to update or revise any forward-looking statements, whether as a result of new information, future events or otherwise, except as required by law. Thus, you should not assume that our silence over time means that actual events are bearing out as expressed or implied in such forward-looking statements. You should read this prospectus and any accompany prospectus supplement, together with the documents we have filed with the SEC that are incorporated by reference and any free writing prospectus we have authorized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6" w:name="page27"/>
    <w:bookmarkEnd w:id="26"/>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05" w:lineRule="exact"/>
        <w:rPr>
          <w:sz w:val="20"/>
          <w:szCs w:val="20"/>
          <w:color w:val="auto"/>
        </w:rPr>
      </w:pPr>
    </w:p>
    <w:p>
      <w:pPr>
        <w:ind w:left="940" w:right="999"/>
        <w:spacing w:after="0" w:line="259" w:lineRule="auto"/>
        <w:rPr>
          <w:sz w:val="20"/>
          <w:szCs w:val="20"/>
          <w:color w:val="auto"/>
        </w:rPr>
      </w:pPr>
      <w:r>
        <w:rPr>
          <w:rFonts w:ascii="Times New Roman" w:cs="Times New Roman" w:eastAsia="Times New Roman" w:hAnsi="Times New Roman"/>
          <w:sz w:val="15"/>
          <w:szCs w:val="15"/>
          <w:color w:val="auto"/>
        </w:rPr>
        <w:t>Except as described in any applicable prospectus supplement or in any free writing prospectuses we have authorized for use in connection with a specific offering, we intend to use the net proceeds from the sale of the securities under this prospectus for general corporate purposes, which may include funding research and development and sales and marketing activities, increasing our working capital, acquisitions or investments in businesses, products or technologies that are complementary to our own, and capital expenditures. We will set forth in the applicable prospectus supplement our intended use for the net proceeds received from the sale of any securities. Pending the use of the net proceeds, we intend to invest the net proceeds in short-term, investment-grade, interest-bearing securities.</w:t>
      </w:r>
    </w:p>
    <w:p>
      <w:pPr>
        <w:spacing w:after="0" w:line="248" w:lineRule="exact"/>
        <w:rPr>
          <w:sz w:val="20"/>
          <w:szCs w:val="20"/>
          <w:color w:val="auto"/>
        </w:rPr>
      </w:pPr>
    </w:p>
    <w:p>
      <w:pPr>
        <w:ind w:left="940" w:right="1139"/>
        <w:spacing w:after="0" w:line="288" w:lineRule="auto"/>
        <w:rPr>
          <w:sz w:val="20"/>
          <w:szCs w:val="20"/>
          <w:color w:val="auto"/>
        </w:rPr>
      </w:pPr>
      <w:r>
        <w:rPr>
          <w:rFonts w:ascii="Times New Roman" w:cs="Times New Roman" w:eastAsia="Times New Roman" w:hAnsi="Times New Roman"/>
          <w:sz w:val="15"/>
          <w:szCs w:val="15"/>
          <w:color w:val="auto"/>
        </w:rPr>
        <w:t>Unless the applicable prospectus supplement provides otherwise, we will not receive any of the proceeds from the sale of our securities by selling securityholders.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7" w:name="page28"/>
    <w:bookmarkEnd w:id="27"/>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05" w:lineRule="exact"/>
        <w:rPr>
          <w:sz w:val="20"/>
          <w:szCs w:val="20"/>
          <w:color w:val="auto"/>
        </w:rPr>
      </w:pPr>
    </w:p>
    <w:p>
      <w:pPr>
        <w:ind w:left="940" w:right="1139"/>
        <w:spacing w:after="0" w:line="265" w:lineRule="auto"/>
        <w:rPr>
          <w:sz w:val="20"/>
          <w:szCs w:val="20"/>
          <w:color w:val="auto"/>
        </w:rPr>
      </w:pPr>
      <w:r>
        <w:rPr>
          <w:rFonts w:ascii="Times New Roman" w:cs="Times New Roman" w:eastAsia="Times New Roman" w:hAnsi="Times New Roman"/>
          <w:sz w:val="15"/>
          <w:szCs w:val="15"/>
          <w:color w:val="auto"/>
        </w:rPr>
        <w:t>The following is a summary of some of the terms of our capital stock and certain provisions of our amended and restated certificate of incorporation and amended and restated bylaws, and is qualified by reference to these documents. Copies of these documents have been filed with the SEC as exhibits to our periodic reports, which are incorporated by reference in this prospectus.</w:t>
      </w:r>
    </w:p>
    <w:p>
      <w:pPr>
        <w:spacing w:after="0" w:line="59" w:lineRule="exact"/>
        <w:rPr>
          <w:sz w:val="20"/>
          <w:szCs w:val="20"/>
          <w:color w:val="auto"/>
        </w:rPr>
      </w:pPr>
    </w:p>
    <w:p>
      <w:pPr>
        <w:ind w:left="940" w:right="1219"/>
        <w:spacing w:after="0" w:line="271" w:lineRule="auto"/>
        <w:rPr>
          <w:sz w:val="20"/>
          <w:szCs w:val="20"/>
          <w:color w:val="auto"/>
        </w:rPr>
      </w:pPr>
      <w:r>
        <w:rPr>
          <w:rFonts w:ascii="Times New Roman" w:cs="Times New Roman" w:eastAsia="Times New Roman" w:hAnsi="Times New Roman"/>
          <w:sz w:val="15"/>
          <w:szCs w:val="15"/>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2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Capital Stock</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Our authorized capital stock is divided into:</w:t>
      </w:r>
    </w:p>
    <w:p>
      <w:pPr>
        <w:spacing w:after="0" w:line="101" w:lineRule="exact"/>
        <w:rPr>
          <w:sz w:val="20"/>
          <w:szCs w:val="20"/>
          <w:color w:val="auto"/>
        </w:rPr>
      </w:pPr>
    </w:p>
    <w:p>
      <w:pPr>
        <w:ind w:left="1540" w:hanging="290"/>
        <w:spacing w:after="0"/>
        <w:tabs>
          <w:tab w:leader="none" w:pos="1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233,333,333 shares of Class 1 common stock with a par value of $0.0001 per share;</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746,666,667 shares of Class 2 common stock with a par value of $0.0001 per share; and</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10,000,000 undesignated shares of preferred stock with a par value of $0.0001 per share.</w:t>
      </w:r>
    </w:p>
    <w:p>
      <w:pPr>
        <w:spacing w:after="0" w:line="101" w:lineRule="exact"/>
        <w:rPr>
          <w:sz w:val="20"/>
          <w:szCs w:val="20"/>
          <w:color w:val="auto"/>
        </w:rPr>
      </w:pPr>
    </w:p>
    <w:p>
      <w:pPr>
        <w:ind w:left="940" w:right="979"/>
        <w:spacing w:after="0" w:line="265" w:lineRule="auto"/>
        <w:rPr>
          <w:sz w:val="20"/>
          <w:szCs w:val="20"/>
          <w:color w:val="auto"/>
        </w:rPr>
      </w:pPr>
      <w:r>
        <w:rPr>
          <w:rFonts w:ascii="Times New Roman" w:cs="Times New Roman" w:eastAsia="Times New Roman" w:hAnsi="Times New Roman"/>
          <w:sz w:val="15"/>
          <w:szCs w:val="15"/>
          <w:color w:val="auto"/>
        </w:rPr>
        <w:t>As of October 4, 2022, 611,402,319 shares of Class 2 common stock were outstanding. We are seeking to amend our amended and restated certificate of incorporation to eliminate our Class 1 common stock, subject to achieving required shareholder approval of the proposed amendment. There are currently no shares of Class 1 common stock outstanding.</w:t>
      </w:r>
    </w:p>
    <w:p>
      <w:pPr>
        <w:spacing w:after="0" w:line="59" w:lineRule="exact"/>
        <w:rPr>
          <w:sz w:val="20"/>
          <w:szCs w:val="20"/>
          <w:color w:val="auto"/>
        </w:rPr>
      </w:pPr>
    </w:p>
    <w:p>
      <w:pPr>
        <w:ind w:left="940" w:right="1039"/>
        <w:spacing w:after="0" w:line="265" w:lineRule="auto"/>
        <w:rPr>
          <w:sz w:val="20"/>
          <w:szCs w:val="20"/>
          <w:color w:val="auto"/>
        </w:rPr>
      </w:pPr>
      <w:r>
        <w:rPr>
          <w:rFonts w:ascii="Times New Roman" w:cs="Times New Roman" w:eastAsia="Times New Roman" w:hAnsi="Times New Roman"/>
          <w:sz w:val="15"/>
          <w:szCs w:val="15"/>
          <w:color w:val="auto"/>
        </w:rPr>
        <w:t>The rights and restrictions to which the Class 1 common stock and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2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2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105" w:lineRule="exact"/>
        <w:rPr>
          <w:sz w:val="20"/>
          <w:szCs w:val="20"/>
          <w:color w:val="auto"/>
        </w:rPr>
      </w:pPr>
    </w:p>
    <w:p>
      <w:pPr>
        <w:ind w:left="940" w:right="1019"/>
        <w:spacing w:after="0" w:line="262" w:lineRule="auto"/>
        <w:rPr>
          <w:sz w:val="20"/>
          <w:szCs w:val="20"/>
          <w:color w:val="auto"/>
        </w:rPr>
      </w:pPr>
      <w:r>
        <w:rPr>
          <w:rFonts w:ascii="Times New Roman" w:cs="Times New Roman" w:eastAsia="Times New Roman" w:hAnsi="Times New Roman"/>
          <w:sz w:val="15"/>
          <w:szCs w:val="15"/>
          <w:color w:val="auto"/>
        </w:rPr>
        <w:t>Holders of our Class 1 common stock and Class 2 common stock have identical rights, provided that, except as otherwise expressly provided in our amended and restated certificate of incorporation or required by applicable law, on any matter that is submitted to a vote of our stockholders, each holder of Class 1 common stock is entitled to 10 votes for each share of Class 1 common stock held by such holder and each holder of Class 2 common stock is entitled to one vote for each share of Class 2 common stock held by such holder.</w:t>
      </w:r>
    </w:p>
    <w:p>
      <w:pPr>
        <w:spacing w:after="0" w:line="62" w:lineRule="exact"/>
        <w:rPr>
          <w:sz w:val="20"/>
          <w:szCs w:val="20"/>
          <w:color w:val="auto"/>
        </w:rPr>
      </w:pPr>
    </w:p>
    <w:p>
      <w:pPr>
        <w:ind w:left="940" w:right="1079"/>
        <w:spacing w:after="0" w:line="271" w:lineRule="auto"/>
        <w:rPr>
          <w:sz w:val="20"/>
          <w:szCs w:val="20"/>
          <w:color w:val="auto"/>
        </w:rPr>
      </w:pPr>
      <w:r>
        <w:rPr>
          <w:rFonts w:ascii="Times New Roman" w:cs="Times New Roman" w:eastAsia="Times New Roman" w:hAnsi="Times New Roman"/>
          <w:sz w:val="15"/>
          <w:szCs w:val="15"/>
          <w:color w:val="auto"/>
        </w:rPr>
        <w:t>Holders of shares of Class 1 common stock and Class 2 common stock will vote together as a single class on all matters (including the election of directors) submitted to a vote of stockholders, except that there will be a separate vote of our Class 1 common stock and Class 2 common stock in the following circumstances:</w:t>
      </w:r>
    </w:p>
    <w:p>
      <w:pPr>
        <w:spacing w:after="0" w:line="54" w:lineRule="exact"/>
        <w:rPr>
          <w:sz w:val="20"/>
          <w:szCs w:val="20"/>
          <w:color w:val="auto"/>
        </w:rPr>
      </w:pPr>
    </w:p>
    <w:p>
      <w:pPr>
        <w:ind w:left="1540" w:right="999" w:hanging="290"/>
        <w:spacing w:after="0" w:line="288" w:lineRule="auto"/>
        <w:tabs>
          <w:tab w:leader="none" w:pos="1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propose to treat the shares of a class of our common stock differently with respect to any dividend or distribution of cash, property or shares of our stock paid or distributed by us;</w:t>
      </w:r>
    </w:p>
    <w:p>
      <w:pPr>
        <w:spacing w:after="0" w:line="42" w:lineRule="exact"/>
        <w:rPr>
          <w:rFonts w:ascii="Times New Roman" w:cs="Times New Roman" w:eastAsia="Times New Roman" w:hAnsi="Times New Roman"/>
          <w:sz w:val="15"/>
          <w:szCs w:val="15"/>
          <w:color w:val="auto"/>
        </w:rPr>
      </w:pPr>
    </w:p>
    <w:p>
      <w:pPr>
        <w:ind w:left="1540" w:right="999" w:hanging="290"/>
        <w:spacing w:after="0" w:line="288" w:lineRule="auto"/>
        <w:tabs>
          <w:tab w:leader="none" w:pos="1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propose to treat the shares of a class of our common stock differently with respect to any subdivision or combination of the shares of a class of our common stock; or</w:t>
      </w:r>
    </w:p>
    <w:p>
      <w:pPr>
        <w:spacing w:after="0" w:line="42" w:lineRule="exact"/>
        <w:rPr>
          <w:rFonts w:ascii="Times New Roman" w:cs="Times New Roman" w:eastAsia="Times New Roman" w:hAnsi="Times New Roman"/>
          <w:sz w:val="15"/>
          <w:szCs w:val="15"/>
          <w:color w:val="auto"/>
        </w:rPr>
      </w:pPr>
    </w:p>
    <w:p>
      <w:pPr>
        <w:ind w:left="1540" w:right="1219" w:hanging="290"/>
        <w:spacing w:after="0" w:line="265" w:lineRule="auto"/>
        <w:tabs>
          <w:tab w:leader="none" w:pos="15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propose to treat the shares of a class of our common stock differently in connection with a liquidation, dissolution or change in control (by merger, asset sale or other similar transaction) with respect to any consideration into which the shares are converted or any consideration paid or otherwise distributed to our stockholders.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8" w:name="page29"/>
    <w:bookmarkEnd w:id="28"/>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940" w:right="1099"/>
        <w:spacing w:after="0" w:line="288" w:lineRule="auto"/>
        <w:rPr>
          <w:sz w:val="20"/>
          <w:szCs w:val="20"/>
          <w:color w:val="auto"/>
        </w:rPr>
      </w:pPr>
      <w:r>
        <w:rPr>
          <w:rFonts w:ascii="Times New Roman" w:cs="Times New Roman" w:eastAsia="Times New Roman" w:hAnsi="Times New Roman"/>
          <w:sz w:val="15"/>
          <w:szCs w:val="15"/>
          <w:color w:val="auto"/>
        </w:rPr>
        <w:t>In addition, there will be a separate vote of and approval requirement for our Class 1 common stock in order for us to, directly or indirectly, take action in the following circumstances:</w:t>
      </w:r>
    </w:p>
    <w:p>
      <w:pPr>
        <w:spacing w:after="0" w:line="42" w:lineRule="exact"/>
        <w:rPr>
          <w:sz w:val="20"/>
          <w:szCs w:val="20"/>
          <w:color w:val="auto"/>
        </w:rPr>
      </w:pPr>
    </w:p>
    <w:p>
      <w:pPr>
        <w:ind w:left="1540" w:right="1019" w:hanging="290"/>
        <w:spacing w:after="0" w:line="265" w:lineRule="auto"/>
        <w:tabs>
          <w:tab w:leader="none" w:pos="1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propose to amend, waive, alter or repeal any provision of our amended and restated certificate of incorporation or our amended and restated bylaws in a manner that modifies the voting, conversion or other powers, preferences or other special rights or privileges or restrictions of the Class 1 common stock; or</w:t>
      </w:r>
    </w:p>
    <w:p>
      <w:pPr>
        <w:spacing w:after="0" w:line="59" w:lineRule="exact"/>
        <w:rPr>
          <w:rFonts w:ascii="Times New Roman" w:cs="Times New Roman" w:eastAsia="Times New Roman" w:hAnsi="Times New Roman"/>
          <w:sz w:val="15"/>
          <w:szCs w:val="15"/>
          <w:color w:val="auto"/>
        </w:rPr>
      </w:pPr>
    </w:p>
    <w:p>
      <w:pPr>
        <w:ind w:left="1540" w:right="999" w:hanging="290"/>
        <w:spacing w:after="0" w:line="271" w:lineRule="auto"/>
        <w:tabs>
          <w:tab w:leader="none" w:pos="1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reclassify any outstanding shares of Class 2 common stock into shares having rights as to dividends or liquidation that are senior to the Class 1 common stock or the right to more than one vote for each share thereof.</w:t>
      </w:r>
    </w:p>
    <w:p>
      <w:pPr>
        <w:spacing w:after="0" w:line="54" w:lineRule="exact"/>
        <w:rPr>
          <w:sz w:val="20"/>
          <w:szCs w:val="20"/>
          <w:color w:val="auto"/>
        </w:rPr>
      </w:pPr>
    </w:p>
    <w:p>
      <w:pPr>
        <w:ind w:left="940" w:right="1079"/>
        <w:spacing w:after="0" w:line="271" w:lineRule="auto"/>
        <w:rPr>
          <w:sz w:val="20"/>
          <w:szCs w:val="20"/>
          <w:color w:val="auto"/>
        </w:rPr>
      </w:pPr>
      <w:r>
        <w:rPr>
          <w:rFonts w:ascii="Times New Roman" w:cs="Times New Roman" w:eastAsia="Times New Roman" w:hAnsi="Times New Roman"/>
          <w:sz w:val="15"/>
          <w:szCs w:val="15"/>
          <w:color w:val="auto"/>
        </w:rPr>
        <w:t>Cumulative voting for the election of directors is not provided for in our amended and restated certificate of incorporation, which means that the holder of our Class 1 common stock can elect all of the directors then standing for election as long as it holds approximately 10.01% of all outstanding shares of our capital stock.</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auto"/>
        </w:rPr>
        <w:t>Dividends and Distributions</w:t>
      </w:r>
    </w:p>
    <w:p>
      <w:pPr>
        <w:spacing w:after="0" w:line="105" w:lineRule="exact"/>
        <w:rPr>
          <w:sz w:val="20"/>
          <w:szCs w:val="20"/>
          <w:color w:val="auto"/>
        </w:rPr>
      </w:pPr>
    </w:p>
    <w:p>
      <w:pPr>
        <w:ind w:left="940" w:right="1319"/>
        <w:spacing w:after="0" w:line="265" w:lineRule="auto"/>
        <w:rPr>
          <w:sz w:val="20"/>
          <w:szCs w:val="20"/>
          <w:color w:val="auto"/>
        </w:rPr>
      </w:pPr>
      <w:r>
        <w:rPr>
          <w:rFonts w:ascii="Times New Roman" w:cs="Times New Roman" w:eastAsia="Times New Roman" w:hAnsi="Times New Roman"/>
          <w:sz w:val="15"/>
          <w:szCs w:val="15"/>
          <w:color w:val="auto"/>
        </w:rPr>
        <w:t>Subject to preferences that may apply to any shares of preferred stock outstanding at the time, the holders of outstanding shares of Class 1 common stock and Class 2 common stock are entitled to receive dividends out of funds legally available at the times and in the amounts that our board of directors may determine. We do not anticipate paying any cash dividends in the foreseeable future.</w:t>
      </w:r>
    </w:p>
    <w:p>
      <w:pPr>
        <w:spacing w:after="0" w:line="1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auto"/>
        </w:rPr>
        <w:t>Liquidation Rights</w:t>
      </w:r>
    </w:p>
    <w:p>
      <w:pPr>
        <w:spacing w:after="0" w:line="105" w:lineRule="exact"/>
        <w:rPr>
          <w:sz w:val="20"/>
          <w:szCs w:val="20"/>
          <w:color w:val="auto"/>
        </w:rPr>
      </w:pPr>
    </w:p>
    <w:p>
      <w:pPr>
        <w:ind w:left="940" w:right="979"/>
        <w:spacing w:after="0" w:line="265" w:lineRule="auto"/>
        <w:rPr>
          <w:sz w:val="20"/>
          <w:szCs w:val="20"/>
          <w:color w:val="auto"/>
        </w:rPr>
      </w:pPr>
      <w:r>
        <w:rPr>
          <w:rFonts w:ascii="Times New Roman" w:cs="Times New Roman" w:eastAsia="Times New Roman" w:hAnsi="Times New Roman"/>
          <w:sz w:val="15"/>
          <w:szCs w:val="15"/>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59" w:lineRule="exact"/>
        <w:rPr>
          <w:sz w:val="20"/>
          <w:szCs w:val="20"/>
          <w:color w:val="auto"/>
        </w:rPr>
      </w:pPr>
    </w:p>
    <w:p>
      <w:pPr>
        <w:ind w:left="940" w:right="1059"/>
        <w:spacing w:after="0" w:line="288" w:lineRule="auto"/>
        <w:rPr>
          <w:sz w:val="20"/>
          <w:szCs w:val="20"/>
          <w:color w:val="auto"/>
        </w:rPr>
      </w:pPr>
      <w:r>
        <w:rPr>
          <w:rFonts w:ascii="Times New Roman" w:cs="Times New Roman" w:eastAsia="Times New Roman" w:hAnsi="Times New Roman"/>
          <w:sz w:val="15"/>
          <w:szCs w:val="15"/>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1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auto"/>
        </w:rPr>
        <w:t>Conversion Rights</w:t>
      </w:r>
    </w:p>
    <w:p>
      <w:pPr>
        <w:spacing w:after="0" w:line="105" w:lineRule="exact"/>
        <w:rPr>
          <w:sz w:val="20"/>
          <w:szCs w:val="20"/>
          <w:color w:val="auto"/>
        </w:rPr>
      </w:pPr>
    </w:p>
    <w:p>
      <w:pPr>
        <w:ind w:left="940" w:right="1059"/>
        <w:spacing w:after="0" w:line="264" w:lineRule="auto"/>
        <w:rPr>
          <w:sz w:val="20"/>
          <w:szCs w:val="20"/>
          <w:color w:val="auto"/>
        </w:rPr>
      </w:pPr>
      <w:r>
        <w:rPr>
          <w:rFonts w:ascii="Times New Roman" w:cs="Times New Roman" w:eastAsia="Times New Roman" w:hAnsi="Times New Roman"/>
          <w:sz w:val="15"/>
          <w:szCs w:val="15"/>
          <w:color w:val="auto"/>
        </w:rPr>
        <w:t>Each share of Class 1 common stock is convertible at any time at the option of the holder into one share of Class 2 Common stock. In addition, each share of Class 1 common stock will automatically convert into one share of Class</w:t>
      </w:r>
    </w:p>
    <w:p>
      <w:pPr>
        <w:ind w:left="940" w:right="979"/>
        <w:spacing w:after="0" w:line="256" w:lineRule="auto"/>
        <w:rPr>
          <w:sz w:val="20"/>
          <w:szCs w:val="20"/>
          <w:color w:val="auto"/>
        </w:rPr>
      </w:pPr>
      <w:r>
        <w:rPr>
          <w:rFonts w:ascii="Times New Roman" w:cs="Times New Roman" w:eastAsia="Times New Roman" w:hAnsi="Times New Roman"/>
          <w:sz w:val="15"/>
          <w:szCs w:val="15"/>
          <w:color w:val="auto"/>
        </w:rPr>
        <w:t>2 common stock upon any transfer, whether or not for value and whether voluntary or involuntary or by operation of law, except for certain transfers described in our amended and restated certificate of incorporation, including, without limitation, certain transfers for tax and estate planning purposes. In addition, upon the date on which the outstanding shares of Class 1 common stock represent less than 10% of the aggregate number of shares of Class 1 common stock and Class 2 common stock then outstanding, all outstanding shares of Class 1 common stock shall convert automatically into Class 2 common stock, and no additional shares of Class 1 common stock will be issued.</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auto"/>
        </w:rPr>
        <w:t>Rights of Repurchase</w:t>
      </w:r>
    </w:p>
    <w:p>
      <w:pPr>
        <w:spacing w:after="0" w:line="105" w:lineRule="exact"/>
        <w:rPr>
          <w:sz w:val="20"/>
          <w:szCs w:val="20"/>
          <w:color w:val="auto"/>
        </w:rPr>
      </w:pPr>
    </w:p>
    <w:p>
      <w:pPr>
        <w:ind w:left="940" w:right="1379"/>
        <w:spacing w:after="0" w:line="288" w:lineRule="auto"/>
        <w:rPr>
          <w:sz w:val="20"/>
          <w:szCs w:val="20"/>
          <w:color w:val="auto"/>
        </w:rPr>
      </w:pPr>
      <w:r>
        <w:rPr>
          <w:rFonts w:ascii="Times New Roman" w:cs="Times New Roman" w:eastAsia="Times New Roman" w:hAnsi="Times New Roman"/>
          <w:sz w:val="15"/>
          <w:szCs w:val="15"/>
          <w:color w:val="auto"/>
        </w:rPr>
        <w:t>We currently have no rights to repurchase shares of our common stock, except as described in “—Options and Restricted Stock Units” below.</w:t>
      </w:r>
    </w:p>
    <w:p>
      <w:pPr>
        <w:spacing w:after="0" w:line="1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auto"/>
        </w:rPr>
        <w:t>Preemptive or Similar Rights</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Our common stock is not entitled to preemptive rights and is not subject to redemption.</w:t>
      </w:r>
    </w:p>
    <w:p>
      <w:pPr>
        <w:spacing w:after="0" w:line="2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Options and Restricted Stock Units</w:t>
      </w:r>
    </w:p>
    <w:p>
      <w:pPr>
        <w:spacing w:after="0" w:line="105" w:lineRule="exact"/>
        <w:rPr>
          <w:sz w:val="20"/>
          <w:szCs w:val="20"/>
          <w:color w:val="auto"/>
        </w:rPr>
      </w:pPr>
    </w:p>
    <w:p>
      <w:pPr>
        <w:ind w:left="940" w:right="999"/>
        <w:spacing w:after="0" w:line="262" w:lineRule="auto"/>
        <w:rPr>
          <w:sz w:val="20"/>
          <w:szCs w:val="20"/>
          <w:color w:val="auto"/>
        </w:rPr>
      </w:pPr>
      <w:r>
        <w:rPr>
          <w:rFonts w:ascii="Times New Roman" w:cs="Times New Roman" w:eastAsia="Times New Roman" w:hAnsi="Times New Roman"/>
          <w:sz w:val="15"/>
          <w:szCs w:val="15"/>
          <w:color w:val="auto"/>
        </w:rPr>
        <w:t>As of October 4, 2022, 4,714,929 shares of Class 2 common stock were issuable upon the exercise of outstanding stock options and 17,239,692 shares of Class 2 common stock were issuable upon vesting of RSUs. Pursuant to the terms of our standard option agreement, we have a right to repurchase shares of our common stock issued upon the exercise of options granted under the Amended and Restated 2018 Equity Incentive Plan if the holder of such shares ceases providing services for us for any reason.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9" w:name="page30"/>
    <w:bookmarkEnd w:id="29"/>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05" w:lineRule="exact"/>
        <w:rPr>
          <w:sz w:val="20"/>
          <w:szCs w:val="20"/>
          <w:color w:val="auto"/>
        </w:rPr>
      </w:pPr>
    </w:p>
    <w:p>
      <w:pPr>
        <w:ind w:left="940" w:right="1039"/>
        <w:spacing w:after="0" w:line="256" w:lineRule="auto"/>
        <w:rPr>
          <w:sz w:val="20"/>
          <w:szCs w:val="20"/>
          <w:color w:val="auto"/>
        </w:rPr>
      </w:pPr>
      <w:r>
        <w:rPr>
          <w:rFonts w:ascii="Times New Roman" w:cs="Times New Roman" w:eastAsia="Times New Roman" w:hAnsi="Times New Roman"/>
          <w:sz w:val="15"/>
          <w:szCs w:val="15"/>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Class 1 common stock and Class 2 common stock. Our board of directors, without stockholder approval, may issue preferred stock with voting, conversion or other rights that are superior to the voting and other rights of the holders of Class 1 common stock and Class 2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Class 2 common stock and may adversely affect the voting power of holders of Class 1 common stock and Class 2 common stock and reduce the likelihood that Class 1 common stock and Class 2 common stockholders will receive dividend payments and payments upon liquidation.</w:t>
      </w:r>
    </w:p>
    <w:p>
      <w:pPr>
        <w:spacing w:after="0" w:line="73" w:lineRule="exact"/>
        <w:rPr>
          <w:sz w:val="20"/>
          <w:szCs w:val="20"/>
          <w:color w:val="auto"/>
        </w:rPr>
      </w:pPr>
    </w:p>
    <w:p>
      <w:pPr>
        <w:ind w:left="940" w:right="959"/>
        <w:spacing w:after="0" w:line="260" w:lineRule="auto"/>
        <w:rPr>
          <w:sz w:val="20"/>
          <w:szCs w:val="20"/>
          <w:color w:val="auto"/>
        </w:rPr>
      </w:pPr>
      <w:r>
        <w:rPr>
          <w:rFonts w:ascii="Times New Roman" w:cs="Times New Roman" w:eastAsia="Times New Roman" w:hAnsi="Times New Roman"/>
          <w:sz w:val="15"/>
          <w:szCs w:val="15"/>
          <w:color w:val="auto"/>
        </w:rPr>
        <w:t>Our board of directors will determine the rights, preferences, privileges and restrictions of the preferred stock of each series that we sell under this prospectus and applicable prospectus supplements in the certificate of designation relating to that series. We will file as an exhibit to the registration statement of which this prospectus is a part, or will incorporate by reference from reports that we file with the SEC, the form of the certificate of designation that describes the terms of the series of preferred stock that we are offering before the issuance of the related series of preferred stock. This description will include:</w:t>
      </w:r>
    </w:p>
    <w:p>
      <w:pPr>
        <w:spacing w:after="0" w:line="65" w:lineRule="exact"/>
        <w:rPr>
          <w:sz w:val="20"/>
          <w:szCs w:val="20"/>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and stated value;</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shares we are offering;</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liquidation preference per share;</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price per share;</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dividend rate per share, dividend period and payment dates and method of calculation for dividends;</w:t>
      </w:r>
    </w:p>
    <w:p>
      <w:pPr>
        <w:spacing w:after="0" w:line="101" w:lineRule="exact"/>
        <w:rPr>
          <w:rFonts w:ascii="Times New Roman" w:cs="Times New Roman" w:eastAsia="Times New Roman" w:hAnsi="Times New Roman"/>
          <w:sz w:val="15"/>
          <w:szCs w:val="15"/>
          <w:color w:val="auto"/>
        </w:rPr>
      </w:pPr>
    </w:p>
    <w:p>
      <w:pPr>
        <w:ind w:left="1540" w:right="959" w:hanging="290"/>
        <w:spacing w:after="0" w:line="288" w:lineRule="auto"/>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dividends will be cumulative or non-cumulative and, if cumulative, the date from which dividends will accumulate;</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right, if any, to defer payment of dividends and the maximum length of any such deferral period;</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procedures for any auction and remarketing, if any;</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for a sinking fund, if any;</w:t>
      </w:r>
    </w:p>
    <w:p>
      <w:pPr>
        <w:spacing w:after="0" w:line="101" w:lineRule="exact"/>
        <w:rPr>
          <w:rFonts w:ascii="Times New Roman" w:cs="Times New Roman" w:eastAsia="Times New Roman" w:hAnsi="Times New Roman"/>
          <w:sz w:val="15"/>
          <w:szCs w:val="15"/>
          <w:color w:val="auto"/>
        </w:rPr>
      </w:pPr>
    </w:p>
    <w:p>
      <w:pPr>
        <w:ind w:left="1540" w:right="1159" w:hanging="290"/>
        <w:spacing w:after="0" w:line="288" w:lineRule="auto"/>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provisions for redemption or repurchase, if applicable, and any restrictions on our ability to exercise those redemption and repurchase rights;</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listing of the preferred stock on any securities exchange or market;</w:t>
      </w:r>
    </w:p>
    <w:p>
      <w:pPr>
        <w:spacing w:after="0" w:line="101" w:lineRule="exact"/>
        <w:rPr>
          <w:rFonts w:ascii="Times New Roman" w:cs="Times New Roman" w:eastAsia="Times New Roman" w:hAnsi="Times New Roman"/>
          <w:sz w:val="15"/>
          <w:szCs w:val="15"/>
          <w:color w:val="auto"/>
        </w:rPr>
      </w:pPr>
    </w:p>
    <w:p>
      <w:pPr>
        <w:ind w:left="1540" w:right="1079" w:hanging="290"/>
        <w:spacing w:after="0" w:line="271" w:lineRule="auto"/>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preferred stock will be convertible into our Class 2 common stock or other securities of ours, including warrants, and, if applicable, the conversion period, the conversion price, or how it will be calculated, and under what circumstances it may be adjusted;</w:t>
      </w:r>
    </w:p>
    <w:p>
      <w:pPr>
        <w:spacing w:after="0" w:line="54" w:lineRule="exact"/>
        <w:rPr>
          <w:rFonts w:ascii="Times New Roman" w:cs="Times New Roman" w:eastAsia="Times New Roman" w:hAnsi="Times New Roman"/>
          <w:sz w:val="15"/>
          <w:szCs w:val="15"/>
          <w:color w:val="auto"/>
        </w:rPr>
      </w:pPr>
    </w:p>
    <w:p>
      <w:pPr>
        <w:ind w:left="1540" w:right="1039" w:hanging="290"/>
        <w:spacing w:after="0" w:line="288" w:lineRule="auto"/>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preferred stock will be exchangeable for debt securities, and, if applicable, the exchange period, the exchange price, or how it will be calculated, and under what circumstances it may be adjusted;</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voting rights, if any, of the preferred stock;</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preemption rights, if any;</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transfer, sale or other assignment, if any;</w:t>
      </w:r>
    </w:p>
    <w:p>
      <w:pPr>
        <w:spacing w:after="0" w:line="101" w:lineRule="exact"/>
        <w:rPr>
          <w:rFonts w:ascii="Times New Roman" w:cs="Times New Roman" w:eastAsia="Times New Roman" w:hAnsi="Times New Roman"/>
          <w:sz w:val="15"/>
          <w:szCs w:val="15"/>
          <w:color w:val="auto"/>
        </w:rPr>
      </w:pPr>
    </w:p>
    <w:p>
      <w:pPr>
        <w:ind w:left="1540" w:right="1119" w:hanging="290"/>
        <w:spacing w:after="0" w:line="288" w:lineRule="auto"/>
        <w:tabs>
          <w:tab w:leader="none" w:pos="1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any material or special U.S. federal income tax considerations applicable to the preferred stock;</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0" w:name="page31"/>
    <w:bookmarkEnd w:id="30"/>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1540" w:right="1079" w:hanging="290"/>
        <w:spacing w:after="0" w:line="288" w:lineRule="auto"/>
        <w:tabs>
          <w:tab w:leader="none" w:pos="1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relative ranking and preferences of the preferred stock as to dividend rights and rights if we liquidate, dissolve or wind up our affairs;</w:t>
      </w:r>
    </w:p>
    <w:p>
      <w:pPr>
        <w:spacing w:after="0" w:line="42" w:lineRule="exact"/>
        <w:rPr>
          <w:rFonts w:ascii="Times New Roman" w:cs="Times New Roman" w:eastAsia="Times New Roman" w:hAnsi="Times New Roman"/>
          <w:sz w:val="15"/>
          <w:szCs w:val="15"/>
          <w:color w:val="auto"/>
        </w:rPr>
      </w:pPr>
    </w:p>
    <w:p>
      <w:pPr>
        <w:jc w:val="both"/>
        <w:ind w:left="1540" w:right="1079" w:hanging="290"/>
        <w:spacing w:after="0" w:line="271" w:lineRule="auto"/>
        <w:tabs>
          <w:tab w:leader="none" w:pos="1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54"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rights, preferences, privileges, qualifications or restrictions of the preferred stock.</w:t>
      </w:r>
    </w:p>
    <w:p>
      <w:pPr>
        <w:spacing w:after="0" w:line="14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When we issue shares of preferred stock under this prospectus, the shares will be fully paid and nonassessable.</w:t>
      </w:r>
    </w:p>
    <w:p>
      <w:pPr>
        <w:spacing w:after="0" w:line="101" w:lineRule="exact"/>
        <w:rPr>
          <w:sz w:val="20"/>
          <w:szCs w:val="20"/>
          <w:color w:val="auto"/>
        </w:rPr>
      </w:pPr>
    </w:p>
    <w:p>
      <w:pPr>
        <w:ind w:left="940" w:right="1099"/>
        <w:spacing w:after="0" w:line="288" w:lineRule="auto"/>
        <w:rPr>
          <w:sz w:val="20"/>
          <w:szCs w:val="20"/>
          <w:color w:val="auto"/>
        </w:rPr>
      </w:pPr>
      <w:r>
        <w:rPr>
          <w:rFonts w:ascii="Times New Roman" w:cs="Times New Roman" w:eastAsia="Times New Roman" w:hAnsi="Times New Roman"/>
          <w:sz w:val="15"/>
          <w:szCs w:val="15"/>
          <w:color w:val="auto"/>
        </w:rPr>
        <w:t>Unless we specify otherwise in the applicable prospectus supplement, the preferred stock will rank, with respect to dividends and upon our liquidation, dissolution or winding up:</w:t>
      </w:r>
    </w:p>
    <w:p>
      <w:pPr>
        <w:spacing w:after="0" w:line="42" w:lineRule="exact"/>
        <w:rPr>
          <w:sz w:val="20"/>
          <w:szCs w:val="20"/>
          <w:color w:val="auto"/>
        </w:rPr>
      </w:pPr>
    </w:p>
    <w:p>
      <w:pPr>
        <w:ind w:left="1540" w:right="1099" w:hanging="290"/>
        <w:spacing w:after="0" w:line="288" w:lineRule="auto"/>
        <w:tabs>
          <w:tab w:leader="none" w:pos="1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senior to all classes or series of our common stock and to all of our equity securities ranking junior to the preferred stock;</w:t>
      </w:r>
    </w:p>
    <w:p>
      <w:pPr>
        <w:spacing w:after="0" w:line="42" w:lineRule="exact"/>
        <w:rPr>
          <w:rFonts w:ascii="Times New Roman" w:cs="Times New Roman" w:eastAsia="Times New Roman" w:hAnsi="Times New Roman"/>
          <w:sz w:val="15"/>
          <w:szCs w:val="15"/>
          <w:color w:val="auto"/>
        </w:rPr>
      </w:pPr>
    </w:p>
    <w:p>
      <w:pPr>
        <w:ind w:left="1540" w:right="1559" w:hanging="290"/>
        <w:spacing w:after="0" w:line="288" w:lineRule="auto"/>
        <w:tabs>
          <w:tab w:leader="none" w:pos="1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 parity with all of our equity securities the terms of which specifically provide that the equity securities rank on a parity with the preferred stock; and</w:t>
      </w:r>
    </w:p>
    <w:p>
      <w:pPr>
        <w:spacing w:after="0" w:line="42" w:lineRule="exact"/>
        <w:rPr>
          <w:rFonts w:ascii="Times New Roman" w:cs="Times New Roman" w:eastAsia="Times New Roman" w:hAnsi="Times New Roman"/>
          <w:sz w:val="15"/>
          <w:szCs w:val="15"/>
          <w:color w:val="auto"/>
        </w:rPr>
      </w:pPr>
    </w:p>
    <w:p>
      <w:pPr>
        <w:ind w:left="1540" w:right="1079" w:hanging="290"/>
        <w:spacing w:after="0" w:line="288" w:lineRule="auto"/>
        <w:tabs>
          <w:tab w:leader="none" w:pos="1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junior to all of our equity securities the terms of which specifically provide that the equity securities rank senior to the preferred stock.</w:t>
      </w:r>
    </w:p>
    <w:p>
      <w:pPr>
        <w:spacing w:after="0" w:line="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The term “equity securities” does not include convertible debt securities.</w:t>
      </w:r>
    </w:p>
    <w:p>
      <w:pPr>
        <w:spacing w:after="0" w:line="101" w:lineRule="exact"/>
        <w:rPr>
          <w:sz w:val="20"/>
          <w:szCs w:val="20"/>
          <w:color w:val="auto"/>
        </w:rPr>
      </w:pPr>
    </w:p>
    <w:p>
      <w:pPr>
        <w:ind w:left="940" w:right="959"/>
        <w:spacing w:after="0" w:line="265" w:lineRule="auto"/>
        <w:rPr>
          <w:sz w:val="20"/>
          <w:szCs w:val="20"/>
          <w:color w:val="auto"/>
        </w:rPr>
      </w:pPr>
      <w:r>
        <w:rPr>
          <w:rFonts w:ascii="Times New Roman" w:cs="Times New Roman" w:eastAsia="Times New Roman" w:hAnsi="Times New Roman"/>
          <w:sz w:val="15"/>
          <w:szCs w:val="15"/>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2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i w:val="1"/>
          <w:iCs w:val="1"/>
          <w:color w:val="auto"/>
        </w:rPr>
        <w:t>Amended and Restated Certificate of Incorporation and Amended and Restated Bylaws</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Among other things, our amended and restated certificate of incorporation and amended and restated bylaws:</w:t>
      </w:r>
    </w:p>
    <w:p>
      <w:pPr>
        <w:spacing w:after="0" w:line="101" w:lineRule="exact"/>
        <w:rPr>
          <w:sz w:val="20"/>
          <w:szCs w:val="20"/>
          <w:color w:val="auto"/>
        </w:rPr>
      </w:pPr>
    </w:p>
    <w:p>
      <w:pPr>
        <w:ind w:left="1540" w:right="1219" w:hanging="290"/>
        <w:spacing w:after="0" w:line="271" w:lineRule="auto"/>
        <w:tabs>
          <w:tab w:leader="none" w:pos="1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54" w:lineRule="exact"/>
        <w:rPr>
          <w:rFonts w:ascii="Times New Roman" w:cs="Times New Roman" w:eastAsia="Times New Roman" w:hAnsi="Times New Roman"/>
          <w:sz w:val="15"/>
          <w:szCs w:val="15"/>
          <w:color w:val="auto"/>
        </w:rPr>
      </w:pPr>
    </w:p>
    <w:p>
      <w:pPr>
        <w:ind w:left="1540" w:right="1419" w:hanging="290"/>
        <w:spacing w:after="0" w:line="288" w:lineRule="auto"/>
        <w:tabs>
          <w:tab w:leader="none" w:pos="1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that the authorized number of directors may be changed only by resolution of our board of directors;</w:t>
      </w:r>
    </w:p>
    <w:p>
      <w:pPr>
        <w:spacing w:after="0" w:line="42" w:lineRule="exact"/>
        <w:rPr>
          <w:rFonts w:ascii="Times New Roman" w:cs="Times New Roman" w:eastAsia="Times New Roman" w:hAnsi="Times New Roman"/>
          <w:sz w:val="15"/>
          <w:szCs w:val="15"/>
          <w:color w:val="auto"/>
        </w:rPr>
      </w:pPr>
    </w:p>
    <w:p>
      <w:pPr>
        <w:ind w:left="1540" w:right="979" w:hanging="290"/>
        <w:spacing w:after="0" w:line="234" w:lineRule="auto"/>
        <w:tabs>
          <w:tab w:leader="none" w:pos="1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for so long as key holders (including Privateer Holdings, Brendan Kennedy, Michael Blue, or Christian Groh or their permitted entities or transferees) holds a majority of our then-outstanding shares of capital stock entitled to vote generally at an election of directors, or otherwise by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5"/>
          <w:szCs w:val="15"/>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5"/>
          <w:szCs w:val="15"/>
          <w:color w:val="auto"/>
        </w:rPr>
        <w:t>% of all of our then-outstanding shares of the capital stock entitled to vote generally at an election of directors;</w:t>
      </w:r>
    </w:p>
    <w:p>
      <w:pPr>
        <w:spacing w:after="0" w:line="78" w:lineRule="exact"/>
        <w:rPr>
          <w:rFonts w:ascii="Times New Roman" w:cs="Times New Roman" w:eastAsia="Times New Roman" w:hAnsi="Times New Roman"/>
          <w:sz w:val="15"/>
          <w:szCs w:val="15"/>
          <w:color w:val="auto"/>
        </w:rPr>
      </w:pPr>
    </w:p>
    <w:p>
      <w:pPr>
        <w:jc w:val="both"/>
        <w:ind w:left="1540" w:right="1139" w:hanging="290"/>
        <w:spacing w:after="0" w:line="288" w:lineRule="auto"/>
        <w:tabs>
          <w:tab w:leader="none" w:pos="1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that all vacancies, including newly created directorships, may, except as otherwise required by law, be filled by the affirmative vote of a majority of directors then in office, even if less than a quorum;</w:t>
      </w:r>
    </w:p>
    <w:p>
      <w:pPr>
        <w:spacing w:after="0" w:line="42" w:lineRule="exact"/>
        <w:rPr>
          <w:rFonts w:ascii="Times New Roman" w:cs="Times New Roman" w:eastAsia="Times New Roman" w:hAnsi="Times New Roman"/>
          <w:sz w:val="15"/>
          <w:szCs w:val="15"/>
          <w:color w:val="auto"/>
        </w:rPr>
      </w:pPr>
    </w:p>
    <w:p>
      <w:pPr>
        <w:ind w:left="1540" w:right="979" w:hanging="290"/>
        <w:spacing w:after="0" w:line="271" w:lineRule="auto"/>
        <w:tabs>
          <w:tab w:leader="none" w:pos="1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that any action to be taken by our stockholders may be taken by written consent or electronic transmission pursuant to Section 228 of the Delaware General Corporation Law, so long as the key holders hold a majority of our then-outstanding capital stock entitled to vote generally at an election of directors;</w:t>
      </w:r>
    </w:p>
    <w:p>
      <w:pPr>
        <w:spacing w:after="0" w:line="54" w:lineRule="exact"/>
        <w:rPr>
          <w:rFonts w:ascii="Times New Roman" w:cs="Times New Roman" w:eastAsia="Times New Roman" w:hAnsi="Times New Roman"/>
          <w:sz w:val="15"/>
          <w:szCs w:val="15"/>
          <w:color w:val="auto"/>
        </w:rPr>
      </w:pPr>
    </w:p>
    <w:p>
      <w:pPr>
        <w:jc w:val="both"/>
        <w:ind w:left="1540" w:right="1159" w:hanging="290"/>
        <w:spacing w:after="0" w:line="271" w:lineRule="auto"/>
        <w:tabs>
          <w:tab w:leader="none" w:pos="1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1" w:name="page32"/>
    <w:bookmarkEnd w:id="31"/>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1540" w:right="1199" w:hanging="290"/>
        <w:spacing w:after="0" w:line="260" w:lineRule="auto"/>
        <w:tabs>
          <w:tab w:leader="none" w:pos="1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that special meetings of our stockholders may be called by the chairperson of our board of directors, our chief executive officer, by our board of directors pursuant to a resolution adopted by a majority of the total number of authorized directors or, for so long as the key holders hold a majority of our then-outstanding capital stock entitled to vote generally at an election of directors, one or more stockholders that in the aggregate represent at least 50% of the total votes entitled to be cast at the meeting;</w:t>
      </w:r>
    </w:p>
    <w:p>
      <w:pPr>
        <w:spacing w:after="0" w:line="64" w:lineRule="exact"/>
        <w:rPr>
          <w:rFonts w:ascii="Times New Roman" w:cs="Times New Roman" w:eastAsia="Times New Roman" w:hAnsi="Times New Roman"/>
          <w:sz w:val="15"/>
          <w:szCs w:val="15"/>
          <w:color w:val="auto"/>
        </w:rPr>
      </w:pPr>
    </w:p>
    <w:p>
      <w:pPr>
        <w:jc w:val="both"/>
        <w:ind w:left="1540" w:right="1039" w:hanging="290"/>
        <w:spacing w:after="0" w:line="271" w:lineRule="auto"/>
        <w:tabs>
          <w:tab w:leader="none" w:pos="1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54" w:lineRule="exact"/>
        <w:rPr>
          <w:rFonts w:ascii="Times New Roman" w:cs="Times New Roman" w:eastAsia="Times New Roman" w:hAnsi="Times New Roman"/>
          <w:sz w:val="15"/>
          <w:szCs w:val="15"/>
          <w:color w:val="auto"/>
        </w:rPr>
      </w:pPr>
    </w:p>
    <w:p>
      <w:pPr>
        <w:ind w:left="1540" w:right="959" w:hanging="290"/>
        <w:spacing w:after="0" w:line="236" w:lineRule="auto"/>
        <w:tabs>
          <w:tab w:leader="none" w:pos="1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For so long as Privateer Holdings holds a majority of our then-outstanding capital stock entitled to vote generally at an election of directors, the amendment of any of these provisions would require approval of the holders of a majority of all of our then-outstanding capital stock entitled to vote generally in the election of directors; otherwise, the amendment of any of these provisions would require approval by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5"/>
          <w:szCs w:val="15"/>
          <w:color w:val="auto"/>
        </w:rPr>
        <w:t>∕</w:t>
      </w:r>
      <w:r>
        <w:rPr>
          <w:rFonts w:ascii="Times New Roman" w:cs="Times New Roman" w:eastAsia="Times New Roman" w:hAnsi="Times New Roman"/>
          <w:sz w:val="10"/>
          <w:szCs w:val="10"/>
          <w:color w:val="auto"/>
        </w:rPr>
        <w:t>3</w:t>
      </w:r>
      <w:r>
        <w:rPr>
          <w:rFonts w:ascii="Times New Roman" w:cs="Times New Roman" w:eastAsia="Times New Roman" w:hAnsi="Times New Roman"/>
          <w:sz w:val="15"/>
          <w:szCs w:val="15"/>
          <w:color w:val="auto"/>
        </w:rPr>
        <w:t>% of all of our then-outstanding capital stock entitled to vote generally in the election of directors.</w:t>
      </w:r>
    </w:p>
    <w:p>
      <w:pPr>
        <w:spacing w:after="0" w:line="81" w:lineRule="exact"/>
        <w:rPr>
          <w:sz w:val="20"/>
          <w:szCs w:val="20"/>
          <w:color w:val="auto"/>
        </w:rPr>
      </w:pPr>
    </w:p>
    <w:p>
      <w:pPr>
        <w:ind w:left="940" w:right="959"/>
        <w:spacing w:after="0" w:line="260" w:lineRule="auto"/>
        <w:rPr>
          <w:sz w:val="20"/>
          <w:szCs w:val="20"/>
          <w:color w:val="auto"/>
        </w:rPr>
      </w:pPr>
      <w:r>
        <w:rPr>
          <w:rFonts w:ascii="Times New Roman" w:cs="Times New Roman" w:eastAsia="Times New Roman" w:hAnsi="Times New Roman"/>
          <w:sz w:val="15"/>
          <w:szCs w:val="15"/>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65" w:lineRule="exact"/>
        <w:rPr>
          <w:sz w:val="20"/>
          <w:szCs w:val="20"/>
          <w:color w:val="auto"/>
        </w:rPr>
      </w:pPr>
    </w:p>
    <w:p>
      <w:pPr>
        <w:ind w:left="940" w:right="1199"/>
        <w:spacing w:after="0" w:line="260" w:lineRule="auto"/>
        <w:rPr>
          <w:sz w:val="20"/>
          <w:szCs w:val="20"/>
          <w:color w:val="auto"/>
        </w:rPr>
      </w:pPr>
      <w:r>
        <w:rPr>
          <w:rFonts w:ascii="Times New Roman" w:cs="Times New Roman" w:eastAsia="Times New Roman" w:hAnsi="Times New Roman"/>
          <w:sz w:val="15"/>
          <w:szCs w:val="15"/>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8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105" w:lineRule="exact"/>
        <w:rPr>
          <w:sz w:val="20"/>
          <w:szCs w:val="20"/>
          <w:color w:val="auto"/>
        </w:rPr>
      </w:pPr>
    </w:p>
    <w:p>
      <w:pPr>
        <w:ind w:left="940" w:right="1059"/>
        <w:spacing w:after="0" w:line="257"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If a court were to find the exclusive-forum provision in our amended and restated certificate of incorporation to be inapplicable or unenforceable in an action, we may incur additional costs associated with resolving the dispute in other jurisdictions.</w:t>
      </w:r>
    </w:p>
    <w:p>
      <w:pPr>
        <w:spacing w:after="0" w:line="2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Transfer Agent and Registrar</w:t>
      </w:r>
    </w:p>
    <w:p>
      <w:pPr>
        <w:spacing w:after="0" w:line="105" w:lineRule="exact"/>
        <w:rPr>
          <w:sz w:val="20"/>
          <w:szCs w:val="20"/>
          <w:color w:val="auto"/>
        </w:rPr>
      </w:pPr>
    </w:p>
    <w:p>
      <w:pPr>
        <w:ind w:left="940" w:right="959"/>
        <w:spacing w:after="0" w:line="264" w:lineRule="auto"/>
        <w:rPr>
          <w:sz w:val="20"/>
          <w:szCs w:val="20"/>
          <w:color w:val="auto"/>
        </w:rPr>
      </w:pPr>
      <w:r>
        <w:rPr>
          <w:rFonts w:ascii="Times New Roman" w:cs="Times New Roman" w:eastAsia="Times New Roman" w:hAnsi="Times New Roman"/>
          <w:sz w:val="15"/>
          <w:szCs w:val="15"/>
          <w:color w:val="auto"/>
        </w:rPr>
        <w:t>The transfer agent and registrar for our Class 2 common stock is Pacific Stock Transfer Company. The transfer agent and registrar’s address is 6725 Via Austi Parkway, Ste. 300, Las Vegas, NV, 89119 and its phone number is (800)</w:t>
      </w:r>
    </w:p>
    <w:p>
      <w:pPr>
        <w:ind w:left="940"/>
        <w:spacing w:after="0"/>
        <w:rPr>
          <w:sz w:val="20"/>
          <w:szCs w:val="20"/>
          <w:color w:val="auto"/>
        </w:rPr>
      </w:pPr>
      <w:r>
        <w:rPr>
          <w:rFonts w:ascii="Times New Roman" w:cs="Times New Roman" w:eastAsia="Times New Roman" w:hAnsi="Times New Roman"/>
          <w:sz w:val="15"/>
          <w:szCs w:val="15"/>
          <w:color w:val="auto"/>
        </w:rPr>
        <w:t>785-7782.</w:t>
      </w:r>
    </w:p>
    <w:p>
      <w:pPr>
        <w:spacing w:after="0" w:line="29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Listing</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Our Class 2 common stock is listed on the Nasdaq Global Select Market under the symbol “TLRY.”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2" w:name="page33"/>
    <w:bookmarkEnd w:id="32"/>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DEBT SECURITIES</w:t>
      </w:r>
    </w:p>
    <w:p>
      <w:pPr>
        <w:spacing w:after="0" w:line="105" w:lineRule="exact"/>
        <w:rPr>
          <w:sz w:val="20"/>
          <w:szCs w:val="20"/>
          <w:color w:val="auto"/>
        </w:rPr>
      </w:pPr>
    </w:p>
    <w:p>
      <w:pPr>
        <w:ind w:left="940" w:right="959"/>
        <w:spacing w:after="0" w:line="259" w:lineRule="auto"/>
        <w:rPr>
          <w:sz w:val="20"/>
          <w:szCs w:val="20"/>
          <w:color w:val="auto"/>
        </w:rPr>
      </w:pPr>
      <w:r>
        <w:rPr>
          <w:rFonts w:ascii="Times New Roman" w:cs="Times New Roman" w:eastAsia="Times New Roman" w:hAnsi="Times New Roman"/>
          <w:sz w:val="15"/>
          <w:szCs w:val="15"/>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or selling securityholders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65" w:lineRule="exact"/>
        <w:rPr>
          <w:sz w:val="20"/>
          <w:szCs w:val="20"/>
          <w:color w:val="auto"/>
        </w:rPr>
      </w:pPr>
    </w:p>
    <w:p>
      <w:pPr>
        <w:ind w:left="940" w:right="979"/>
        <w:spacing w:after="0" w:line="260" w:lineRule="auto"/>
        <w:rPr>
          <w:sz w:val="20"/>
          <w:szCs w:val="20"/>
          <w:color w:val="auto"/>
        </w:rPr>
      </w:pPr>
      <w:r>
        <w:rPr>
          <w:rFonts w:ascii="Times New Roman" w:cs="Times New Roman" w:eastAsia="Times New Roman" w:hAnsi="Times New Roman"/>
          <w:sz w:val="15"/>
          <w:szCs w:val="15"/>
          <w:color w:val="auto"/>
        </w:rPr>
        <w:t>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65" w:lineRule="exact"/>
        <w:rPr>
          <w:sz w:val="20"/>
          <w:szCs w:val="20"/>
          <w:color w:val="auto"/>
        </w:rPr>
      </w:pPr>
    </w:p>
    <w:p>
      <w:pPr>
        <w:ind w:left="940" w:right="1039"/>
        <w:spacing w:after="0" w:line="262" w:lineRule="auto"/>
        <w:rPr>
          <w:sz w:val="20"/>
          <w:szCs w:val="20"/>
          <w:color w:val="auto"/>
        </w:rPr>
      </w:pPr>
      <w:r>
        <w:rPr>
          <w:rFonts w:ascii="Times New Roman" w:cs="Times New Roman" w:eastAsia="Times New Roman" w:hAnsi="Times New Roman"/>
          <w:sz w:val="15"/>
          <w:szCs w:val="15"/>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or selling securityholders may offer under this prospectus, as well as the complete indenture that contains the terms of the debt securities.</w:t>
      </w:r>
    </w:p>
    <w:p>
      <w:pPr>
        <w:spacing w:after="0" w:line="2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5" w:lineRule="exact"/>
        <w:rPr>
          <w:sz w:val="20"/>
          <w:szCs w:val="20"/>
          <w:color w:val="auto"/>
        </w:rPr>
      </w:pPr>
    </w:p>
    <w:p>
      <w:pPr>
        <w:ind w:left="940" w:right="959"/>
        <w:spacing w:after="0" w:line="260" w:lineRule="auto"/>
        <w:rPr>
          <w:sz w:val="20"/>
          <w:szCs w:val="20"/>
          <w:color w:val="auto"/>
        </w:rPr>
      </w:pPr>
      <w:r>
        <w:rPr>
          <w:rFonts w:ascii="Times New Roman" w:cs="Times New Roman" w:eastAsia="Times New Roman" w:hAnsi="Times New Roman"/>
          <w:sz w:val="15"/>
          <w:szCs w:val="15"/>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65" w:lineRule="exact"/>
        <w:rPr>
          <w:sz w:val="20"/>
          <w:szCs w:val="20"/>
          <w:color w:val="auto"/>
        </w:rPr>
      </w:pPr>
    </w:p>
    <w:p>
      <w:pPr>
        <w:ind w:left="940" w:right="959"/>
        <w:spacing w:after="0" w:line="260" w:lineRule="auto"/>
        <w:rPr>
          <w:sz w:val="20"/>
          <w:szCs w:val="20"/>
          <w:color w:val="auto"/>
        </w:rPr>
      </w:pPr>
      <w:r>
        <w:rPr>
          <w:rFonts w:ascii="Times New Roman" w:cs="Times New Roman" w:eastAsia="Times New Roman" w:hAnsi="Times New Roman"/>
          <w:sz w:val="15"/>
          <w:szCs w:val="15"/>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65" w:lineRule="exact"/>
        <w:rPr>
          <w:sz w:val="20"/>
          <w:szCs w:val="20"/>
          <w:color w:val="auto"/>
        </w:rPr>
      </w:pPr>
    </w:p>
    <w:p>
      <w:pPr>
        <w:ind w:left="940" w:right="1259"/>
        <w:spacing w:after="0" w:line="288" w:lineRule="auto"/>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debt securities being offered, including:</w:t>
      </w:r>
    </w:p>
    <w:p>
      <w:pPr>
        <w:spacing w:after="0" w:line="42" w:lineRule="exact"/>
        <w:rPr>
          <w:sz w:val="20"/>
          <w:szCs w:val="20"/>
          <w:color w:val="auto"/>
        </w:rPr>
      </w:pPr>
    </w:p>
    <w:p>
      <w:pPr>
        <w:ind w:left="1540" w:hanging="290"/>
        <w:spacing w:after="0"/>
        <w:tabs>
          <w:tab w:leader="none" w:pos="1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the series of debt securities;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upon the aggregate principal amount that may be issued;</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maturity date or dates;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form of the debt securities of the series;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applicability of any guarantees;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the debt securities will be secured or unsecured, and the terms of any secured debt;</w:t>
      </w:r>
    </w:p>
    <w:p>
      <w:pPr>
        <w:spacing w:after="0" w:line="101" w:lineRule="exact"/>
        <w:rPr>
          <w:rFonts w:ascii="Times New Roman" w:cs="Times New Roman" w:eastAsia="Times New Roman" w:hAnsi="Times New Roman"/>
          <w:sz w:val="15"/>
          <w:szCs w:val="15"/>
          <w:color w:val="auto"/>
        </w:rPr>
      </w:pPr>
    </w:p>
    <w:p>
      <w:pPr>
        <w:ind w:left="1540" w:right="1519" w:hanging="290"/>
        <w:spacing w:after="0" w:line="288" w:lineRule="auto"/>
        <w:tabs>
          <w:tab w:leader="none" w:pos="1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rank as senior debt, senior subordinated debt, subordinated debt or any combination thereof, and the terms of any subordination;</w:t>
      </w:r>
    </w:p>
    <w:p>
      <w:pPr>
        <w:spacing w:after="0" w:line="42" w:lineRule="exact"/>
        <w:rPr>
          <w:rFonts w:ascii="Times New Roman" w:cs="Times New Roman" w:eastAsia="Times New Roman" w:hAnsi="Times New Roman"/>
          <w:sz w:val="15"/>
          <w:szCs w:val="15"/>
          <w:color w:val="auto"/>
        </w:rPr>
      </w:pPr>
    </w:p>
    <w:p>
      <w:pPr>
        <w:ind w:left="1540" w:right="1319" w:hanging="290"/>
        <w:spacing w:after="0" w:line="262" w:lineRule="auto"/>
        <w:tabs>
          <w:tab w:leader="none" w:pos="1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3" w:name="page34"/>
    <w:bookmarkEnd w:id="33"/>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1540" w:right="999" w:hanging="290"/>
        <w:spacing w:after="0" w:line="271"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right, if any, to defer payment of interest and the maximum length of any such deferral period;</w:t>
      </w:r>
    </w:p>
    <w:p>
      <w:pPr>
        <w:spacing w:after="0" w:line="66" w:lineRule="exact"/>
        <w:rPr>
          <w:rFonts w:ascii="Times New Roman" w:cs="Times New Roman" w:eastAsia="Times New Roman" w:hAnsi="Times New Roman"/>
          <w:sz w:val="15"/>
          <w:szCs w:val="15"/>
          <w:color w:val="auto"/>
        </w:rPr>
      </w:pPr>
    </w:p>
    <w:p>
      <w:pPr>
        <w:ind w:left="1540" w:right="999" w:hanging="290"/>
        <w:spacing w:after="0" w:line="271"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20" w:lineRule="exact"/>
        <w:rPr>
          <w:rFonts w:ascii="Times New Roman" w:cs="Times New Roman" w:eastAsia="Times New Roman" w:hAnsi="Times New Roman"/>
          <w:sz w:val="15"/>
          <w:szCs w:val="15"/>
          <w:color w:val="auto"/>
        </w:rPr>
      </w:pPr>
    </w:p>
    <w:p>
      <w:pPr>
        <w:ind w:left="1540" w:right="1059" w:hanging="290"/>
        <w:spacing w:after="0" w:line="265"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36" w:lineRule="exact"/>
        <w:rPr>
          <w:rFonts w:ascii="Times New Roman" w:cs="Times New Roman" w:eastAsia="Times New Roman" w:hAnsi="Times New Roman"/>
          <w:sz w:val="15"/>
          <w:szCs w:val="15"/>
          <w:color w:val="auto"/>
        </w:rPr>
      </w:pPr>
    </w:p>
    <w:p>
      <w:pPr>
        <w:ind w:left="1540" w:right="1359" w:hanging="290"/>
        <w:spacing w:after="0" w:line="288"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we will issue the series of debt securities, if other than denominations of $1,000 and any integral multiple thereof;</w:t>
      </w:r>
    </w:p>
    <w:p>
      <w:pPr>
        <w:spacing w:after="0" w:line="7" w:lineRule="exact"/>
        <w:rPr>
          <w:rFonts w:ascii="Times New Roman" w:cs="Times New Roman" w:eastAsia="Times New Roman" w:hAnsi="Times New Roman"/>
          <w:sz w:val="15"/>
          <w:szCs w:val="15"/>
          <w:color w:val="auto"/>
        </w:rPr>
      </w:pPr>
    </w:p>
    <w:p>
      <w:pPr>
        <w:ind w:left="1540" w:right="1019" w:hanging="290"/>
        <w:spacing w:after="0" w:line="271"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20" w:lineRule="exact"/>
        <w:rPr>
          <w:rFonts w:ascii="Times New Roman" w:cs="Times New Roman" w:eastAsia="Times New Roman" w:hAnsi="Times New Roman"/>
          <w:sz w:val="15"/>
          <w:szCs w:val="15"/>
          <w:color w:val="auto"/>
        </w:rPr>
      </w:pPr>
    </w:p>
    <w:p>
      <w:pPr>
        <w:ind w:left="1540" w:right="999" w:hanging="290"/>
        <w:spacing w:after="0" w:line="265"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36" w:lineRule="exact"/>
        <w:rPr>
          <w:rFonts w:ascii="Times New Roman" w:cs="Times New Roman" w:eastAsia="Times New Roman" w:hAnsi="Times New Roman"/>
          <w:sz w:val="15"/>
          <w:szCs w:val="15"/>
          <w:color w:val="auto"/>
        </w:rPr>
      </w:pPr>
    </w:p>
    <w:p>
      <w:pPr>
        <w:ind w:left="1540" w:right="979" w:hanging="290"/>
        <w:spacing w:after="0" w:line="262"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27" w:lineRule="exact"/>
        <w:rPr>
          <w:rFonts w:ascii="Times New Roman" w:cs="Times New Roman" w:eastAsia="Times New Roman" w:hAnsi="Times New Roman"/>
          <w:sz w:val="15"/>
          <w:szCs w:val="15"/>
          <w:color w:val="auto"/>
        </w:rPr>
      </w:pPr>
    </w:p>
    <w:p>
      <w:pPr>
        <w:ind w:left="1540" w:right="1059" w:hanging="290"/>
        <w:spacing w:after="0" w:line="288"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full principal amount thereof, the portion of the principal amount of debt securities of the series which shall be payable upon declaration of acceleration of the maturity thereof;</w:t>
      </w:r>
    </w:p>
    <w:p>
      <w:pPr>
        <w:spacing w:after="0" w:line="7" w:lineRule="exact"/>
        <w:rPr>
          <w:rFonts w:ascii="Times New Roman" w:cs="Times New Roman" w:eastAsia="Times New Roman" w:hAnsi="Times New Roman"/>
          <w:sz w:val="15"/>
          <w:szCs w:val="15"/>
          <w:color w:val="auto"/>
        </w:rPr>
      </w:pPr>
    </w:p>
    <w:p>
      <w:pPr>
        <w:ind w:left="1540" w:right="979" w:hanging="290"/>
        <w:spacing w:after="0" w:line="288"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the covenants applicable to the particular debt securities being issued, including, among others, the consolidation, merger or sale covenant;</w:t>
      </w:r>
    </w:p>
    <w:p>
      <w:pPr>
        <w:spacing w:after="0" w:line="19" w:lineRule="exact"/>
        <w:rPr>
          <w:rFonts w:ascii="Times New Roman" w:cs="Times New Roman" w:eastAsia="Times New Roman" w:hAnsi="Times New Roman"/>
          <w:sz w:val="15"/>
          <w:szCs w:val="15"/>
          <w:color w:val="auto"/>
        </w:rPr>
      </w:pPr>
    </w:p>
    <w:p>
      <w:pPr>
        <w:jc w:val="both"/>
        <w:ind w:left="1540" w:right="1019" w:hanging="290"/>
        <w:spacing w:after="0" w:line="271"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20" w:lineRule="exact"/>
        <w:rPr>
          <w:rFonts w:ascii="Times New Roman" w:cs="Times New Roman" w:eastAsia="Times New Roman" w:hAnsi="Times New Roman"/>
          <w:sz w:val="15"/>
          <w:szCs w:val="15"/>
          <w:color w:val="auto"/>
        </w:rPr>
      </w:pPr>
    </w:p>
    <w:p>
      <w:pPr>
        <w:ind w:left="1540" w:right="1559" w:hanging="290"/>
        <w:spacing w:after="0" w:line="288"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or deletions of the provisions relating to covenant defeasance and legal defeasance;</w:t>
      </w:r>
    </w:p>
    <w:p>
      <w:pPr>
        <w:spacing w:after="0" w:line="7"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the provisions relating to satisfaction and discharge of the indenture;</w:t>
      </w:r>
    </w:p>
    <w:p>
      <w:pPr>
        <w:spacing w:after="0" w:line="78" w:lineRule="exact"/>
        <w:rPr>
          <w:rFonts w:ascii="Times New Roman" w:cs="Times New Roman" w:eastAsia="Times New Roman" w:hAnsi="Times New Roman"/>
          <w:sz w:val="15"/>
          <w:szCs w:val="15"/>
          <w:color w:val="auto"/>
        </w:rPr>
      </w:pPr>
    </w:p>
    <w:p>
      <w:pPr>
        <w:ind w:left="1540" w:right="1439" w:hanging="290"/>
        <w:spacing w:after="0" w:line="288"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to or changes in the provisions relating to the modification of the indenture both with and without the consent of holders of debt securities issued under the indenture;</w:t>
      </w:r>
    </w:p>
    <w:p>
      <w:pPr>
        <w:spacing w:after="0" w:line="7" w:lineRule="exact"/>
        <w:rPr>
          <w:rFonts w:ascii="Times New Roman" w:cs="Times New Roman" w:eastAsia="Times New Roman" w:hAnsi="Times New Roman"/>
          <w:sz w:val="15"/>
          <w:szCs w:val="15"/>
          <w:color w:val="auto"/>
        </w:rPr>
      </w:pPr>
    </w:p>
    <w:p>
      <w:pPr>
        <w:ind w:left="1540" w:right="1239" w:hanging="290"/>
        <w:spacing w:after="0" w:line="288"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of payment of debt securities if other than U.S. dollars and the manner of determining the equivalent amount in U.S. dollars;</w:t>
      </w:r>
    </w:p>
    <w:p>
      <w:pPr>
        <w:spacing w:after="0" w:line="7" w:lineRule="exact"/>
        <w:rPr>
          <w:rFonts w:ascii="Times New Roman" w:cs="Times New Roman" w:eastAsia="Times New Roman" w:hAnsi="Times New Roman"/>
          <w:sz w:val="15"/>
          <w:szCs w:val="15"/>
          <w:color w:val="auto"/>
        </w:rPr>
      </w:pPr>
    </w:p>
    <w:p>
      <w:pPr>
        <w:ind w:left="1540" w:right="1119" w:hanging="290"/>
        <w:spacing w:after="0" w:line="288"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interest will be payable in cash or additional debt securities at our or the holders’ option and the terms and conditions upon which the election may be made;</w:t>
      </w:r>
    </w:p>
    <w:p>
      <w:pPr>
        <w:spacing w:after="0" w:line="19" w:lineRule="exact"/>
        <w:rPr>
          <w:rFonts w:ascii="Times New Roman" w:cs="Times New Roman" w:eastAsia="Times New Roman" w:hAnsi="Times New Roman"/>
          <w:sz w:val="15"/>
          <w:szCs w:val="15"/>
          <w:color w:val="auto"/>
        </w:rPr>
      </w:pPr>
    </w:p>
    <w:p>
      <w:pPr>
        <w:jc w:val="both"/>
        <w:ind w:left="1540" w:right="1459" w:hanging="290"/>
        <w:spacing w:after="0" w:line="271"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20"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restrictions on transfer, sale or assignment of the debt securities of the series; and</w:t>
      </w:r>
    </w:p>
    <w:p>
      <w:pPr>
        <w:spacing w:after="0" w:line="66" w:lineRule="exact"/>
        <w:rPr>
          <w:rFonts w:ascii="Times New Roman" w:cs="Times New Roman" w:eastAsia="Times New Roman" w:hAnsi="Times New Roman"/>
          <w:sz w:val="15"/>
          <w:szCs w:val="15"/>
          <w:color w:val="auto"/>
        </w:rPr>
      </w:pPr>
    </w:p>
    <w:p>
      <w:pPr>
        <w:ind w:left="1540" w:right="1079" w:hanging="290"/>
        <w:spacing w:after="0" w:line="271" w:lineRule="auto"/>
        <w:tabs>
          <w:tab w:leader="none" w:pos="1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4" w:name="page35"/>
    <w:bookmarkEnd w:id="34"/>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Conversion or Exchange Rights</w:t>
      </w:r>
    </w:p>
    <w:p>
      <w:pPr>
        <w:spacing w:after="0" w:line="105" w:lineRule="exact"/>
        <w:rPr>
          <w:sz w:val="20"/>
          <w:szCs w:val="20"/>
          <w:color w:val="auto"/>
        </w:rPr>
      </w:pPr>
    </w:p>
    <w:p>
      <w:pPr>
        <w:ind w:left="940" w:right="979"/>
        <w:spacing w:after="0" w:line="262" w:lineRule="auto"/>
        <w:rPr>
          <w:sz w:val="20"/>
          <w:szCs w:val="20"/>
          <w:color w:val="auto"/>
        </w:rPr>
      </w:pPr>
      <w:r>
        <w:rPr>
          <w:rFonts w:ascii="Times New Roman" w:cs="Times New Roman" w:eastAsia="Times New Roman" w:hAnsi="Times New Roman"/>
          <w:sz w:val="15"/>
          <w:szCs w:val="15"/>
          <w:color w:val="auto"/>
        </w:rPr>
        <w:t>We will set forth in the applicable prospectus supplement the terms on which a series of debt securities may be convertible into or exchangeable for our Class 2 common stock or our other securities. We will include provisions as to settlement upon conversion or exchange and whether conversion or exchange is mandatory, at the option of the holder or at our option. We may include provisions pursuant to which the number of shares of our Class 2 common stock or our other securities that the holders of the series of debt securities receive would be subject to adjustment.</w:t>
      </w:r>
    </w:p>
    <w:p>
      <w:pPr>
        <w:spacing w:after="0" w:line="28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Consolidation, Merger or Sale</w:t>
      </w:r>
    </w:p>
    <w:p>
      <w:pPr>
        <w:spacing w:after="0" w:line="105" w:lineRule="exact"/>
        <w:rPr>
          <w:sz w:val="20"/>
          <w:szCs w:val="20"/>
          <w:color w:val="auto"/>
        </w:rPr>
      </w:pPr>
    </w:p>
    <w:p>
      <w:pPr>
        <w:ind w:left="940" w:right="959"/>
        <w:spacing w:after="0" w:line="262" w:lineRule="auto"/>
        <w:rPr>
          <w:sz w:val="20"/>
          <w:szCs w:val="20"/>
          <w:color w:val="auto"/>
        </w:rPr>
      </w:pPr>
      <w:r>
        <w:rPr>
          <w:rFonts w:ascii="Times New Roman" w:cs="Times New Roman" w:eastAsia="Times New Roman" w:hAnsi="Times New Roman"/>
          <w:sz w:val="15"/>
          <w:szCs w:val="15"/>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spacing w:after="0" w:line="2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Events of Default under the Indenture</w:t>
      </w:r>
    </w:p>
    <w:p>
      <w:pPr>
        <w:spacing w:after="0" w:line="105" w:lineRule="exact"/>
        <w:rPr>
          <w:sz w:val="20"/>
          <w:szCs w:val="20"/>
          <w:color w:val="auto"/>
        </w:rPr>
      </w:pPr>
    </w:p>
    <w:p>
      <w:pPr>
        <w:ind w:left="940" w:right="1179"/>
        <w:spacing w:after="0" w:line="288" w:lineRule="auto"/>
        <w:rPr>
          <w:sz w:val="20"/>
          <w:szCs w:val="20"/>
          <w:color w:val="auto"/>
        </w:rPr>
      </w:pPr>
      <w:r>
        <w:rPr>
          <w:rFonts w:ascii="Times New Roman" w:cs="Times New Roman" w:eastAsia="Times New Roman" w:hAnsi="Times New Roman"/>
          <w:sz w:val="15"/>
          <w:szCs w:val="15"/>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42" w:lineRule="exact"/>
        <w:rPr>
          <w:sz w:val="20"/>
          <w:szCs w:val="20"/>
          <w:color w:val="auto"/>
        </w:rPr>
      </w:pPr>
    </w:p>
    <w:p>
      <w:pPr>
        <w:ind w:left="1540" w:right="1239" w:hanging="290"/>
        <w:spacing w:after="0" w:line="265" w:lineRule="auto"/>
        <w:tabs>
          <w:tab w:leader="none" w:pos="1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59" w:lineRule="exact"/>
        <w:rPr>
          <w:rFonts w:ascii="Times New Roman" w:cs="Times New Roman" w:eastAsia="Times New Roman" w:hAnsi="Times New Roman"/>
          <w:sz w:val="15"/>
          <w:szCs w:val="15"/>
          <w:color w:val="auto"/>
        </w:rPr>
      </w:pPr>
    </w:p>
    <w:p>
      <w:pPr>
        <w:ind w:left="1540" w:right="979" w:hanging="290"/>
        <w:spacing w:after="0" w:line="261" w:lineRule="auto"/>
        <w:tabs>
          <w:tab w:leader="none" w:pos="1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247" w:lineRule="exact"/>
        <w:rPr>
          <w:rFonts w:ascii="Times New Roman" w:cs="Times New Roman" w:eastAsia="Times New Roman" w:hAnsi="Times New Roman"/>
          <w:sz w:val="15"/>
          <w:szCs w:val="15"/>
          <w:color w:val="auto"/>
        </w:rPr>
      </w:pPr>
    </w:p>
    <w:p>
      <w:pPr>
        <w:ind w:left="1540" w:right="1199" w:hanging="290"/>
        <w:spacing w:after="0" w:line="262" w:lineRule="auto"/>
        <w:tabs>
          <w:tab w:leader="none" w:pos="1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6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specified events of bankruptcy, insolvency or reorganization occur.</w:t>
      </w:r>
    </w:p>
    <w:p>
      <w:pPr>
        <w:spacing w:after="0" w:line="101" w:lineRule="exact"/>
        <w:rPr>
          <w:sz w:val="20"/>
          <w:szCs w:val="20"/>
          <w:color w:val="auto"/>
        </w:rPr>
      </w:pPr>
    </w:p>
    <w:p>
      <w:pPr>
        <w:ind w:left="940" w:right="979"/>
        <w:spacing w:after="0" w:line="259" w:lineRule="auto"/>
        <w:rPr>
          <w:sz w:val="20"/>
          <w:szCs w:val="20"/>
          <w:color w:val="auto"/>
        </w:rPr>
      </w:pPr>
      <w:r>
        <w:rPr>
          <w:rFonts w:ascii="Times New Roman" w:cs="Times New Roman" w:eastAsia="Times New Roman" w:hAnsi="Times New Roman"/>
          <w:sz w:val="15"/>
          <w:szCs w:val="15"/>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65" w:lineRule="exact"/>
        <w:rPr>
          <w:sz w:val="20"/>
          <w:szCs w:val="20"/>
          <w:color w:val="auto"/>
        </w:rPr>
      </w:pPr>
    </w:p>
    <w:p>
      <w:pPr>
        <w:ind w:left="940" w:right="1039"/>
        <w:spacing w:after="0" w:line="265" w:lineRule="auto"/>
        <w:rPr>
          <w:sz w:val="20"/>
          <w:szCs w:val="20"/>
          <w:color w:val="auto"/>
        </w:rPr>
      </w:pPr>
      <w:r>
        <w:rPr>
          <w:rFonts w:ascii="Times New Roman" w:cs="Times New Roman" w:eastAsia="Times New Roman" w:hAnsi="Times New Roman"/>
          <w:sz w:val="15"/>
          <w:szCs w:val="15"/>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59" w:lineRule="exact"/>
        <w:rPr>
          <w:sz w:val="20"/>
          <w:szCs w:val="20"/>
          <w:color w:val="auto"/>
        </w:rPr>
      </w:pPr>
    </w:p>
    <w:p>
      <w:pPr>
        <w:ind w:left="940" w:right="1259"/>
        <w:spacing w:after="0" w:line="271" w:lineRule="auto"/>
        <w:rPr>
          <w:sz w:val="20"/>
          <w:szCs w:val="20"/>
          <w:color w:val="auto"/>
        </w:rPr>
      </w:pPr>
      <w:r>
        <w:rPr>
          <w:rFonts w:ascii="Times New Roman" w:cs="Times New Roman" w:eastAsia="Times New Roman" w:hAnsi="Times New Roman"/>
          <w:sz w:val="15"/>
          <w:szCs w:val="15"/>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5" w:name="page36"/>
    <w:bookmarkEnd w:id="35"/>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940" w:right="959"/>
        <w:spacing w:after="0" w:line="265" w:lineRule="auto"/>
        <w:rPr>
          <w:sz w:val="20"/>
          <w:szCs w:val="20"/>
          <w:color w:val="auto"/>
        </w:rPr>
      </w:pPr>
      <w:r>
        <w:rPr>
          <w:rFonts w:ascii="Times New Roman" w:cs="Times New Roman" w:eastAsia="Times New Roman" w:hAnsi="Times New Roman"/>
          <w:sz w:val="15"/>
          <w:szCs w:val="15"/>
          <w:color w:val="auto"/>
        </w:rPr>
        <w:t>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59" w:lineRule="exact"/>
        <w:rPr>
          <w:sz w:val="20"/>
          <w:szCs w:val="20"/>
          <w:color w:val="auto"/>
        </w:rPr>
      </w:pPr>
    </w:p>
    <w:p>
      <w:pPr>
        <w:ind w:left="1540" w:hanging="290"/>
        <w:spacing w:after="0"/>
        <w:tabs>
          <w:tab w:leader="none" w:pos="1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direction so given by the holder is not in conflict with any law or the applicable indenture; and</w:t>
      </w:r>
    </w:p>
    <w:p>
      <w:pPr>
        <w:spacing w:after="0" w:line="101" w:lineRule="exact"/>
        <w:rPr>
          <w:rFonts w:ascii="Times New Roman" w:cs="Times New Roman" w:eastAsia="Times New Roman" w:hAnsi="Times New Roman"/>
          <w:sz w:val="15"/>
          <w:szCs w:val="15"/>
          <w:color w:val="auto"/>
        </w:rPr>
      </w:pPr>
    </w:p>
    <w:p>
      <w:pPr>
        <w:ind w:left="1540" w:right="979" w:hanging="290"/>
        <w:spacing w:after="0" w:line="288" w:lineRule="auto"/>
        <w:tabs>
          <w:tab w:leader="none" w:pos="1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its duties under the Trust Indenture Act, the trustee need not take any action that might involve it in personal liability or might be unduly prejudicial to the holders not involved in the proceeding.</w:t>
      </w:r>
    </w:p>
    <w:p>
      <w:pPr>
        <w:spacing w:after="0" w:line="42" w:lineRule="exact"/>
        <w:rPr>
          <w:sz w:val="20"/>
          <w:szCs w:val="20"/>
          <w:color w:val="auto"/>
        </w:rPr>
      </w:pPr>
    </w:p>
    <w:p>
      <w:pPr>
        <w:ind w:left="940" w:right="1239"/>
        <w:spacing w:after="0" w:line="288" w:lineRule="auto"/>
        <w:rPr>
          <w:sz w:val="20"/>
          <w:szCs w:val="20"/>
          <w:color w:val="auto"/>
        </w:rPr>
      </w:pPr>
      <w:r>
        <w:rPr>
          <w:rFonts w:ascii="Times New Roman" w:cs="Times New Roman" w:eastAsia="Times New Roman" w:hAnsi="Times New Roman"/>
          <w:sz w:val="15"/>
          <w:szCs w:val="15"/>
          <w:color w:val="auto"/>
        </w:rPr>
        <w:t>A holder of the debt securities of any series will have the right to institute a proceeding under the indenture or to appoint a receiver or trustee, or to seek other remedies only if:</w:t>
      </w:r>
    </w:p>
    <w:p>
      <w:pPr>
        <w:spacing w:after="0" w:line="42" w:lineRule="exact"/>
        <w:rPr>
          <w:sz w:val="20"/>
          <w:szCs w:val="20"/>
          <w:color w:val="auto"/>
        </w:rPr>
      </w:pPr>
    </w:p>
    <w:p>
      <w:pPr>
        <w:ind w:left="1540" w:hanging="290"/>
        <w:spacing w:after="0"/>
        <w:tabs>
          <w:tab w:leader="none" w:pos="1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 has given written notice to the trustee of a continuing event of default with respect to that series;</w:t>
      </w:r>
    </w:p>
    <w:p>
      <w:pPr>
        <w:spacing w:after="0" w:line="101" w:lineRule="exact"/>
        <w:rPr>
          <w:rFonts w:ascii="Times New Roman" w:cs="Times New Roman" w:eastAsia="Times New Roman" w:hAnsi="Times New Roman"/>
          <w:sz w:val="15"/>
          <w:szCs w:val="15"/>
          <w:color w:val="auto"/>
        </w:rPr>
      </w:pPr>
    </w:p>
    <w:p>
      <w:pPr>
        <w:ind w:left="1540" w:right="1039" w:hanging="290"/>
        <w:spacing w:after="0" w:line="271" w:lineRule="auto"/>
        <w:tabs>
          <w:tab w:leader="none" w:pos="1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at least 25% in aggregate principal amount of the outstanding debt securities of that series have made written request, such holders have offered to the trustee indemnity satisfactory to it against the costs, expenses and liabilities to be incurred by the trustee in compliance with the request; and</w:t>
      </w:r>
    </w:p>
    <w:p>
      <w:pPr>
        <w:spacing w:after="0" w:line="54" w:lineRule="exact"/>
        <w:rPr>
          <w:rFonts w:ascii="Times New Roman" w:cs="Times New Roman" w:eastAsia="Times New Roman" w:hAnsi="Times New Roman"/>
          <w:sz w:val="15"/>
          <w:szCs w:val="15"/>
          <w:color w:val="auto"/>
        </w:rPr>
      </w:pPr>
    </w:p>
    <w:p>
      <w:pPr>
        <w:ind w:left="1540" w:right="1259" w:hanging="290"/>
        <w:spacing w:after="0" w:line="271" w:lineRule="auto"/>
        <w:tabs>
          <w:tab w:leader="none" w:pos="15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54" w:lineRule="exact"/>
        <w:rPr>
          <w:sz w:val="20"/>
          <w:szCs w:val="20"/>
          <w:color w:val="auto"/>
        </w:rPr>
      </w:pPr>
    </w:p>
    <w:p>
      <w:pPr>
        <w:ind w:left="940" w:right="1159"/>
        <w:spacing w:after="0" w:line="288" w:lineRule="auto"/>
        <w:rPr>
          <w:sz w:val="20"/>
          <w:szCs w:val="20"/>
          <w:color w:val="auto"/>
        </w:rPr>
      </w:pPr>
      <w:r>
        <w:rPr>
          <w:rFonts w:ascii="Times New Roman" w:cs="Times New Roman" w:eastAsia="Times New Roman" w:hAnsi="Times New Roman"/>
          <w:sz w:val="15"/>
          <w:szCs w:val="15"/>
          <w:color w:val="auto"/>
        </w:rPr>
        <w:t>These limitations do not apply to a suit instituted by a holder of debt securities if we default in the payment of the principal, premium, if any, or interest on, the debt securities.</w:t>
      </w:r>
    </w:p>
    <w:p>
      <w:pPr>
        <w:spacing w:after="0" w:line="42" w:lineRule="exact"/>
        <w:rPr>
          <w:sz w:val="20"/>
          <w:szCs w:val="20"/>
          <w:color w:val="auto"/>
        </w:rPr>
      </w:pPr>
    </w:p>
    <w:p>
      <w:pPr>
        <w:ind w:left="940" w:right="1419"/>
        <w:spacing w:after="0" w:line="288" w:lineRule="auto"/>
        <w:rPr>
          <w:sz w:val="20"/>
          <w:szCs w:val="20"/>
          <w:color w:val="auto"/>
        </w:rPr>
      </w:pPr>
      <w:r>
        <w:rPr>
          <w:rFonts w:ascii="Times New Roman" w:cs="Times New Roman" w:eastAsia="Times New Roman" w:hAnsi="Times New Roman"/>
          <w:sz w:val="15"/>
          <w:szCs w:val="15"/>
          <w:color w:val="auto"/>
        </w:rPr>
        <w:t>We will periodically file statements with the trustee regarding our compliance with specified covenants in the indenture.</w:t>
      </w:r>
    </w:p>
    <w:p>
      <w:pPr>
        <w:spacing w:after="0" w:line="16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Modification of Indenture; Waiver</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We and the trustee may change an indenture without the consent of any holders with respect to specific matters:</w:t>
      </w:r>
    </w:p>
    <w:p>
      <w:pPr>
        <w:spacing w:after="0" w:line="101" w:lineRule="exact"/>
        <w:rPr>
          <w:sz w:val="20"/>
          <w:szCs w:val="20"/>
          <w:color w:val="auto"/>
        </w:rPr>
      </w:pPr>
    </w:p>
    <w:p>
      <w:pPr>
        <w:ind w:left="1540" w:hanging="290"/>
        <w:spacing w:after="0"/>
        <w:tabs>
          <w:tab w:leader="none" w:pos="1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defect or inconsistency in the indenture or in the debt securities of any series;</w:t>
      </w:r>
    </w:p>
    <w:p>
      <w:pPr>
        <w:spacing w:after="0" w:line="101" w:lineRule="exact"/>
        <w:rPr>
          <w:rFonts w:ascii="Times New Roman" w:cs="Times New Roman" w:eastAsia="Times New Roman" w:hAnsi="Times New Roman"/>
          <w:sz w:val="15"/>
          <w:szCs w:val="15"/>
          <w:color w:val="auto"/>
        </w:rPr>
      </w:pPr>
    </w:p>
    <w:p>
      <w:pPr>
        <w:ind w:left="1540" w:right="1399" w:hanging="290"/>
        <w:spacing w:after="0" w:line="288" w:lineRule="auto"/>
        <w:tabs>
          <w:tab w:leader="none" w:pos="1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the provisions described above under the heading “Description of Debt Securities— Consolidation, Merger or Sale;”</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uncertificated debt securities in addition to or in place of certificated debt securities;</w:t>
      </w:r>
    </w:p>
    <w:p>
      <w:pPr>
        <w:spacing w:after="0" w:line="101" w:lineRule="exact"/>
        <w:rPr>
          <w:rFonts w:ascii="Times New Roman" w:cs="Times New Roman" w:eastAsia="Times New Roman" w:hAnsi="Times New Roman"/>
          <w:sz w:val="15"/>
          <w:szCs w:val="15"/>
          <w:color w:val="auto"/>
        </w:rPr>
      </w:pPr>
    </w:p>
    <w:p>
      <w:pPr>
        <w:ind w:left="1540" w:right="979" w:hanging="290"/>
        <w:spacing w:after="0" w:line="265" w:lineRule="auto"/>
        <w:tabs>
          <w:tab w:leader="none" w:pos="1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59" w:lineRule="exact"/>
        <w:rPr>
          <w:rFonts w:ascii="Times New Roman" w:cs="Times New Roman" w:eastAsia="Times New Roman" w:hAnsi="Times New Roman"/>
          <w:sz w:val="15"/>
          <w:szCs w:val="15"/>
          <w:color w:val="auto"/>
        </w:rPr>
      </w:pPr>
    </w:p>
    <w:p>
      <w:pPr>
        <w:ind w:left="1540" w:right="1259" w:hanging="290"/>
        <w:spacing w:after="0" w:line="288" w:lineRule="auto"/>
        <w:tabs>
          <w:tab w:leader="none" w:pos="1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delete from or revise the conditions, limitations, and restrictions on the authorized amount, terms, or purposes of issue, authentication and delivery of debt securities, as set forth in the indenture;</w:t>
      </w:r>
    </w:p>
    <w:p>
      <w:pPr>
        <w:spacing w:after="0" w:line="42" w:lineRule="exact"/>
        <w:rPr>
          <w:rFonts w:ascii="Times New Roman" w:cs="Times New Roman" w:eastAsia="Times New Roman" w:hAnsi="Times New Roman"/>
          <w:sz w:val="15"/>
          <w:szCs w:val="15"/>
          <w:color w:val="auto"/>
        </w:rPr>
      </w:pPr>
    </w:p>
    <w:p>
      <w:pPr>
        <w:ind w:left="1540" w:right="1339" w:hanging="290"/>
        <w:spacing w:after="0" w:line="288" w:lineRule="auto"/>
        <w:tabs>
          <w:tab w:leader="none" w:pos="1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change that does not adversely affect the interests of any holder of debt securities of any series in any material respect;</w:t>
      </w:r>
    </w:p>
    <w:p>
      <w:pPr>
        <w:spacing w:after="0" w:line="42" w:lineRule="exact"/>
        <w:rPr>
          <w:rFonts w:ascii="Times New Roman" w:cs="Times New Roman" w:eastAsia="Times New Roman" w:hAnsi="Times New Roman"/>
          <w:sz w:val="15"/>
          <w:szCs w:val="15"/>
          <w:color w:val="auto"/>
        </w:rPr>
      </w:pPr>
    </w:p>
    <w:p>
      <w:pPr>
        <w:ind w:left="1540" w:right="1019" w:hanging="290"/>
        <w:spacing w:after="0" w:line="265" w:lineRule="auto"/>
        <w:tabs>
          <w:tab w:leader="none" w:pos="1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issuance of and establish the form and terms and conditions of the debt securities of any series as provided above under the heading “Description of Debt Securities—General” to establish the form of any certifications required to be furnished pursuant to the terms of the indenture or any series of debt securities, or to add to the rights of the holders of any series of debt securities;</w:t>
      </w:r>
    </w:p>
    <w:p>
      <w:pPr>
        <w:spacing w:after="0" w:line="59"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under any indenture by a successor trustee; or</w:t>
      </w:r>
    </w:p>
    <w:p>
      <w:pPr>
        <w:spacing w:after="0" w:line="101" w:lineRule="exact"/>
        <w:rPr>
          <w:rFonts w:ascii="Times New Roman" w:cs="Times New Roman" w:eastAsia="Times New Roman" w:hAnsi="Times New Roman"/>
          <w:sz w:val="15"/>
          <w:szCs w:val="15"/>
          <w:color w:val="auto"/>
        </w:rPr>
      </w:pPr>
    </w:p>
    <w:p>
      <w:pPr>
        <w:ind w:left="1540" w:right="1139" w:hanging="290"/>
        <w:spacing w:after="0" w:line="288" w:lineRule="auto"/>
        <w:tabs>
          <w:tab w:leader="none" w:pos="154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any requirements of the SEC in connection with the qualification of any indenture under the Trust Indenture Act.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6" w:name="page37"/>
    <w:bookmarkEnd w:id="36"/>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940" w:right="1019"/>
        <w:spacing w:after="0" w:line="262" w:lineRule="auto"/>
        <w:rPr>
          <w:sz w:val="20"/>
          <w:szCs w:val="20"/>
          <w:color w:val="auto"/>
        </w:rPr>
      </w:pPr>
      <w:r>
        <w:rPr>
          <w:rFonts w:ascii="Times New Roman" w:cs="Times New Roman" w:eastAsia="Times New Roman" w:hAnsi="Times New Roman"/>
          <w:sz w:val="15"/>
          <w:szCs w:val="15"/>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spacing w:after="0" w:line="62" w:lineRule="exact"/>
        <w:rPr>
          <w:sz w:val="20"/>
          <w:szCs w:val="20"/>
          <w:color w:val="auto"/>
        </w:rPr>
      </w:pPr>
    </w:p>
    <w:p>
      <w:pPr>
        <w:ind w:left="1540" w:hanging="290"/>
        <w:spacing w:after="0"/>
        <w:tabs>
          <w:tab w:leader="none" w:pos="1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extending the fixed maturity of any debt securities of any series;</w:t>
      </w:r>
    </w:p>
    <w:p>
      <w:pPr>
        <w:spacing w:after="0" w:line="101" w:lineRule="exact"/>
        <w:rPr>
          <w:rFonts w:ascii="Times New Roman" w:cs="Times New Roman" w:eastAsia="Times New Roman" w:hAnsi="Times New Roman"/>
          <w:sz w:val="15"/>
          <w:szCs w:val="15"/>
          <w:color w:val="auto"/>
        </w:rPr>
      </w:pPr>
    </w:p>
    <w:p>
      <w:pPr>
        <w:ind w:left="1540" w:right="1479" w:hanging="290"/>
        <w:spacing w:after="0" w:line="288" w:lineRule="auto"/>
        <w:tabs>
          <w:tab w:leader="none" w:pos="1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principal amount, reducing the rate of or extending the time of payment of interest, or reducing any premium payable upon the redemption of any series of any debt securities; or</w:t>
      </w:r>
    </w:p>
    <w:p>
      <w:pPr>
        <w:spacing w:after="0" w:line="42" w:lineRule="exact"/>
        <w:rPr>
          <w:rFonts w:ascii="Times New Roman" w:cs="Times New Roman" w:eastAsia="Times New Roman" w:hAnsi="Times New Roman"/>
          <w:sz w:val="15"/>
          <w:szCs w:val="15"/>
          <w:color w:val="auto"/>
        </w:rPr>
      </w:pPr>
    </w:p>
    <w:p>
      <w:pPr>
        <w:ind w:left="1540" w:right="999" w:hanging="290"/>
        <w:spacing w:after="0" w:line="288" w:lineRule="auto"/>
        <w:tabs>
          <w:tab w:leader="none" w:pos="1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reducing the percentage of debt securities, the holders of which are required to consent to any amendment, supplement, modification or waiver.</w:t>
      </w:r>
    </w:p>
    <w:p>
      <w:pPr>
        <w:spacing w:after="0" w:line="1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Discharge</w:t>
      </w:r>
    </w:p>
    <w:p>
      <w:pPr>
        <w:spacing w:after="0" w:line="105" w:lineRule="exact"/>
        <w:rPr>
          <w:sz w:val="20"/>
          <w:szCs w:val="20"/>
          <w:color w:val="auto"/>
        </w:rPr>
      </w:pPr>
    </w:p>
    <w:p>
      <w:pPr>
        <w:ind w:left="940" w:right="959"/>
        <w:spacing w:after="0" w:line="288" w:lineRule="auto"/>
        <w:rPr>
          <w:sz w:val="20"/>
          <w:szCs w:val="20"/>
          <w:color w:val="auto"/>
        </w:rPr>
      </w:pPr>
      <w:r>
        <w:rPr>
          <w:rFonts w:ascii="Times New Roman" w:cs="Times New Roman" w:eastAsia="Times New Roman" w:hAnsi="Times New Roman"/>
          <w:sz w:val="15"/>
          <w:szCs w:val="15"/>
          <w:color w:val="auto"/>
        </w:rPr>
        <w:t>Each indenture provides that we can elect to be discharged from our obligations with respect to one or more series of debt securities, except for specified obligations, including obligations to:</w:t>
      </w:r>
    </w:p>
    <w:p>
      <w:pPr>
        <w:spacing w:after="0" w:line="42" w:lineRule="exact"/>
        <w:rPr>
          <w:sz w:val="20"/>
          <w:szCs w:val="20"/>
          <w:color w:val="auto"/>
        </w:rPr>
      </w:pPr>
    </w:p>
    <w:p>
      <w:pPr>
        <w:ind w:left="1540" w:hanging="290"/>
        <w:spacing w:after="0"/>
        <w:tabs>
          <w:tab w:leader="none" w:pos="1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for payment;</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 the transfer or exchange of debt securities of the series;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replace stolen, lost or mutilated debt securities of the series;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 principal of and premium and interest on any debt securities of the series;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paying agencies;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 monies for payment in trust;</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recover excess money held by the trustee;</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compensate and indemnify the trustee; and</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 any successor trustee.</w:t>
      </w:r>
    </w:p>
    <w:p>
      <w:pPr>
        <w:spacing w:after="0" w:line="101" w:lineRule="exact"/>
        <w:rPr>
          <w:sz w:val="20"/>
          <w:szCs w:val="20"/>
          <w:color w:val="auto"/>
        </w:rPr>
      </w:pPr>
    </w:p>
    <w:p>
      <w:pPr>
        <w:ind w:left="940" w:right="1099"/>
        <w:spacing w:after="0" w:line="271" w:lineRule="auto"/>
        <w:rPr>
          <w:sz w:val="20"/>
          <w:szCs w:val="20"/>
          <w:color w:val="auto"/>
        </w:rPr>
      </w:pPr>
      <w:r>
        <w:rPr>
          <w:rFonts w:ascii="Times New Roman" w:cs="Times New Roman" w:eastAsia="Times New Roman" w:hAnsi="Times New Roman"/>
          <w:sz w:val="15"/>
          <w:szCs w:val="15"/>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Form, Exchange and Transfer</w:t>
      </w:r>
    </w:p>
    <w:p>
      <w:pPr>
        <w:spacing w:after="0" w:line="105" w:lineRule="exact"/>
        <w:rPr>
          <w:sz w:val="20"/>
          <w:szCs w:val="20"/>
          <w:color w:val="auto"/>
        </w:rPr>
      </w:pPr>
    </w:p>
    <w:p>
      <w:pPr>
        <w:ind w:left="940" w:right="959"/>
        <w:spacing w:after="0" w:line="259" w:lineRule="auto"/>
        <w:rPr>
          <w:sz w:val="20"/>
          <w:szCs w:val="20"/>
          <w:color w:val="auto"/>
        </w:rPr>
      </w:pPr>
      <w:r>
        <w:rPr>
          <w:rFonts w:ascii="Times New Roman" w:cs="Times New Roman" w:eastAsia="Times New Roman" w:hAnsi="Times New Roman"/>
          <w:sz w:val="15"/>
          <w:szCs w:val="15"/>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65" w:lineRule="exact"/>
        <w:rPr>
          <w:sz w:val="20"/>
          <w:szCs w:val="20"/>
          <w:color w:val="auto"/>
        </w:rPr>
      </w:pPr>
    </w:p>
    <w:p>
      <w:pPr>
        <w:ind w:left="940" w:right="1139"/>
        <w:spacing w:after="0" w:line="265" w:lineRule="auto"/>
        <w:rPr>
          <w:sz w:val="20"/>
          <w:szCs w:val="20"/>
          <w:color w:val="auto"/>
        </w:rPr>
      </w:pPr>
      <w:r>
        <w:rPr>
          <w:rFonts w:ascii="Times New Roman" w:cs="Times New Roman" w:eastAsia="Times New Roman" w:hAnsi="Times New Roman"/>
          <w:sz w:val="15"/>
          <w:szCs w:val="15"/>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59" w:lineRule="exact"/>
        <w:rPr>
          <w:sz w:val="20"/>
          <w:szCs w:val="20"/>
          <w:color w:val="auto"/>
        </w:rPr>
      </w:pPr>
    </w:p>
    <w:p>
      <w:pPr>
        <w:ind w:left="940" w:right="1019"/>
        <w:spacing w:after="0" w:line="259" w:lineRule="auto"/>
        <w:rPr>
          <w:sz w:val="20"/>
          <w:szCs w:val="20"/>
          <w:color w:val="auto"/>
        </w:rPr>
      </w:pPr>
      <w:r>
        <w:rPr>
          <w:rFonts w:ascii="Times New Roman" w:cs="Times New Roman" w:eastAsia="Times New Roman" w:hAnsi="Times New Roman"/>
          <w:sz w:val="15"/>
          <w:szCs w:val="15"/>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65" w:lineRule="exact"/>
        <w:rPr>
          <w:sz w:val="20"/>
          <w:szCs w:val="20"/>
          <w:color w:val="auto"/>
        </w:rPr>
      </w:pPr>
    </w:p>
    <w:p>
      <w:pPr>
        <w:ind w:left="940" w:right="979"/>
        <w:spacing w:after="0" w:line="288" w:lineRule="auto"/>
        <w:rPr>
          <w:sz w:val="20"/>
          <w:szCs w:val="20"/>
          <w:color w:val="auto"/>
        </w:rPr>
      </w:pPr>
      <w:r>
        <w:rPr>
          <w:rFonts w:ascii="Times New Roman" w:cs="Times New Roman" w:eastAsia="Times New Roman" w:hAnsi="Times New Roman"/>
          <w:sz w:val="15"/>
          <w:szCs w:val="15"/>
          <w:color w:val="auto"/>
        </w:rPr>
        <w:t>We will name in the applicable prospectus supplement the security registrar, and any transfer agent in addition to the security registrar, that we initially designate for any debt securities. We may at any time designate additional</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7" w:name="page38"/>
    <w:bookmarkEnd w:id="37"/>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jc w:val="both"/>
        <w:ind w:left="940" w:right="1019"/>
        <w:spacing w:after="0" w:line="271" w:lineRule="auto"/>
        <w:rPr>
          <w:sz w:val="20"/>
          <w:szCs w:val="20"/>
          <w:color w:val="auto"/>
        </w:rPr>
      </w:pPr>
      <w:r>
        <w:rPr>
          <w:rFonts w:ascii="Times New Roman" w:cs="Times New Roman" w:eastAsia="Times New Roman" w:hAnsi="Times New Roman"/>
          <w:sz w:val="15"/>
          <w:szCs w:val="15"/>
          <w:color w:val="auto"/>
        </w:rPr>
        <w:t>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If we elect to redeem the debt securities of any series, we will not be required to:</w:t>
      </w:r>
    </w:p>
    <w:p>
      <w:pPr>
        <w:spacing w:after="0" w:line="101" w:lineRule="exact"/>
        <w:rPr>
          <w:sz w:val="20"/>
          <w:szCs w:val="20"/>
          <w:color w:val="auto"/>
        </w:rPr>
      </w:pPr>
    </w:p>
    <w:p>
      <w:pPr>
        <w:jc w:val="both"/>
        <w:ind w:left="1540" w:right="959" w:hanging="290"/>
        <w:spacing w:after="0" w:line="271" w:lineRule="auto"/>
        <w:tabs>
          <w:tab w:leader="none" w:pos="1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54" w:lineRule="exact"/>
        <w:rPr>
          <w:rFonts w:ascii="Times New Roman" w:cs="Times New Roman" w:eastAsia="Times New Roman" w:hAnsi="Times New Roman"/>
          <w:sz w:val="15"/>
          <w:szCs w:val="15"/>
          <w:color w:val="auto"/>
        </w:rPr>
      </w:pPr>
    </w:p>
    <w:p>
      <w:pPr>
        <w:ind w:left="1540" w:right="1299" w:hanging="290"/>
        <w:spacing w:after="0" w:line="288" w:lineRule="auto"/>
        <w:tabs>
          <w:tab w:leader="none" w:pos="1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 the transfer of or exchange any debt securities so selected for redemption, in whole or in part, except the unredeemed portion of any debt securities we are redeeming in part.</w:t>
      </w:r>
    </w:p>
    <w:p>
      <w:pPr>
        <w:spacing w:after="0" w:line="2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Information Concerning the Trustee</w:t>
      </w:r>
    </w:p>
    <w:p>
      <w:pPr>
        <w:spacing w:after="0" w:line="105" w:lineRule="exact"/>
        <w:rPr>
          <w:sz w:val="20"/>
          <w:szCs w:val="20"/>
          <w:color w:val="auto"/>
        </w:rPr>
      </w:pPr>
    </w:p>
    <w:p>
      <w:pPr>
        <w:ind w:left="940" w:right="1059"/>
        <w:spacing w:after="0" w:line="260" w:lineRule="auto"/>
        <w:rPr>
          <w:sz w:val="20"/>
          <w:szCs w:val="20"/>
          <w:color w:val="auto"/>
        </w:rPr>
      </w:pPr>
      <w:r>
        <w:rPr>
          <w:rFonts w:ascii="Times New Roman" w:cs="Times New Roman" w:eastAsia="Times New Roman" w:hAnsi="Times New Roman"/>
          <w:sz w:val="15"/>
          <w:szCs w:val="15"/>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2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Payment and Paying Agents</w:t>
      </w:r>
    </w:p>
    <w:p>
      <w:pPr>
        <w:spacing w:after="0" w:line="105" w:lineRule="exact"/>
        <w:rPr>
          <w:sz w:val="20"/>
          <w:szCs w:val="20"/>
          <w:color w:val="auto"/>
        </w:rPr>
      </w:pPr>
    </w:p>
    <w:p>
      <w:pPr>
        <w:ind w:left="940" w:right="1059"/>
        <w:spacing w:after="0" w:line="271" w:lineRule="auto"/>
        <w:rPr>
          <w:sz w:val="20"/>
          <w:szCs w:val="20"/>
          <w:color w:val="auto"/>
        </w:rPr>
      </w:pPr>
      <w:r>
        <w:rPr>
          <w:rFonts w:ascii="Times New Roman" w:cs="Times New Roman" w:eastAsia="Times New Roman" w:hAnsi="Times New Roman"/>
          <w:sz w:val="15"/>
          <w:szCs w:val="15"/>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54" w:lineRule="exact"/>
        <w:rPr>
          <w:sz w:val="20"/>
          <w:szCs w:val="20"/>
          <w:color w:val="auto"/>
        </w:rPr>
      </w:pPr>
    </w:p>
    <w:p>
      <w:pPr>
        <w:ind w:left="940" w:right="999"/>
        <w:spacing w:after="0" w:line="259" w:lineRule="auto"/>
        <w:rPr>
          <w:sz w:val="20"/>
          <w:szCs w:val="20"/>
          <w:color w:val="auto"/>
        </w:rPr>
      </w:pPr>
      <w:r>
        <w:rPr>
          <w:rFonts w:ascii="Times New Roman" w:cs="Times New Roman" w:eastAsia="Times New Roman" w:hAnsi="Times New Roman"/>
          <w:sz w:val="15"/>
          <w:szCs w:val="15"/>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248" w:lineRule="exact"/>
        <w:rPr>
          <w:sz w:val="20"/>
          <w:szCs w:val="20"/>
          <w:color w:val="auto"/>
        </w:rPr>
      </w:pPr>
    </w:p>
    <w:p>
      <w:pPr>
        <w:ind w:left="940" w:right="1059"/>
        <w:spacing w:after="0" w:line="265" w:lineRule="auto"/>
        <w:rPr>
          <w:sz w:val="20"/>
          <w:szCs w:val="20"/>
          <w:color w:val="auto"/>
        </w:rPr>
      </w:pPr>
      <w:r>
        <w:rPr>
          <w:rFonts w:ascii="Times New Roman" w:cs="Times New Roman" w:eastAsia="Times New Roman" w:hAnsi="Times New Roman"/>
          <w:sz w:val="15"/>
          <w:szCs w:val="15"/>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05" w:lineRule="exact"/>
        <w:rPr>
          <w:sz w:val="20"/>
          <w:szCs w:val="20"/>
          <w:color w:val="auto"/>
        </w:rPr>
      </w:pPr>
    </w:p>
    <w:p>
      <w:pPr>
        <w:ind w:left="940" w:right="1079"/>
        <w:spacing w:after="0" w:line="288" w:lineRule="auto"/>
        <w:rPr>
          <w:sz w:val="20"/>
          <w:szCs w:val="20"/>
          <w:color w:val="auto"/>
        </w:rPr>
      </w:pPr>
      <w:r>
        <w:rPr>
          <w:rFonts w:ascii="Times New Roman" w:cs="Times New Roman" w:eastAsia="Times New Roman" w:hAnsi="Times New Roman"/>
          <w:sz w:val="15"/>
          <w:szCs w:val="15"/>
          <w:color w:val="auto"/>
        </w:rPr>
        <w:t>The indenture and the debt securities will be governed by and construed in accordance with the internal laws of the State of New York, except to the extent that the Trust Indenture Act is applicable.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8" w:name="page39"/>
    <w:bookmarkEnd w:id="38"/>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05" w:lineRule="exact"/>
        <w:rPr>
          <w:sz w:val="20"/>
          <w:szCs w:val="20"/>
          <w:color w:val="auto"/>
        </w:rPr>
      </w:pPr>
    </w:p>
    <w:p>
      <w:pPr>
        <w:ind w:left="940" w:right="1079"/>
        <w:spacing w:after="0" w:line="257"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may include in any applicable prospectus supplement and free writing prospectus, summarizes the material terms and provisions of the warrants that we may offer under this prospectus, which may consist of warrants to purchase Class 2 common stock, preferred stock or debt securities and may be issued in one or more series. Warrants may be offered independently or in combination with Class 2 common stock, preferred stock or debt securities offered by any prospectus supplement. While the terms we have summarized below will apply generally to any warrants that we may offer under this prospectus, we will describe the particular terms of any series of warrants in more detail in the applicable prospectus supplement. The following description of warrants will apply to the warrants offered by this prospectus unless we provide otherwise in the applicable prospectus supplement. The applicable prospectus supplement for a particular series of warrants may specify different or additional terms.</w:t>
      </w:r>
    </w:p>
    <w:p>
      <w:pPr>
        <w:spacing w:after="0" w:line="69" w:lineRule="exact"/>
        <w:rPr>
          <w:sz w:val="20"/>
          <w:szCs w:val="20"/>
          <w:color w:val="auto"/>
        </w:rPr>
      </w:pPr>
    </w:p>
    <w:p>
      <w:pPr>
        <w:ind w:left="940" w:right="959"/>
        <w:spacing w:after="0" w:line="256" w:lineRule="auto"/>
        <w:rPr>
          <w:sz w:val="20"/>
          <w:szCs w:val="20"/>
          <w:color w:val="auto"/>
        </w:rPr>
      </w:pPr>
      <w:r>
        <w:rPr>
          <w:rFonts w:ascii="Times New Roman" w:cs="Times New Roman" w:eastAsia="Times New Roman" w:hAnsi="Times New Roman"/>
          <w:sz w:val="15"/>
          <w:szCs w:val="15"/>
          <w:color w:val="auto"/>
        </w:rPr>
        <w:t>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and/or the warrant agreement and warrant certificate, as applicable, that contain the terms of the particular series of warrants we are offering, and any supplemental agreements, before the issuance of such warrants. The following summaries of material terms and provisions of the warrants are subject to, and qualified in their entirety by reference to, all the provisions of the form of warrant and/or the warrant agreement and warrant certificate, as applicable, and any supplemental agreements applicable to a particular series of warrants that we or selling securityholders may offer under this prospectus. We urge you to read the applicable prospectus supplement related to the particular series of warrants that we or selling securityholders may offer under this prospectus, as well as any related free writing prospectus, and the complete form of warrant and/or the warrant agreement and warrant certificate, as applicable, and any supplemental agreements, that contain the terms of the warrants.</w:t>
      </w: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05" w:lineRule="exact"/>
        <w:rPr>
          <w:sz w:val="20"/>
          <w:szCs w:val="20"/>
          <w:color w:val="auto"/>
        </w:rPr>
      </w:pPr>
    </w:p>
    <w:p>
      <w:pPr>
        <w:ind w:left="940" w:right="1599"/>
        <w:spacing w:after="0" w:line="288" w:lineRule="auto"/>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warrants being offered, including:</w:t>
      </w:r>
    </w:p>
    <w:p>
      <w:pPr>
        <w:spacing w:after="0" w:line="8" w:lineRule="exact"/>
        <w:rPr>
          <w:sz w:val="20"/>
          <w:szCs w:val="20"/>
          <w:color w:val="auto"/>
        </w:rPr>
      </w:pPr>
    </w:p>
    <w:p>
      <w:pPr>
        <w:ind w:left="1540" w:hanging="290"/>
        <w:spacing w:after="0"/>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offering price and aggregate number of warrants offered;</w:t>
      </w:r>
    </w:p>
    <w:p>
      <w:pPr>
        <w:spacing w:after="0" w:line="78"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for which the warrants may be purchased;</w:t>
      </w:r>
    </w:p>
    <w:p>
      <w:pPr>
        <w:spacing w:after="0" w:line="66" w:lineRule="exact"/>
        <w:rPr>
          <w:rFonts w:ascii="Times New Roman" w:cs="Times New Roman" w:eastAsia="Times New Roman" w:hAnsi="Times New Roman"/>
          <w:sz w:val="15"/>
          <w:szCs w:val="15"/>
          <w:color w:val="auto"/>
        </w:rPr>
      </w:pPr>
    </w:p>
    <w:p>
      <w:pPr>
        <w:ind w:left="1540" w:right="1459" w:hanging="290"/>
        <w:spacing w:after="0" w:line="288" w:lineRule="auto"/>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securities with which the warrants are issued and the number of warrants issued with each such security or each principal amount of such security;</w:t>
      </w:r>
    </w:p>
    <w:p>
      <w:pPr>
        <w:spacing w:after="0" w:line="7" w:lineRule="exact"/>
        <w:rPr>
          <w:rFonts w:ascii="Times New Roman" w:cs="Times New Roman" w:eastAsia="Times New Roman" w:hAnsi="Times New Roman"/>
          <w:sz w:val="15"/>
          <w:szCs w:val="15"/>
          <w:color w:val="auto"/>
        </w:rPr>
      </w:pPr>
    </w:p>
    <w:p>
      <w:pPr>
        <w:ind w:left="1540" w:right="1279" w:hanging="290"/>
        <w:spacing w:after="0" w:line="271" w:lineRule="auto"/>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31" w:lineRule="exact"/>
        <w:rPr>
          <w:rFonts w:ascii="Times New Roman" w:cs="Times New Roman" w:eastAsia="Times New Roman" w:hAnsi="Times New Roman"/>
          <w:sz w:val="15"/>
          <w:szCs w:val="15"/>
          <w:color w:val="auto"/>
        </w:rPr>
      </w:pPr>
    </w:p>
    <w:p>
      <w:pPr>
        <w:ind w:left="1540" w:right="959" w:hanging="290"/>
        <w:spacing w:after="0" w:line="271" w:lineRule="auto"/>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Class 2 common stock or preferred stock, the number of shares of Class 2 common stock or preferred stock, as the case may be, purchasable upon the exercise of one warrant and the price at which these shares may be purchased upon such exercise;</w:t>
      </w:r>
    </w:p>
    <w:p>
      <w:pPr>
        <w:spacing w:after="0" w:line="20" w:lineRule="exact"/>
        <w:rPr>
          <w:rFonts w:ascii="Times New Roman" w:cs="Times New Roman" w:eastAsia="Times New Roman" w:hAnsi="Times New Roman"/>
          <w:sz w:val="15"/>
          <w:szCs w:val="15"/>
          <w:color w:val="auto"/>
        </w:rPr>
      </w:pPr>
    </w:p>
    <w:p>
      <w:pPr>
        <w:ind w:left="1540" w:right="999" w:hanging="290"/>
        <w:spacing w:after="0" w:line="288" w:lineRule="auto"/>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any merger, consolidation, sale or other disposition of our business on the warrant agreements and the warrants;</w:t>
      </w:r>
    </w:p>
    <w:p>
      <w:pPr>
        <w:spacing w:after="0" w:line="7"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any rights to redeem or call the warrants;</w:t>
      </w:r>
    </w:p>
    <w:p>
      <w:pPr>
        <w:spacing w:after="0" w:line="78" w:lineRule="exact"/>
        <w:rPr>
          <w:rFonts w:ascii="Times New Roman" w:cs="Times New Roman" w:eastAsia="Times New Roman" w:hAnsi="Times New Roman"/>
          <w:sz w:val="15"/>
          <w:szCs w:val="15"/>
          <w:color w:val="auto"/>
        </w:rPr>
      </w:pPr>
    </w:p>
    <w:p>
      <w:pPr>
        <w:ind w:left="1540" w:right="1179" w:hanging="290"/>
        <w:spacing w:after="0" w:line="288" w:lineRule="auto"/>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changes to or adjustments in the exercise price or number of securities issuable upon exercise of the warrants;</w:t>
      </w:r>
    </w:p>
    <w:p>
      <w:pPr>
        <w:spacing w:after="0" w:line="7"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the right to exercise the warrants will commence and expire;</w:t>
      </w:r>
    </w:p>
    <w:p>
      <w:pPr>
        <w:spacing w:after="0" w:line="66"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in which the warrant agreements and warrants may be modified;</w:t>
      </w:r>
    </w:p>
    <w:p>
      <w:pPr>
        <w:spacing w:after="0" w:line="78" w:lineRule="exact"/>
        <w:rPr>
          <w:rFonts w:ascii="Times New Roman" w:cs="Times New Roman" w:eastAsia="Times New Roman" w:hAnsi="Times New Roman"/>
          <w:sz w:val="15"/>
          <w:szCs w:val="15"/>
          <w:color w:val="auto"/>
        </w:rPr>
      </w:pPr>
    </w:p>
    <w:p>
      <w:pPr>
        <w:ind w:left="1540" w:right="1059" w:hanging="290"/>
        <w:spacing w:after="0" w:line="288" w:lineRule="auto"/>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material or special U.S. federal income tax considerations, if any, of holding or exercising the warrants;</w:t>
      </w:r>
    </w:p>
    <w:p>
      <w:pPr>
        <w:spacing w:after="0" w:line="7"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securities issuable upon exercise of the warrants; and</w:t>
      </w:r>
    </w:p>
    <w:p>
      <w:pPr>
        <w:spacing w:after="0" w:line="66"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or limitations of or restrictions on the warrants.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39" w:name="page40"/>
    <w:bookmarkEnd w:id="39"/>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940" w:right="1359"/>
        <w:spacing w:after="0" w:line="288" w:lineRule="auto"/>
        <w:rPr>
          <w:sz w:val="20"/>
          <w:szCs w:val="20"/>
          <w:color w:val="auto"/>
        </w:rPr>
      </w:pPr>
      <w:r>
        <w:rPr>
          <w:rFonts w:ascii="Times New Roman" w:cs="Times New Roman" w:eastAsia="Times New Roman" w:hAnsi="Times New Roman"/>
          <w:sz w:val="15"/>
          <w:szCs w:val="15"/>
          <w:color w:val="auto"/>
        </w:rPr>
        <w:t>Before exercising their warrants, holders of warrants will not have any of the rights of holders of the securities purchasable upon such exercise, including:</w:t>
      </w:r>
    </w:p>
    <w:p>
      <w:pPr>
        <w:spacing w:after="0" w:line="42" w:lineRule="exact"/>
        <w:rPr>
          <w:sz w:val="20"/>
          <w:szCs w:val="20"/>
          <w:color w:val="auto"/>
        </w:rPr>
      </w:pPr>
    </w:p>
    <w:p>
      <w:pPr>
        <w:ind w:left="1540" w:right="979" w:hanging="290"/>
        <w:spacing w:after="0" w:line="271" w:lineRule="auto"/>
        <w:tabs>
          <w:tab w:leader="none" w:pos="1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debt securities, the right to receive payments of principal of, or premium, if any, or interest on, the debt securities purchasable upon exercise or to enforce covenants in the applicable indenture; or</w:t>
      </w:r>
    </w:p>
    <w:p>
      <w:pPr>
        <w:spacing w:after="0" w:line="54" w:lineRule="exact"/>
        <w:rPr>
          <w:rFonts w:ascii="Times New Roman" w:cs="Times New Roman" w:eastAsia="Times New Roman" w:hAnsi="Times New Roman"/>
          <w:sz w:val="15"/>
          <w:szCs w:val="15"/>
          <w:color w:val="auto"/>
        </w:rPr>
      </w:pPr>
    </w:p>
    <w:p>
      <w:pPr>
        <w:ind w:left="1540" w:right="1019" w:hanging="290"/>
        <w:spacing w:after="0" w:line="281" w:lineRule="auto"/>
        <w:tabs>
          <w:tab w:leader="none" w:pos="154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Class 2 common stock or preferred stock, the right to receive dividends, if any, or payments upon our liquidation, dissolution or winding up or to exercise voting rights, if any.</w:t>
      </w:r>
    </w:p>
    <w:p>
      <w:pPr>
        <w:spacing w:after="0" w:line="200" w:lineRule="exact"/>
        <w:rPr>
          <w:sz w:val="20"/>
          <w:szCs w:val="20"/>
          <w:color w:val="auto"/>
        </w:rPr>
      </w:pPr>
    </w:p>
    <w:p>
      <w:pPr>
        <w:spacing w:after="0" w:line="2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Exercise of Warrants</w:t>
      </w:r>
    </w:p>
    <w:p>
      <w:pPr>
        <w:spacing w:after="0" w:line="105" w:lineRule="exact"/>
        <w:rPr>
          <w:sz w:val="20"/>
          <w:szCs w:val="20"/>
          <w:color w:val="auto"/>
        </w:rPr>
      </w:pPr>
    </w:p>
    <w:p>
      <w:pPr>
        <w:ind w:left="940" w:right="1099"/>
        <w:spacing w:after="0" w:line="260" w:lineRule="auto"/>
        <w:rPr>
          <w:sz w:val="20"/>
          <w:szCs w:val="20"/>
          <w:color w:val="auto"/>
        </w:rPr>
      </w:pPr>
      <w:r>
        <w:rPr>
          <w:rFonts w:ascii="Times New Roman" w:cs="Times New Roman" w:eastAsia="Times New Roman" w:hAnsi="Times New Roman"/>
          <w:sz w:val="15"/>
          <w:szCs w:val="15"/>
          <w:color w:val="auto"/>
        </w:rPr>
        <w:t>Each warrant will entitle the holder to purchase the securities that we specify in the applicable prospectus supplement at the exercise price that we describe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65" w:lineRule="exact"/>
        <w:rPr>
          <w:sz w:val="20"/>
          <w:szCs w:val="20"/>
          <w:color w:val="auto"/>
        </w:rPr>
      </w:pPr>
    </w:p>
    <w:p>
      <w:pPr>
        <w:ind w:left="940" w:right="979"/>
        <w:spacing w:after="0" w:line="262" w:lineRule="auto"/>
        <w:rPr>
          <w:sz w:val="20"/>
          <w:szCs w:val="20"/>
          <w:color w:val="auto"/>
        </w:rPr>
      </w:pPr>
      <w:r>
        <w:rPr>
          <w:rFonts w:ascii="Times New Roman" w:cs="Times New Roman" w:eastAsia="Times New Roman" w:hAnsi="Times New Roman"/>
          <w:sz w:val="15"/>
          <w:szCs w:val="15"/>
          <w:color w:val="auto"/>
        </w:rPr>
        <w:t>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will be issued for the remaining warrants.</w:t>
      </w:r>
    </w:p>
    <w:p>
      <w:pPr>
        <w:spacing w:after="0" w:line="27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Governing Law</w:t>
      </w:r>
    </w:p>
    <w:p>
      <w:pPr>
        <w:spacing w:after="0" w:line="105" w:lineRule="exact"/>
        <w:rPr>
          <w:sz w:val="20"/>
          <w:szCs w:val="20"/>
          <w:color w:val="auto"/>
        </w:rPr>
      </w:pPr>
    </w:p>
    <w:p>
      <w:pPr>
        <w:ind w:left="940" w:right="999"/>
        <w:spacing w:after="0" w:line="288" w:lineRule="auto"/>
        <w:rPr>
          <w:sz w:val="20"/>
          <w:szCs w:val="20"/>
          <w:color w:val="auto"/>
        </w:rPr>
      </w:pPr>
      <w:r>
        <w:rPr>
          <w:rFonts w:ascii="Times New Roman" w:cs="Times New Roman" w:eastAsia="Times New Roman" w:hAnsi="Times New Roman"/>
          <w:sz w:val="15"/>
          <w:szCs w:val="15"/>
          <w:color w:val="auto"/>
        </w:rPr>
        <w:t>Unless we provide otherwise in the applicable prospectus supplement, the warrants and any warrant agreements will be governed by and construed in accordance with the internal laws of the State of New York.</w:t>
      </w:r>
    </w:p>
    <w:p>
      <w:pPr>
        <w:spacing w:after="0" w:line="25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Enforceability of Rights by Holders of Warrants</w:t>
      </w:r>
    </w:p>
    <w:p>
      <w:pPr>
        <w:spacing w:after="0" w:line="105" w:lineRule="exact"/>
        <w:rPr>
          <w:sz w:val="20"/>
          <w:szCs w:val="20"/>
          <w:color w:val="auto"/>
        </w:rPr>
      </w:pPr>
    </w:p>
    <w:p>
      <w:pPr>
        <w:ind w:left="940" w:right="979"/>
        <w:spacing w:after="0" w:line="259" w:lineRule="auto"/>
        <w:rPr>
          <w:sz w:val="20"/>
          <w:szCs w:val="20"/>
          <w:color w:val="auto"/>
        </w:rPr>
      </w:pPr>
      <w:r>
        <w:rPr>
          <w:rFonts w:ascii="Times New Roman" w:cs="Times New Roman" w:eastAsia="Times New Roman" w:hAnsi="Times New Roman"/>
          <w:sz w:val="15"/>
          <w:szCs w:val="15"/>
          <w:color w:val="auto"/>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0" w:name="page41"/>
    <w:bookmarkEnd w:id="40"/>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LEGAL OWNERSHIP OF SECURITIES</w:t>
      </w:r>
    </w:p>
    <w:p>
      <w:pPr>
        <w:spacing w:after="0" w:line="105" w:lineRule="exact"/>
        <w:rPr>
          <w:sz w:val="20"/>
          <w:szCs w:val="20"/>
          <w:color w:val="auto"/>
        </w:rPr>
      </w:pPr>
    </w:p>
    <w:p>
      <w:pPr>
        <w:ind w:left="940" w:right="999"/>
        <w:spacing w:after="0" w:line="259" w:lineRule="auto"/>
        <w:rPr>
          <w:sz w:val="20"/>
          <w:szCs w:val="20"/>
          <w:color w:val="auto"/>
        </w:rPr>
      </w:pPr>
      <w:r>
        <w:rPr>
          <w:rFonts w:ascii="Times New Roman" w:cs="Times New Roman" w:eastAsia="Times New Roman" w:hAnsi="Times New Roman"/>
          <w:sz w:val="15"/>
          <w:szCs w:val="15"/>
          <w:color w:val="auto"/>
        </w:rPr>
        <w:t>We may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Book-Entry Holders</w:t>
      </w:r>
    </w:p>
    <w:p>
      <w:pPr>
        <w:spacing w:after="0" w:line="105" w:lineRule="exact"/>
        <w:rPr>
          <w:sz w:val="20"/>
          <w:szCs w:val="20"/>
          <w:color w:val="auto"/>
        </w:rPr>
      </w:pPr>
    </w:p>
    <w:p>
      <w:pPr>
        <w:ind w:left="940" w:right="979"/>
        <w:spacing w:after="0" w:line="262" w:lineRule="auto"/>
        <w:rPr>
          <w:sz w:val="20"/>
          <w:szCs w:val="20"/>
          <w:color w:val="auto"/>
        </w:rPr>
      </w:pPr>
      <w:r>
        <w:rPr>
          <w:rFonts w:ascii="Times New Roman" w:cs="Times New Roman" w:eastAsia="Times New Roman" w:hAnsi="Times New Roman"/>
          <w:sz w:val="15"/>
          <w:szCs w:val="15"/>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62" w:lineRule="exact"/>
        <w:rPr>
          <w:sz w:val="20"/>
          <w:szCs w:val="20"/>
          <w:color w:val="auto"/>
        </w:rPr>
      </w:pPr>
    </w:p>
    <w:p>
      <w:pPr>
        <w:ind w:left="940" w:right="959"/>
        <w:spacing w:after="0" w:line="259" w:lineRule="auto"/>
        <w:rPr>
          <w:sz w:val="20"/>
          <w:szCs w:val="20"/>
          <w:color w:val="auto"/>
        </w:rPr>
      </w:pPr>
      <w:r>
        <w:rPr>
          <w:rFonts w:ascii="Times New Roman" w:cs="Times New Roman" w:eastAsia="Times New Roman" w:hAnsi="Times New Roman"/>
          <w:sz w:val="15"/>
          <w:szCs w:val="15"/>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65" w:lineRule="exact"/>
        <w:rPr>
          <w:sz w:val="20"/>
          <w:szCs w:val="20"/>
          <w:color w:val="auto"/>
        </w:rPr>
      </w:pPr>
    </w:p>
    <w:p>
      <w:pPr>
        <w:ind w:left="940" w:right="1019"/>
        <w:spacing w:after="0" w:line="265" w:lineRule="auto"/>
        <w:rPr>
          <w:sz w:val="20"/>
          <w:szCs w:val="20"/>
          <w:color w:val="auto"/>
        </w:rPr>
      </w:pPr>
      <w:r>
        <w:rPr>
          <w:rFonts w:ascii="Times New Roman" w:cs="Times New Roman" w:eastAsia="Times New Roman" w:hAnsi="Times New Roman"/>
          <w:sz w:val="15"/>
          <w:szCs w:val="15"/>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14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Street Name Holders</w:t>
      </w:r>
    </w:p>
    <w:p>
      <w:pPr>
        <w:spacing w:after="0" w:line="105" w:lineRule="exact"/>
        <w:rPr>
          <w:sz w:val="20"/>
          <w:szCs w:val="20"/>
          <w:color w:val="auto"/>
        </w:rPr>
      </w:pPr>
    </w:p>
    <w:p>
      <w:pPr>
        <w:ind w:left="940" w:right="1119"/>
        <w:spacing w:after="0" w:line="265" w:lineRule="auto"/>
        <w:rPr>
          <w:sz w:val="20"/>
          <w:szCs w:val="20"/>
          <w:color w:val="auto"/>
        </w:rPr>
      </w:pPr>
      <w:r>
        <w:rPr>
          <w:rFonts w:ascii="Times New Roman" w:cs="Times New Roman" w:eastAsia="Times New Roman" w:hAnsi="Times New Roman"/>
          <w:sz w:val="15"/>
          <w:szCs w:val="15"/>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59" w:lineRule="exact"/>
        <w:rPr>
          <w:sz w:val="20"/>
          <w:szCs w:val="20"/>
          <w:color w:val="auto"/>
        </w:rPr>
      </w:pPr>
    </w:p>
    <w:p>
      <w:pPr>
        <w:ind w:left="940" w:right="959"/>
        <w:spacing w:after="0" w:line="260" w:lineRule="auto"/>
        <w:rPr>
          <w:sz w:val="20"/>
          <w:szCs w:val="20"/>
          <w:color w:val="auto"/>
        </w:rPr>
      </w:pPr>
      <w:r>
        <w:rPr>
          <w:rFonts w:ascii="Times New Roman" w:cs="Times New Roman" w:eastAsia="Times New Roman" w:hAnsi="Times New Roman"/>
          <w:sz w:val="15"/>
          <w:szCs w:val="15"/>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Legal Holders</w:t>
      </w:r>
    </w:p>
    <w:p>
      <w:pPr>
        <w:spacing w:after="0" w:line="105" w:lineRule="exact"/>
        <w:rPr>
          <w:sz w:val="20"/>
          <w:szCs w:val="20"/>
          <w:color w:val="auto"/>
        </w:rPr>
      </w:pPr>
    </w:p>
    <w:p>
      <w:pPr>
        <w:ind w:left="940" w:right="999"/>
        <w:spacing w:after="0" w:line="262" w:lineRule="auto"/>
        <w:rPr>
          <w:sz w:val="20"/>
          <w:szCs w:val="20"/>
          <w:color w:val="auto"/>
        </w:rPr>
      </w:pPr>
      <w:r>
        <w:rPr>
          <w:rFonts w:ascii="Times New Roman" w:cs="Times New Roman" w:eastAsia="Times New Roman" w:hAnsi="Times New Roman"/>
          <w:sz w:val="15"/>
          <w:szCs w:val="15"/>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62" w:lineRule="exact"/>
        <w:rPr>
          <w:sz w:val="20"/>
          <w:szCs w:val="20"/>
          <w:color w:val="auto"/>
        </w:rPr>
      </w:pPr>
    </w:p>
    <w:p>
      <w:pPr>
        <w:ind w:left="940" w:right="959"/>
        <w:spacing w:after="0" w:line="259" w:lineRule="auto"/>
        <w:rPr>
          <w:sz w:val="20"/>
          <w:szCs w:val="20"/>
          <w:color w:val="auto"/>
        </w:rPr>
      </w:pPr>
      <w:r>
        <w:rPr>
          <w:rFonts w:ascii="Times New Roman" w:cs="Times New Roman" w:eastAsia="Times New Roman" w:hAnsi="Times New Roman"/>
          <w:sz w:val="15"/>
          <w:szCs w:val="15"/>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1" w:name="page42"/>
    <w:bookmarkEnd w:id="41"/>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Special Considerations for Indirect Holders</w:t>
      </w:r>
    </w:p>
    <w:p>
      <w:pPr>
        <w:spacing w:after="0" w:line="105" w:lineRule="exact"/>
        <w:rPr>
          <w:sz w:val="20"/>
          <w:szCs w:val="20"/>
          <w:color w:val="auto"/>
        </w:rPr>
      </w:pPr>
    </w:p>
    <w:p>
      <w:pPr>
        <w:ind w:left="940" w:right="1319"/>
        <w:spacing w:after="0" w:line="288" w:lineRule="auto"/>
        <w:rPr>
          <w:sz w:val="20"/>
          <w:szCs w:val="20"/>
          <w:color w:val="auto"/>
        </w:rPr>
      </w:pPr>
      <w:r>
        <w:rPr>
          <w:rFonts w:ascii="Times New Roman" w:cs="Times New Roman" w:eastAsia="Times New Roman" w:hAnsi="Times New Roman"/>
          <w:sz w:val="15"/>
          <w:szCs w:val="15"/>
          <w:color w:val="auto"/>
        </w:rPr>
        <w:t>If you hold securities through a bank, broker or other financial institution, either in book-entry form or in street name, you should check with your own institution to find out:</w:t>
      </w:r>
    </w:p>
    <w:p>
      <w:pPr>
        <w:spacing w:after="0" w:line="42" w:lineRule="exact"/>
        <w:rPr>
          <w:sz w:val="20"/>
          <w:szCs w:val="20"/>
          <w:color w:val="auto"/>
        </w:rPr>
      </w:pPr>
    </w:p>
    <w:p>
      <w:pPr>
        <w:ind w:left="1540" w:hanging="290"/>
        <w:spacing w:after="0"/>
        <w:tabs>
          <w:tab w:leader="none" w:pos="1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third-party service providers;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it handles securities payments and notices;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it imposes fees or charges;</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it would handle a request for the holders’ consent, if ever required;</w:t>
      </w:r>
    </w:p>
    <w:p>
      <w:pPr>
        <w:spacing w:after="0" w:line="101" w:lineRule="exact"/>
        <w:rPr>
          <w:rFonts w:ascii="Times New Roman" w:cs="Times New Roman" w:eastAsia="Times New Roman" w:hAnsi="Times New Roman"/>
          <w:sz w:val="15"/>
          <w:szCs w:val="15"/>
          <w:color w:val="auto"/>
        </w:rPr>
      </w:pPr>
    </w:p>
    <w:p>
      <w:pPr>
        <w:ind w:left="1540" w:right="1199" w:hanging="290"/>
        <w:spacing w:after="0" w:line="288" w:lineRule="auto"/>
        <w:tabs>
          <w:tab w:leader="none" w:pos="1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how you can instruct it to send you securities registered in your own name so you can be a holder, if that is permitted in the future;</w:t>
      </w:r>
    </w:p>
    <w:p>
      <w:pPr>
        <w:spacing w:after="0" w:line="42" w:lineRule="exact"/>
        <w:rPr>
          <w:rFonts w:ascii="Times New Roman" w:cs="Times New Roman" w:eastAsia="Times New Roman" w:hAnsi="Times New Roman"/>
          <w:sz w:val="15"/>
          <w:szCs w:val="15"/>
          <w:color w:val="auto"/>
        </w:rPr>
      </w:pPr>
    </w:p>
    <w:p>
      <w:pPr>
        <w:ind w:left="1540" w:right="1099" w:hanging="290"/>
        <w:spacing w:after="0" w:line="288" w:lineRule="auto"/>
        <w:tabs>
          <w:tab w:leader="none" w:pos="1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how it would exercise rights under the securities if there were a default or other event triggering the need for holders to act to protect their interests; and</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securities are in book-entry form, how the depositary’s rules and procedures will affect these matters.</w:t>
      </w:r>
    </w:p>
    <w:p>
      <w:pPr>
        <w:spacing w:after="0" w:line="2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Global Securities</w:t>
      </w:r>
    </w:p>
    <w:p>
      <w:pPr>
        <w:spacing w:after="0" w:line="1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A global security is a security that represents one or any other number of individual securities held by a depositary.</w:t>
      </w:r>
    </w:p>
    <w:p>
      <w:pPr>
        <w:spacing w:after="0" w:line="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Generally, all securities represented by the same global securities will have the same terms.</w:t>
      </w:r>
    </w:p>
    <w:p>
      <w:pPr>
        <w:spacing w:after="0" w:line="86" w:lineRule="exact"/>
        <w:rPr>
          <w:sz w:val="20"/>
          <w:szCs w:val="20"/>
          <w:color w:val="auto"/>
        </w:rPr>
      </w:pPr>
    </w:p>
    <w:p>
      <w:pPr>
        <w:ind w:left="940" w:right="1039"/>
        <w:spacing w:after="0" w:line="265" w:lineRule="auto"/>
        <w:rPr>
          <w:sz w:val="20"/>
          <w:szCs w:val="20"/>
          <w:color w:val="auto"/>
        </w:rPr>
      </w:pPr>
      <w:r>
        <w:rPr>
          <w:rFonts w:ascii="Times New Roman" w:cs="Times New Roman" w:eastAsia="Times New Roman" w:hAnsi="Times New Roman"/>
          <w:sz w:val="15"/>
          <w:szCs w:val="15"/>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pacing w:after="0" w:line="59" w:lineRule="exact"/>
        <w:rPr>
          <w:sz w:val="20"/>
          <w:szCs w:val="20"/>
          <w:color w:val="auto"/>
        </w:rPr>
      </w:pPr>
    </w:p>
    <w:p>
      <w:pPr>
        <w:ind w:left="940" w:right="979"/>
        <w:spacing w:after="0" w:line="258" w:lineRule="auto"/>
        <w:rPr>
          <w:sz w:val="20"/>
          <w:szCs w:val="20"/>
          <w:color w:val="auto"/>
        </w:rPr>
      </w:pPr>
      <w:r>
        <w:rPr>
          <w:rFonts w:ascii="Times New Roman" w:cs="Times New Roman" w:eastAsia="Times New Roman" w:hAnsi="Times New Roman"/>
          <w:sz w:val="15"/>
          <w:szCs w:val="15"/>
          <w:color w:val="auto"/>
        </w:rPr>
        <w:t>A global security may not be transferred to or registered in the name of anyone other than the depositary, its nominee or a successor depositary, unless special termination situations arise. We describe those situations below under the section entitled “Special Situations When a Global Security Will Be Terminated” in this prospectus.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64" w:lineRule="exact"/>
        <w:rPr>
          <w:sz w:val="20"/>
          <w:szCs w:val="20"/>
          <w:color w:val="auto"/>
        </w:rPr>
      </w:pPr>
    </w:p>
    <w:p>
      <w:pPr>
        <w:ind w:left="940" w:right="1039"/>
        <w:spacing w:after="0" w:line="265" w:lineRule="auto"/>
        <w:rPr>
          <w:sz w:val="20"/>
          <w:szCs w:val="20"/>
          <w:color w:val="auto"/>
        </w:rPr>
      </w:pPr>
      <w:r>
        <w:rPr>
          <w:rFonts w:ascii="Times New Roman" w:cs="Times New Roman" w:eastAsia="Times New Roman" w:hAnsi="Times New Roman"/>
          <w:sz w:val="15"/>
          <w:szCs w:val="15"/>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23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Special Considerations for Global Securities</w:t>
      </w:r>
    </w:p>
    <w:p>
      <w:pPr>
        <w:spacing w:after="0" w:line="105" w:lineRule="exact"/>
        <w:rPr>
          <w:sz w:val="20"/>
          <w:szCs w:val="20"/>
          <w:color w:val="auto"/>
        </w:rPr>
      </w:pPr>
    </w:p>
    <w:p>
      <w:pPr>
        <w:ind w:left="940" w:right="1099"/>
        <w:spacing w:after="0" w:line="265" w:lineRule="auto"/>
        <w:rPr>
          <w:sz w:val="20"/>
          <w:szCs w:val="20"/>
          <w:color w:val="auto"/>
        </w:rPr>
      </w:pPr>
      <w:r>
        <w:rPr>
          <w:rFonts w:ascii="Times New Roman" w:cs="Times New Roman" w:eastAsia="Times New Roman" w:hAnsi="Times New Roman"/>
          <w:sz w:val="15"/>
          <w:szCs w:val="15"/>
          <w:color w:val="auto"/>
        </w:rPr>
        <w:t>The rights of an indirect holder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9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color w:val="auto"/>
        </w:rPr>
        <w:t>If securities are issued only in the form of a global security, an investor should be aware of the following:</w:t>
      </w:r>
    </w:p>
    <w:p>
      <w:pPr>
        <w:spacing w:after="0" w:line="101" w:lineRule="exact"/>
        <w:rPr>
          <w:sz w:val="20"/>
          <w:szCs w:val="20"/>
          <w:color w:val="auto"/>
        </w:rPr>
      </w:pPr>
    </w:p>
    <w:p>
      <w:pPr>
        <w:ind w:left="1540" w:right="1179" w:hanging="290"/>
        <w:spacing w:after="0" w:line="288" w:lineRule="auto"/>
        <w:tabs>
          <w:tab w:leader="none" w:pos="1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cannot cause the securities to be registered in his or her name, and cannot obtain non-global certificates for his or her interest in the securities, except in the special situations we describe below;</w:t>
      </w:r>
    </w:p>
    <w:p>
      <w:pPr>
        <w:spacing w:after="0" w:line="42" w:lineRule="exact"/>
        <w:rPr>
          <w:rFonts w:ascii="Times New Roman" w:cs="Times New Roman" w:eastAsia="Times New Roman" w:hAnsi="Times New Roman"/>
          <w:sz w:val="15"/>
          <w:szCs w:val="15"/>
          <w:color w:val="auto"/>
        </w:rPr>
      </w:pPr>
    </w:p>
    <w:p>
      <w:pPr>
        <w:ind w:left="1540" w:right="1079" w:hanging="290"/>
        <w:spacing w:after="0" w:line="288" w:lineRule="auto"/>
        <w:tabs>
          <w:tab w:leader="none" w:pos="1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will be an indirect holder and must look to his or her own bank or broker for payments on the securities and protection of his or her legal rights relating to the securities, as we describe above;</w:t>
      </w:r>
    </w:p>
    <w:p>
      <w:pPr>
        <w:spacing w:after="0" w:line="42" w:lineRule="exact"/>
        <w:rPr>
          <w:rFonts w:ascii="Times New Roman" w:cs="Times New Roman" w:eastAsia="Times New Roman" w:hAnsi="Times New Roman"/>
          <w:sz w:val="15"/>
          <w:szCs w:val="15"/>
          <w:color w:val="auto"/>
        </w:rPr>
      </w:pPr>
    </w:p>
    <w:p>
      <w:pPr>
        <w:ind w:left="1540" w:right="1259" w:hanging="290"/>
        <w:spacing w:after="0" w:line="288" w:lineRule="auto"/>
        <w:tabs>
          <w:tab w:leader="none" w:pos="1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may not be able to sell interests in the securities to some insurance companies and to other institutions that are required by law to own their securities in non-book-entry form;</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2" w:name="page43"/>
    <w:bookmarkEnd w:id="42"/>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ind w:left="1540" w:right="1039" w:hanging="290"/>
        <w:spacing w:after="0" w:line="271" w:lineRule="auto"/>
        <w:tabs>
          <w:tab w:leader="none" w:pos="1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54" w:lineRule="exact"/>
        <w:rPr>
          <w:rFonts w:ascii="Times New Roman" w:cs="Times New Roman" w:eastAsia="Times New Roman" w:hAnsi="Times New Roman"/>
          <w:sz w:val="15"/>
          <w:szCs w:val="15"/>
          <w:color w:val="auto"/>
        </w:rPr>
      </w:pPr>
    </w:p>
    <w:p>
      <w:pPr>
        <w:ind w:left="1540" w:right="979" w:hanging="290"/>
        <w:spacing w:after="0" w:line="288" w:lineRule="auto"/>
        <w:tabs>
          <w:tab w:leader="none" w:pos="1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depositary’s policies, which may change from time to time, will govern payments, transfers, exchanges and other matters relating to an investor’s interest in a global security;</w:t>
      </w:r>
    </w:p>
    <w:p>
      <w:pPr>
        <w:spacing w:after="0" w:line="42" w:lineRule="exact"/>
        <w:rPr>
          <w:rFonts w:ascii="Times New Roman" w:cs="Times New Roman" w:eastAsia="Times New Roman" w:hAnsi="Times New Roman"/>
          <w:sz w:val="15"/>
          <w:szCs w:val="15"/>
          <w:color w:val="auto"/>
        </w:rPr>
      </w:pPr>
    </w:p>
    <w:p>
      <w:pPr>
        <w:ind w:left="1540" w:right="1219" w:hanging="290"/>
        <w:spacing w:after="0" w:line="271" w:lineRule="auto"/>
        <w:tabs>
          <w:tab w:leader="none" w:pos="1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and any applicable trustee have no responsibility for any aspect of the depositary’s actions or for its records of ownership interests in a global security, nor do we or any applicable trustee supervise the depositary in any way;</w:t>
      </w:r>
    </w:p>
    <w:p>
      <w:pPr>
        <w:spacing w:after="0" w:line="54" w:lineRule="exact"/>
        <w:rPr>
          <w:rFonts w:ascii="Times New Roman" w:cs="Times New Roman" w:eastAsia="Times New Roman" w:hAnsi="Times New Roman"/>
          <w:sz w:val="15"/>
          <w:szCs w:val="15"/>
          <w:color w:val="auto"/>
        </w:rPr>
      </w:pPr>
    </w:p>
    <w:p>
      <w:pPr>
        <w:ind w:left="1540" w:right="1019" w:hanging="290"/>
        <w:spacing w:after="0" w:line="271" w:lineRule="auto"/>
        <w:tabs>
          <w:tab w:leader="none" w:pos="1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54" w:lineRule="exact"/>
        <w:rPr>
          <w:rFonts w:ascii="Times New Roman" w:cs="Times New Roman" w:eastAsia="Times New Roman" w:hAnsi="Times New Roman"/>
          <w:sz w:val="15"/>
          <w:szCs w:val="15"/>
          <w:color w:val="auto"/>
        </w:rPr>
      </w:pPr>
    </w:p>
    <w:p>
      <w:pPr>
        <w:ind w:left="1540" w:right="1039" w:hanging="290"/>
        <w:spacing w:after="0" w:line="271" w:lineRule="auto"/>
        <w:tabs>
          <w:tab w:leader="none" w:pos="1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institutions that participate in the depositary’s book-entry system, and through which an investor holds its interest in a global security, may also have their own policies affecting payments, notices and other matters relating to the securities.</w:t>
      </w:r>
    </w:p>
    <w:p>
      <w:pPr>
        <w:spacing w:after="0" w:line="54" w:lineRule="exact"/>
        <w:rPr>
          <w:sz w:val="20"/>
          <w:szCs w:val="20"/>
          <w:color w:val="auto"/>
        </w:rPr>
      </w:pPr>
    </w:p>
    <w:p>
      <w:pPr>
        <w:ind w:left="940" w:right="979"/>
        <w:spacing w:after="0" w:line="288" w:lineRule="auto"/>
        <w:rPr>
          <w:sz w:val="20"/>
          <w:szCs w:val="20"/>
          <w:color w:val="auto"/>
        </w:rPr>
      </w:pPr>
      <w:r>
        <w:rPr>
          <w:rFonts w:ascii="Times New Roman" w:cs="Times New Roman" w:eastAsia="Times New Roman" w:hAnsi="Times New Roman"/>
          <w:sz w:val="15"/>
          <w:szCs w:val="15"/>
          <w:color w:val="auto"/>
        </w:rPr>
        <w:t>There may be more than one financial intermediary in the chain of ownership for an investor. We do not monitor and are not responsible for the actions of any of those intermediaries.</w:t>
      </w:r>
    </w:p>
    <w:p>
      <w:pPr>
        <w:spacing w:after="0" w:line="2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5"/>
          <w:szCs w:val="15"/>
          <w:b w:val="1"/>
          <w:bCs w:val="1"/>
          <w:color w:val="auto"/>
        </w:rPr>
        <w:t>Special Situations When a Global Security Will Be Terminated</w:t>
      </w:r>
    </w:p>
    <w:p>
      <w:pPr>
        <w:spacing w:after="0" w:line="105" w:lineRule="exact"/>
        <w:rPr>
          <w:sz w:val="20"/>
          <w:szCs w:val="20"/>
          <w:color w:val="auto"/>
        </w:rPr>
      </w:pPr>
    </w:p>
    <w:p>
      <w:pPr>
        <w:jc w:val="both"/>
        <w:ind w:left="940" w:right="1159"/>
        <w:spacing w:after="0" w:line="262" w:lineRule="auto"/>
        <w:rPr>
          <w:sz w:val="20"/>
          <w:szCs w:val="20"/>
          <w:color w:val="auto"/>
        </w:rPr>
      </w:pPr>
      <w:r>
        <w:rPr>
          <w:rFonts w:ascii="Times New Roman" w:cs="Times New Roman" w:eastAsia="Times New Roman" w:hAnsi="Times New Roman"/>
          <w:sz w:val="15"/>
          <w:szCs w:val="15"/>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62" w:lineRule="exact"/>
        <w:rPr>
          <w:sz w:val="20"/>
          <w:szCs w:val="20"/>
          <w:color w:val="auto"/>
        </w:rPr>
      </w:pPr>
    </w:p>
    <w:p>
      <w:pPr>
        <w:ind w:left="1540" w:right="1159" w:hanging="290"/>
        <w:spacing w:after="0" w:line="288" w:lineRule="auto"/>
        <w:tabs>
          <w:tab w:leader="none" w:pos="1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we provide otherwise in the applicable prospectus supplement, the global security will terminate when the following special situations occur:</w:t>
      </w:r>
    </w:p>
    <w:p>
      <w:pPr>
        <w:spacing w:after="0" w:line="42" w:lineRule="exact"/>
        <w:rPr>
          <w:rFonts w:ascii="Times New Roman" w:cs="Times New Roman" w:eastAsia="Times New Roman" w:hAnsi="Times New Roman"/>
          <w:sz w:val="15"/>
          <w:szCs w:val="15"/>
          <w:color w:val="auto"/>
        </w:rPr>
      </w:pPr>
    </w:p>
    <w:p>
      <w:pPr>
        <w:ind w:left="1540" w:right="1059" w:hanging="290"/>
        <w:spacing w:after="0" w:line="288" w:lineRule="auto"/>
        <w:tabs>
          <w:tab w:leader="none" w:pos="1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depositary notifies us that it is unwilling, unable or no longer qualified to continue as depositary for that global security and we do not appoint another institution to act as depositary within 90 days;</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notify any applicable trustee that we wish to terminate that global security; or</w:t>
      </w:r>
    </w:p>
    <w:p>
      <w:pPr>
        <w:spacing w:after="0" w:line="101" w:lineRule="exact"/>
        <w:rPr>
          <w:sz w:val="20"/>
          <w:szCs w:val="20"/>
          <w:color w:val="auto"/>
        </w:rPr>
      </w:pPr>
    </w:p>
    <w:p>
      <w:pPr>
        <w:ind w:left="940" w:right="1299"/>
        <w:spacing w:after="0" w:line="288" w:lineRule="auto"/>
        <w:rPr>
          <w:sz w:val="20"/>
          <w:szCs w:val="20"/>
          <w:color w:val="auto"/>
        </w:rPr>
      </w:pPr>
      <w:r>
        <w:rPr>
          <w:rFonts w:ascii="Times New Roman" w:cs="Times New Roman" w:eastAsia="Times New Roman" w:hAnsi="Times New Roman"/>
          <w:sz w:val="15"/>
          <w:szCs w:val="15"/>
          <w:color w:val="auto"/>
        </w:rPr>
        <w:t>if an event of default has occurred with regard to securities represented by that global security and has not been cured or waived.</w:t>
      </w:r>
    </w:p>
    <w:p>
      <w:pPr>
        <w:spacing w:after="0" w:line="42" w:lineRule="exact"/>
        <w:rPr>
          <w:sz w:val="20"/>
          <w:szCs w:val="20"/>
          <w:color w:val="auto"/>
        </w:rPr>
      </w:pPr>
    </w:p>
    <w:p>
      <w:pPr>
        <w:ind w:left="940" w:right="999"/>
        <w:spacing w:after="0" w:line="265" w:lineRule="auto"/>
        <w:rPr>
          <w:sz w:val="20"/>
          <w:szCs w:val="20"/>
          <w:color w:val="auto"/>
        </w:rPr>
      </w:pPr>
      <w:r>
        <w:rPr>
          <w:rFonts w:ascii="Times New Roman" w:cs="Times New Roman" w:eastAsia="Times New Roman" w:hAnsi="Times New Roman"/>
          <w:sz w:val="15"/>
          <w:szCs w:val="15"/>
          <w:color w:val="auto"/>
        </w:rPr>
        <w:t>The applicable prospectus supplement may also list additional situations for terminating a global security that would apply only to the particular series of securities covered by the applicable prospectus supplement. When a global security terminates, the depositary, and not we or any applicable trustee, is responsible for deciding the names of the institutions that will be the initial direct holders.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SELLING SECURITYHOLDERS</w:t>
      </w:r>
    </w:p>
    <w:p>
      <w:pPr>
        <w:spacing w:after="0" w:line="105" w:lineRule="exact"/>
        <w:rPr>
          <w:sz w:val="20"/>
          <w:szCs w:val="20"/>
          <w:color w:val="auto"/>
        </w:rPr>
      </w:pPr>
    </w:p>
    <w:p>
      <w:pPr>
        <w:ind w:left="940" w:right="1099"/>
        <w:spacing w:after="0" w:line="262" w:lineRule="auto"/>
        <w:rPr>
          <w:sz w:val="20"/>
          <w:szCs w:val="20"/>
          <w:color w:val="auto"/>
        </w:rPr>
      </w:pPr>
      <w:r>
        <w:rPr>
          <w:rFonts w:ascii="Times New Roman" w:cs="Times New Roman" w:eastAsia="Times New Roman" w:hAnsi="Times New Roman"/>
          <w:sz w:val="15"/>
          <w:szCs w:val="15"/>
          <w:color w:val="auto"/>
        </w:rPr>
        <w:t>Selling securityholders are persons or entities that, directly or indirectly, have acquired or will from time to time acquire from us, our securities. If the registration statement of which this prospectus forms a part is used by selling securityholders for the resale of any securities registered thereunder pursuant to a registration rights agreement between us and such selling securityholders or otherwise, information about such selling securityholders, their beneficial ownership of our securities and their relationship with us will be set forth in a prospectus supplement.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3" w:name="page44"/>
    <w:bookmarkEnd w:id="43"/>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05" w:lineRule="exact"/>
        <w:rPr>
          <w:sz w:val="20"/>
          <w:szCs w:val="20"/>
          <w:color w:val="auto"/>
        </w:rPr>
      </w:pPr>
    </w:p>
    <w:p>
      <w:pPr>
        <w:ind w:left="940" w:right="979"/>
        <w:spacing w:after="0" w:line="262" w:lineRule="auto"/>
        <w:rPr>
          <w:sz w:val="20"/>
          <w:szCs w:val="20"/>
          <w:color w:val="auto"/>
        </w:rPr>
      </w:pPr>
      <w:r>
        <w:rPr>
          <w:rFonts w:ascii="Times New Roman" w:cs="Times New Roman" w:eastAsia="Times New Roman" w:hAnsi="Times New Roman"/>
          <w:sz w:val="15"/>
          <w:szCs w:val="15"/>
          <w:color w:val="auto"/>
        </w:rPr>
        <w:t>We or selling securityholders may sell the securities from time to time pursuant to underwritten public offerings, “at-the-market” offerings, negotiated transactions, block trades or a combination of these methods. We or selling securityholders may sell the securities to or through one or more underwriters or dealers (acting as principal or agent), through agents, or directly to one or more purchasers. We or selling securityholders may distribute securities from time to time in one or more transactions:</w:t>
      </w:r>
    </w:p>
    <w:p>
      <w:pPr>
        <w:spacing w:after="0" w:line="62" w:lineRule="exact"/>
        <w:rPr>
          <w:sz w:val="20"/>
          <w:szCs w:val="20"/>
          <w:color w:val="auto"/>
        </w:rPr>
      </w:pPr>
    </w:p>
    <w:p>
      <w:pPr>
        <w:ind w:left="1540" w:hanging="290"/>
        <w:spacing w:after="0"/>
        <w:tabs>
          <w:tab w:leader="none" w:pos="1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which may be changed;</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 of sale;</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such prevailing market prices; or</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101" w:lineRule="exact"/>
        <w:rPr>
          <w:sz w:val="20"/>
          <w:szCs w:val="20"/>
          <w:color w:val="auto"/>
        </w:rPr>
      </w:pPr>
    </w:p>
    <w:p>
      <w:pPr>
        <w:ind w:left="940" w:right="1399"/>
        <w:spacing w:after="0" w:line="288" w:lineRule="auto"/>
        <w:rPr>
          <w:sz w:val="20"/>
          <w:szCs w:val="20"/>
          <w:color w:val="auto"/>
        </w:rPr>
      </w:pPr>
      <w:r>
        <w:rPr>
          <w:rFonts w:ascii="Times New Roman" w:cs="Times New Roman" w:eastAsia="Times New Roman" w:hAnsi="Times New Roman"/>
          <w:sz w:val="15"/>
          <w:szCs w:val="15"/>
          <w:color w:val="auto"/>
        </w:rPr>
        <w:t>A prospectus supplement or supplements (and any related free writing prospectus that we may authorize to be provided to you) will describe the terms of the offering of the securities, including, to the extent applicable:</w:t>
      </w:r>
    </w:p>
    <w:p>
      <w:pPr>
        <w:spacing w:after="0" w:line="42" w:lineRule="exact"/>
        <w:rPr>
          <w:sz w:val="20"/>
          <w:szCs w:val="20"/>
          <w:color w:val="auto"/>
        </w:rPr>
      </w:pPr>
    </w:p>
    <w:p>
      <w:pPr>
        <w:ind w:left="1540" w:hanging="290"/>
        <w:spacing w:after="0"/>
        <w:tabs>
          <w:tab w:leader="none" w:pos="1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or names of the underwriters, dealers or agents, if any;</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or names of the selling securityholders, if any;</w:t>
      </w:r>
    </w:p>
    <w:p>
      <w:pPr>
        <w:spacing w:after="0" w:line="101" w:lineRule="exact"/>
        <w:rPr>
          <w:rFonts w:ascii="Times New Roman" w:cs="Times New Roman" w:eastAsia="Times New Roman" w:hAnsi="Times New Roman"/>
          <w:sz w:val="15"/>
          <w:szCs w:val="15"/>
          <w:color w:val="auto"/>
        </w:rPr>
      </w:pPr>
    </w:p>
    <w:p>
      <w:pPr>
        <w:ind w:left="1540" w:right="959" w:hanging="290"/>
        <w:spacing w:after="0" w:line="288" w:lineRule="auto"/>
        <w:tabs>
          <w:tab w:leader="none" w:pos="1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purchase price of the securities or other consideration therefor, and the proceeds, if any, we will receive from the sale;</w:t>
      </w:r>
    </w:p>
    <w:p>
      <w:pPr>
        <w:spacing w:after="0" w:line="42" w:lineRule="exact"/>
        <w:rPr>
          <w:rFonts w:ascii="Times New Roman" w:cs="Times New Roman" w:eastAsia="Times New Roman" w:hAnsi="Times New Roman"/>
          <w:sz w:val="15"/>
          <w:szCs w:val="15"/>
          <w:color w:val="auto"/>
        </w:rPr>
      </w:pPr>
    </w:p>
    <w:p>
      <w:pPr>
        <w:ind w:left="1540" w:right="1079" w:hanging="290"/>
        <w:spacing w:after="0" w:line="288" w:lineRule="auto"/>
        <w:tabs>
          <w:tab w:leader="none" w:pos="1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over-allotment or other options under which underwriters may purchase additional securities from us or any selling securityholders;</w:t>
      </w:r>
    </w:p>
    <w:p>
      <w:pPr>
        <w:spacing w:after="0" w:line="42" w:lineRule="exact"/>
        <w:rPr>
          <w:rFonts w:ascii="Times New Roman" w:cs="Times New Roman" w:eastAsia="Times New Roman" w:hAnsi="Times New Roman"/>
          <w:sz w:val="15"/>
          <w:szCs w:val="15"/>
          <w:color w:val="auto"/>
        </w:rPr>
      </w:pPr>
    </w:p>
    <w:p>
      <w:pPr>
        <w:ind w:left="1540" w:right="1679" w:hanging="290"/>
        <w:spacing w:after="0" w:line="288" w:lineRule="auto"/>
        <w:tabs>
          <w:tab w:leader="none" w:pos="1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agency fees or underwriting discounts and other items constituting agents’ or underwriters’ compensation;</w:t>
      </w:r>
    </w:p>
    <w:p>
      <w:pPr>
        <w:spacing w:after="0" w:line="42"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public offering price;</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discounts or concessions allowed or re-allowed or paid to dealers; and</w:t>
      </w:r>
    </w:p>
    <w:p>
      <w:pPr>
        <w:spacing w:after="0" w:line="101"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securities exchange or market on which the securities may be listed.</w:t>
      </w:r>
    </w:p>
    <w:p>
      <w:pPr>
        <w:spacing w:after="0" w:line="101" w:lineRule="exact"/>
        <w:rPr>
          <w:sz w:val="20"/>
          <w:szCs w:val="20"/>
          <w:color w:val="auto"/>
        </w:rPr>
      </w:pPr>
    </w:p>
    <w:p>
      <w:pPr>
        <w:ind w:left="940" w:right="959"/>
        <w:spacing w:after="0" w:line="264" w:lineRule="auto"/>
        <w:rPr>
          <w:sz w:val="20"/>
          <w:szCs w:val="20"/>
          <w:color w:val="auto"/>
        </w:rPr>
      </w:pPr>
      <w:r>
        <w:rPr>
          <w:rFonts w:ascii="Times New Roman" w:cs="Times New Roman" w:eastAsia="Times New Roman" w:hAnsi="Times New Roman"/>
          <w:sz w:val="15"/>
          <w:szCs w:val="15"/>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244" w:lineRule="exact"/>
        <w:rPr>
          <w:sz w:val="20"/>
          <w:szCs w:val="20"/>
          <w:color w:val="auto"/>
        </w:rPr>
      </w:pPr>
    </w:p>
    <w:p>
      <w:pPr>
        <w:ind w:left="940" w:right="979"/>
        <w:spacing w:after="0" w:line="271" w:lineRule="auto"/>
        <w:rPr>
          <w:sz w:val="20"/>
          <w:szCs w:val="20"/>
          <w:color w:val="auto"/>
        </w:rPr>
      </w:pPr>
      <w:r>
        <w:rPr>
          <w:rFonts w:ascii="Times New Roman" w:cs="Times New Roman" w:eastAsia="Times New Roman" w:hAnsi="Times New Roman"/>
          <w:sz w:val="15"/>
          <w:szCs w:val="15"/>
          <w:color w:val="auto"/>
        </w:rPr>
        <w:t>Unless stated otherwise in the prospectus supplement, the securities offered by a prospectus supplement have not been qualified for distribution by prospectus under the securities laws of any province or territory of Canada, and may only be sold in Canada pursuant to an exemption from the prospectus requirements of Canadian securities laws.</w:t>
      </w:r>
    </w:p>
    <w:p>
      <w:pPr>
        <w:spacing w:after="0" w:line="54" w:lineRule="exact"/>
        <w:rPr>
          <w:sz w:val="20"/>
          <w:szCs w:val="20"/>
          <w:color w:val="auto"/>
        </w:rPr>
      </w:pPr>
    </w:p>
    <w:p>
      <w:pPr>
        <w:ind w:left="940" w:right="959"/>
        <w:spacing w:after="0" w:line="256" w:lineRule="auto"/>
        <w:rPr>
          <w:sz w:val="20"/>
          <w:szCs w:val="20"/>
          <w:color w:val="auto"/>
        </w:rPr>
      </w:pPr>
      <w:r>
        <w:rPr>
          <w:rFonts w:ascii="Times New Roman" w:cs="Times New Roman" w:eastAsia="Times New Roman" w:hAnsi="Times New Roman"/>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selling securityholders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a selling stockholder,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73" w:lineRule="exact"/>
        <w:rPr>
          <w:sz w:val="20"/>
          <w:szCs w:val="20"/>
          <w:color w:val="auto"/>
        </w:rPr>
      </w:pPr>
    </w:p>
    <w:p>
      <w:pPr>
        <w:ind w:left="940" w:right="1159"/>
        <w:spacing w:after="0" w:line="271" w:lineRule="auto"/>
        <w:rPr>
          <w:sz w:val="20"/>
          <w:szCs w:val="20"/>
          <w:color w:val="auto"/>
        </w:rPr>
      </w:pPr>
      <w:r>
        <w:rPr>
          <w:rFonts w:ascii="Times New Roman" w:cs="Times New Roman" w:eastAsia="Times New Roman" w:hAnsi="Times New Roman"/>
          <w:sz w:val="15"/>
          <w:szCs w:val="15"/>
          <w:color w:val="auto"/>
        </w:rPr>
        <w:t>We or selling securityholders may use underwriters, dealers or agents with whom we have a material relationship. We will describe in the prospectus supplement, naming the underwriter, dealer or agent, the nature of any such relationship.</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4" w:name="page45"/>
    <w:bookmarkEnd w:id="44"/>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9" w:lineRule="exact"/>
        <w:rPr>
          <w:sz w:val="20"/>
          <w:szCs w:val="20"/>
          <w:color w:val="auto"/>
        </w:rPr>
      </w:pPr>
    </w:p>
    <w:p>
      <w:pPr>
        <w:jc w:val="both"/>
        <w:ind w:left="940" w:right="1039"/>
        <w:spacing w:after="0" w:line="265" w:lineRule="auto"/>
        <w:rPr>
          <w:sz w:val="20"/>
          <w:szCs w:val="20"/>
          <w:color w:val="auto"/>
        </w:rPr>
      </w:pPr>
      <w:r>
        <w:rPr>
          <w:rFonts w:ascii="Times New Roman" w:cs="Times New Roman" w:eastAsia="Times New Roman" w:hAnsi="Times New Roman"/>
          <w:sz w:val="15"/>
          <w:szCs w:val="15"/>
          <w:color w:val="auto"/>
        </w:rPr>
        <w:t>We or selling securityholders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w:t>
      </w:r>
    </w:p>
    <w:p>
      <w:pPr>
        <w:spacing w:after="0" w:line="59" w:lineRule="exact"/>
        <w:rPr>
          <w:sz w:val="20"/>
          <w:szCs w:val="20"/>
          <w:color w:val="auto"/>
        </w:rPr>
      </w:pPr>
    </w:p>
    <w:p>
      <w:pPr>
        <w:ind w:left="940" w:right="999"/>
        <w:spacing w:after="0" w:line="265" w:lineRule="auto"/>
        <w:rPr>
          <w:sz w:val="20"/>
          <w:szCs w:val="20"/>
          <w:color w:val="auto"/>
        </w:rPr>
      </w:pPr>
      <w:r>
        <w:rPr>
          <w:rFonts w:ascii="Times New Roman" w:cs="Times New Roman" w:eastAsia="Times New Roman" w:hAnsi="Times New Roman"/>
          <w:sz w:val="15"/>
          <w:szCs w:val="15"/>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59" w:lineRule="exact"/>
        <w:rPr>
          <w:sz w:val="20"/>
          <w:szCs w:val="20"/>
          <w:color w:val="auto"/>
        </w:rPr>
      </w:pPr>
    </w:p>
    <w:p>
      <w:pPr>
        <w:ind w:left="940" w:right="1039"/>
        <w:spacing w:after="0" w:line="271" w:lineRule="auto"/>
        <w:rPr>
          <w:sz w:val="20"/>
          <w:szCs w:val="20"/>
          <w:color w:val="auto"/>
        </w:rPr>
      </w:pPr>
      <w:r>
        <w:rPr>
          <w:rFonts w:ascii="Times New Roman" w:cs="Times New Roman" w:eastAsia="Times New Roman" w:hAnsi="Times New Roman"/>
          <w:sz w:val="15"/>
          <w:szCs w:val="15"/>
          <w:color w:val="auto"/>
        </w:rPr>
        <w:t>Selling securityholders may be deemed to be underwriters under the Securities Act in connection with the securities they resell and any profits on the sales may be deemed to be underwriting discounts and commissions under the Securities Act.</w:t>
      </w:r>
    </w:p>
    <w:p>
      <w:pPr>
        <w:spacing w:after="0" w:line="54" w:lineRule="exact"/>
        <w:rPr>
          <w:sz w:val="20"/>
          <w:szCs w:val="20"/>
          <w:color w:val="auto"/>
        </w:rPr>
      </w:pPr>
    </w:p>
    <w:p>
      <w:pPr>
        <w:ind w:left="940" w:right="1039"/>
        <w:spacing w:after="0" w:line="265" w:lineRule="auto"/>
        <w:rPr>
          <w:sz w:val="20"/>
          <w:szCs w:val="20"/>
          <w:color w:val="auto"/>
        </w:rPr>
      </w:pPr>
      <w:r>
        <w:rPr>
          <w:rFonts w:ascii="Times New Roman" w:cs="Times New Roman" w:eastAsia="Times New Roman" w:hAnsi="Times New Roman"/>
          <w:sz w:val="15"/>
          <w:szCs w:val="15"/>
          <w:color w:val="auto"/>
        </w:rPr>
        <w:t>All securities we may offer, other than Class 2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59" w:lineRule="exact"/>
        <w:rPr>
          <w:sz w:val="20"/>
          <w:szCs w:val="20"/>
          <w:color w:val="auto"/>
        </w:rPr>
      </w:pPr>
    </w:p>
    <w:p>
      <w:pPr>
        <w:ind w:left="940" w:right="979"/>
        <w:spacing w:after="0" w:line="258" w:lineRule="auto"/>
        <w:rPr>
          <w:sz w:val="20"/>
          <w:szCs w:val="20"/>
          <w:color w:val="auto"/>
        </w:rPr>
      </w:pPr>
      <w:r>
        <w:rPr>
          <w:rFonts w:ascii="Times New Roman" w:cs="Times New Roman" w:eastAsia="Times New Roman" w:hAnsi="Times New Roman"/>
          <w:sz w:val="15"/>
          <w:szCs w:val="15"/>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64" w:lineRule="exact"/>
        <w:rPr>
          <w:sz w:val="20"/>
          <w:szCs w:val="20"/>
          <w:color w:val="auto"/>
        </w:rPr>
      </w:pPr>
    </w:p>
    <w:p>
      <w:pPr>
        <w:ind w:left="940" w:right="999"/>
        <w:spacing w:after="0" w:line="257" w:lineRule="auto"/>
        <w:rPr>
          <w:sz w:val="20"/>
          <w:szCs w:val="20"/>
          <w:color w:val="auto"/>
        </w:rPr>
      </w:pPr>
      <w:r>
        <w:rPr>
          <w:rFonts w:ascii="Times New Roman" w:cs="Times New Roman" w:eastAsia="Times New Roman" w:hAnsi="Times New Roman"/>
          <w:sz w:val="15"/>
          <w:szCs w:val="15"/>
          <w:color w:val="auto"/>
        </w:rPr>
        <w:t>Any underwriters that are qualified market makers on The Nasdaq Global Select Market may engage in passive market making transactions in the Class 2 common stock on The Nasdaq Global Select Market in accordance with Regulation M under the Exchange Act, during the business day prior to the pricing of the offering, before the commencement of offers or sales of the Class 2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05" w:lineRule="exact"/>
        <w:rPr>
          <w:sz w:val="20"/>
          <w:szCs w:val="20"/>
          <w:color w:val="auto"/>
        </w:rPr>
      </w:pPr>
    </w:p>
    <w:p>
      <w:pPr>
        <w:ind w:left="940" w:right="1039"/>
        <w:spacing w:after="0" w:line="265" w:lineRule="auto"/>
        <w:rPr>
          <w:sz w:val="20"/>
          <w:szCs w:val="20"/>
          <w:color w:val="auto"/>
        </w:rPr>
      </w:pPr>
      <w:r>
        <w:rPr>
          <w:rFonts w:ascii="Times New Roman" w:cs="Times New Roman" w:eastAsia="Times New Roman" w:hAnsi="Times New Roman"/>
          <w:sz w:val="15"/>
          <w:szCs w:val="15"/>
          <w:color w:val="auto"/>
        </w:rPr>
        <w:t>Unless otherwise indicated in the applicable prospectus supplement, the validity of the securities offered by this prospectus, and any supplement thereto, will be passed upon for us by DLA Piper LLP (US), New York, New York. Any underwriters, dealers or agents will also be advised about the validity of the securities and other legal matters by their own counsel, which will be named in the applicable prospectus supplement.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05" w:lineRule="exact"/>
        <w:rPr>
          <w:sz w:val="20"/>
          <w:szCs w:val="20"/>
          <w:color w:val="auto"/>
        </w:rPr>
      </w:pPr>
    </w:p>
    <w:p>
      <w:pPr>
        <w:ind w:left="940" w:right="999"/>
        <w:spacing w:after="0" w:line="258" w:lineRule="auto"/>
        <w:rPr>
          <w:sz w:val="20"/>
          <w:szCs w:val="20"/>
          <w:color w:val="auto"/>
        </w:rPr>
      </w:pPr>
      <w:r>
        <w:rPr>
          <w:rFonts w:ascii="Times New Roman" w:cs="Times New Roman" w:eastAsia="Times New Roman" w:hAnsi="Times New Roman"/>
          <w:sz w:val="15"/>
          <w:szCs w:val="15"/>
          <w:color w:val="auto"/>
        </w:rPr>
        <w:t>The financial statements and management’s assessment of the effectiveness of internal control over financial reporting (which is included in Management’s Report on Internal Control over Financial Reporting) incorporated by reference in this Prospectus by reference to the Annual Report on Form 10-K for the year ended May 31, 2022, as amended by Amendment No. 1 to our Annual Report on Form 10-K, have been so incorporated in reliance on the report (which contains a paragraph relating to the effectiveness of internal control over financial reporting due to the exclusion of Breckenridge because it was acquired by the Company in a purchase business combination during the year ended May 31, 2022) of PricewaterhouseCoopers LLP, an independent registered public accounting firm, given on the authority of said firm as experts in auditing and accounting.</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109855</wp:posOffset>
            </wp:positionV>
            <wp:extent cx="590804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5" w:name="page46"/>
    <w:bookmarkEnd w:id="45"/>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05" w:lineRule="exact"/>
        <w:rPr>
          <w:sz w:val="20"/>
          <w:szCs w:val="20"/>
          <w:color w:val="auto"/>
        </w:rPr>
      </w:pPr>
    </w:p>
    <w:p>
      <w:pPr>
        <w:ind w:left="940" w:right="1019"/>
        <w:spacing w:after="0" w:line="260" w:lineRule="auto"/>
        <w:rPr>
          <w:sz w:val="20"/>
          <w:szCs w:val="20"/>
          <w:color w:val="auto"/>
        </w:rPr>
      </w:pPr>
      <w:r>
        <w:rPr>
          <w:rFonts w:ascii="Times New Roman" w:cs="Times New Roman" w:eastAsia="Times New Roman" w:hAnsi="Times New Roman"/>
          <w:sz w:val="15"/>
          <w:szCs w:val="15"/>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w:t>
      </w:r>
    </w:p>
    <w:p>
      <w:pPr>
        <w:spacing w:after="0" w:line="65" w:lineRule="exact"/>
        <w:rPr>
          <w:sz w:val="20"/>
          <w:szCs w:val="20"/>
          <w:color w:val="auto"/>
        </w:rPr>
      </w:pPr>
    </w:p>
    <w:p>
      <w:pPr>
        <w:ind w:left="940" w:right="999"/>
        <w:spacing w:after="0" w:line="259" w:lineRule="auto"/>
        <w:rPr>
          <w:sz w:val="20"/>
          <w:szCs w:val="20"/>
          <w:color w:val="auto"/>
        </w:rPr>
      </w:pPr>
      <w:r>
        <w:rPr>
          <w:rFonts w:ascii="Times New Roman" w:cs="Times New Roman" w:eastAsia="Times New Roman" w:hAnsi="Times New Roman"/>
          <w:sz w:val="15"/>
          <w:szCs w:val="15"/>
          <w:color w:val="auto"/>
        </w:rPr>
        <w:t>We are required to file periodic reports, proxy statements and other information with the SEC pursuant to the Exchange Act. Our SEC filings are available to the public on the SEC’s website at www.sec.gov, which contains reports, proxies and information statements and other information regarding registrants that file electronically. We also maintain a website at www.tilray.com, at which you may access these materials free of charge as soon as reasonably practicable after they are electronically filed with, or furnished to, the SEC. Information contained on, or that can be accessed through, our website is not a part of this prospectus and the inclusion of our website address in this prospectus is an inactive textual reference only.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116840</wp:posOffset>
            </wp:positionV>
            <wp:extent cx="590804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908040" cy="1460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46" w:name="page47"/>
    <w:bookmarkEnd w:id="46"/>
    <w:p>
      <w:pPr>
        <w:ind w:left="940"/>
        <w:spacing w:after="0"/>
        <w:rPr>
          <w:sz w:val="20"/>
          <w:szCs w:val="20"/>
          <w:color w:val="auto"/>
        </w:rPr>
      </w:pPr>
      <w:r>
        <w:rPr>
          <w:rFonts w:ascii="Times New Roman" w:cs="Times New Roman" w:eastAsia="Times New Roman" w:hAnsi="Times New Roman"/>
          <w:sz w:val="12"/>
          <w:szCs w:val="12"/>
          <w:b w:val="1"/>
          <w:bCs w:val="1"/>
          <w:u w:val="single" w:color="auto"/>
          <w:color w:val="0000EE"/>
        </w:rPr>
        <w:t>TABLE OF CONTENTS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OF CERTAIN INFORMATION BY REFERENCE</w:t>
      </w:r>
    </w:p>
    <w:p>
      <w:pPr>
        <w:spacing w:after="0" w:line="105" w:lineRule="exact"/>
        <w:rPr>
          <w:sz w:val="20"/>
          <w:szCs w:val="20"/>
          <w:color w:val="auto"/>
        </w:rPr>
      </w:pPr>
    </w:p>
    <w:p>
      <w:pPr>
        <w:ind w:left="940" w:right="1159"/>
        <w:spacing w:after="0" w:line="264" w:lineRule="auto"/>
        <w:rPr>
          <w:sz w:val="20"/>
          <w:szCs w:val="20"/>
          <w:color w:val="auto"/>
        </w:rPr>
      </w:pPr>
      <w:r>
        <w:rPr>
          <w:rFonts w:ascii="Times New Roman" w:cs="Times New Roman" w:eastAsia="Times New Roman" w:hAnsi="Times New Roman"/>
          <w:sz w:val="15"/>
          <w:szCs w:val="15"/>
          <w:color w:val="auto"/>
        </w:rPr>
        <w:t>The SEC allows us to “incorporate by reference” into this prospectus certain information. This means that we can disclose important information to you by referring you to those documents that contain the information.</w:t>
      </w:r>
    </w:p>
    <w:p>
      <w:pPr>
        <w:ind w:left="940" w:right="1139"/>
        <w:spacing w:after="0" w:line="258" w:lineRule="auto"/>
        <w:rPr>
          <w:sz w:val="20"/>
          <w:szCs w:val="20"/>
          <w:color w:val="auto"/>
        </w:rPr>
      </w:pPr>
      <w:r>
        <w:rPr>
          <w:rFonts w:ascii="Times New Roman" w:cs="Times New Roman" w:eastAsia="Times New Roman" w:hAnsi="Times New Roman"/>
          <w:sz w:val="15"/>
          <w:szCs w:val="15"/>
          <w:color w:val="auto"/>
        </w:rPr>
        <w:t>The information we incorporate by reference is considered a part of this prospectus. We incorporate by reference into this prospectus the documents listed below that we have filed with the SEC. Any report or information within any of the documents referenced below that is furnished, but not filed, shall not be incorporated by reference into this prospectus.</w:t>
      </w:r>
    </w:p>
    <w:p>
      <w:pPr>
        <w:spacing w:after="0" w:line="64" w:lineRule="exact"/>
        <w:rPr>
          <w:sz w:val="20"/>
          <w:szCs w:val="20"/>
          <w:color w:val="auto"/>
        </w:rPr>
      </w:pPr>
    </w:p>
    <w:p>
      <w:pPr>
        <w:ind w:left="1540" w:right="959" w:hanging="290"/>
        <w:spacing w:after="0" w:line="265" w:lineRule="auto"/>
        <w:tabs>
          <w:tab w:leader="none" w:pos="1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Form 10-K for the fiscal year ended May 31, 2022, which includes audited financial statements for the latest fiscal year, filed on </w:t>
      </w:r>
      <w:hyperlink r:id="rId62">
        <w:r>
          <w:rPr>
            <w:rFonts w:ascii="Times New Roman" w:cs="Times New Roman" w:eastAsia="Times New Roman" w:hAnsi="Times New Roman"/>
            <w:sz w:val="15"/>
            <w:szCs w:val="15"/>
            <w:u w:val="single" w:color="auto"/>
            <w:color w:val="0000EE"/>
          </w:rPr>
          <w:t>July 28, 2022</w:t>
        </w:r>
      </w:hyperlink>
      <w:r>
        <w:rPr>
          <w:rFonts w:ascii="Times New Roman" w:cs="Times New Roman" w:eastAsia="Times New Roman" w:hAnsi="Times New Roman"/>
          <w:sz w:val="15"/>
          <w:szCs w:val="15"/>
          <w:color w:val="auto"/>
        </w:rPr>
        <w:t xml:space="preserve">, as amended by Amendment No. 1 to our Annual Report on Form 10-K for the fiscal year ended May 31, 2022 (as amended, the “2022 Form 10-K”) , which includes audited financial statements for the latest fiscal year, filed on </w:t>
      </w:r>
      <w:hyperlink r:id="rId63">
        <w:r>
          <w:rPr>
            <w:rFonts w:ascii="Times New Roman" w:cs="Times New Roman" w:eastAsia="Times New Roman" w:hAnsi="Times New Roman"/>
            <w:sz w:val="15"/>
            <w:szCs w:val="15"/>
            <w:u w:val="single" w:color="auto"/>
            <w:color w:val="0000EE"/>
          </w:rPr>
          <w:t>October 7, 2022</w:t>
        </w:r>
      </w:hyperlink>
      <w:r>
        <w:rPr>
          <w:rFonts w:ascii="Times New Roman" w:cs="Times New Roman" w:eastAsia="Times New Roman" w:hAnsi="Times New Roman"/>
          <w:sz w:val="15"/>
          <w:szCs w:val="15"/>
          <w:color w:val="auto"/>
        </w:rPr>
        <w:t>;</w:t>
      </w:r>
    </w:p>
    <w:p>
      <w:pPr>
        <w:spacing w:after="0" w:line="59" w:lineRule="exact"/>
        <w:rPr>
          <w:rFonts w:ascii="Times New Roman" w:cs="Times New Roman" w:eastAsia="Times New Roman" w:hAnsi="Times New Roman"/>
          <w:sz w:val="15"/>
          <w:szCs w:val="15"/>
          <w:color w:val="auto"/>
        </w:rPr>
      </w:pPr>
    </w:p>
    <w:p>
      <w:pPr>
        <w:ind w:left="1540" w:right="1039" w:hanging="290"/>
        <w:spacing w:after="0" w:line="271" w:lineRule="auto"/>
        <w:tabs>
          <w:tab w:leader="none" w:pos="1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information specifically incorporated by reference into the 2022 Form 10-K from our definitive proxy statement on Schedule 14A filed with the SEC on </w:t>
      </w:r>
      <w:hyperlink r:id="rId64">
        <w:r>
          <w:rPr>
            <w:rFonts w:ascii="Times New Roman" w:cs="Times New Roman" w:eastAsia="Times New Roman" w:hAnsi="Times New Roman"/>
            <w:sz w:val="15"/>
            <w:szCs w:val="15"/>
            <w:u w:val="single" w:color="auto"/>
            <w:color w:val="0000EE"/>
          </w:rPr>
          <w:t>October 3, 2022</w:t>
        </w:r>
      </w:hyperlink>
      <w:r>
        <w:rPr>
          <w:rFonts w:ascii="Times New Roman" w:cs="Times New Roman" w:eastAsia="Times New Roman" w:hAnsi="Times New Roman"/>
          <w:sz w:val="15"/>
          <w:szCs w:val="15"/>
          <w:color w:val="auto"/>
        </w:rPr>
        <w:t>, as well as any amendments thereto reflected in subsequent filings with the SEC;</w:t>
      </w:r>
    </w:p>
    <w:p>
      <w:pPr>
        <w:spacing w:after="0" w:line="54" w:lineRule="exact"/>
        <w:rPr>
          <w:rFonts w:ascii="Times New Roman" w:cs="Times New Roman" w:eastAsia="Times New Roman" w:hAnsi="Times New Roman"/>
          <w:sz w:val="15"/>
          <w:szCs w:val="15"/>
          <w:color w:val="auto"/>
        </w:rPr>
      </w:pPr>
    </w:p>
    <w:p>
      <w:pPr>
        <w:ind w:left="1540" w:hanging="290"/>
        <w:spacing w:after="0"/>
        <w:tabs>
          <w:tab w:leader="none" w:pos="1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Current Reports on Form 8-K, filed on </w:t>
      </w:r>
      <w:hyperlink r:id="rId65">
        <w:r>
          <w:rPr>
            <w:rFonts w:ascii="Times New Roman" w:cs="Times New Roman" w:eastAsia="Times New Roman" w:hAnsi="Times New Roman"/>
            <w:sz w:val="15"/>
            <w:szCs w:val="15"/>
            <w:u w:val="single" w:color="auto"/>
            <w:color w:val="0000EE"/>
          </w:rPr>
          <w:t>August 3, 2022</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and </w:t>
      </w:r>
      <w:hyperlink r:id="rId66">
        <w:r>
          <w:rPr>
            <w:rFonts w:ascii="Times New Roman" w:cs="Times New Roman" w:eastAsia="Times New Roman" w:hAnsi="Times New Roman"/>
            <w:sz w:val="15"/>
            <w:szCs w:val="15"/>
            <w:u w:val="single" w:color="auto"/>
            <w:color w:val="0000EE"/>
          </w:rPr>
          <w:t>September 1, 2022</w:t>
        </w:r>
      </w:hyperlink>
      <w:r>
        <w:rPr>
          <w:rFonts w:ascii="Times New Roman" w:cs="Times New Roman" w:eastAsia="Times New Roman" w:hAnsi="Times New Roman"/>
          <w:sz w:val="15"/>
          <w:szCs w:val="15"/>
          <w:color w:val="auto"/>
        </w:rPr>
        <w:t>; and</w:t>
      </w:r>
    </w:p>
    <w:p>
      <w:pPr>
        <w:spacing w:after="0" w:line="101" w:lineRule="exact"/>
        <w:rPr>
          <w:rFonts w:ascii="Times New Roman" w:cs="Times New Roman" w:eastAsia="Times New Roman" w:hAnsi="Times New Roman"/>
          <w:sz w:val="15"/>
          <w:szCs w:val="15"/>
          <w:color w:val="auto"/>
        </w:rPr>
      </w:pPr>
    </w:p>
    <w:p>
      <w:pPr>
        <w:ind w:left="1540" w:right="1079" w:hanging="290"/>
        <w:spacing w:after="0" w:line="271" w:lineRule="auto"/>
        <w:tabs>
          <w:tab w:leader="none" w:pos="1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securities as set forth in our registration statement on Form 8-A/A (File No. 001-38594), filed with the SEC on </w:t>
      </w:r>
      <w:hyperlink r:id="rId25">
        <w:r>
          <w:rPr>
            <w:rFonts w:ascii="Times New Roman" w:cs="Times New Roman" w:eastAsia="Times New Roman" w:hAnsi="Times New Roman"/>
            <w:sz w:val="15"/>
            <w:szCs w:val="15"/>
            <w:u w:val="single" w:color="auto"/>
            <w:color w:val="0000EE"/>
          </w:rPr>
          <w:t>October 1, 2020</w:t>
        </w:r>
      </w:hyperlink>
      <w:r>
        <w:rPr>
          <w:rFonts w:ascii="Times New Roman" w:cs="Times New Roman" w:eastAsia="Times New Roman" w:hAnsi="Times New Roman"/>
          <w:sz w:val="15"/>
          <w:szCs w:val="15"/>
          <w:color w:val="auto"/>
        </w:rPr>
        <w:t>, pursuant to Section 12(b) of the Exchange Act, including any subsequent amendments or reports filed for the purpose of updating such description.</w:t>
      </w:r>
    </w:p>
    <w:p>
      <w:pPr>
        <w:spacing w:after="0" w:line="54" w:lineRule="exact"/>
        <w:rPr>
          <w:rFonts w:ascii="Times New Roman" w:cs="Times New Roman" w:eastAsia="Times New Roman" w:hAnsi="Times New Roman"/>
          <w:sz w:val="15"/>
          <w:szCs w:val="15"/>
          <w:color w:val="auto"/>
        </w:rPr>
      </w:pPr>
    </w:p>
    <w:p>
      <w:pPr>
        <w:ind w:left="940" w:right="1019"/>
        <w:spacing w:after="0" w:line="262" w:lineRule="auto"/>
        <w:rPr>
          <w:sz w:val="20"/>
          <w:szCs w:val="20"/>
          <w:color w:val="auto"/>
        </w:rPr>
      </w:pPr>
      <w:r>
        <w:rPr>
          <w:rFonts w:ascii="Times New Roman" w:cs="Times New Roman" w:eastAsia="Times New Roman" w:hAnsi="Times New Roman"/>
          <w:sz w:val="15"/>
          <w:szCs w:val="15"/>
          <w:color w:val="auto"/>
        </w:rPr>
        <w:t>We will furnish without charge to you, on written or oral request, a copy of any or all of the documents incorporated by reference. You should direct any requests for documents to Tilray Brands, Inc., 265 Talbot Street West, Leamington, Ontario, Canada. Copies of the above reports may also be accessed from our web site at ir.tilray.com. Information contained on, or that can be accessed through, our website is not a part of this prospectus and the inclusion of our website address in this prospectus is an inactive textual reference only.</w:t>
      </w:r>
    </w:p>
    <w:p>
      <w:pPr>
        <w:spacing w:after="0" w:line="62" w:lineRule="exact"/>
        <w:rPr>
          <w:rFonts w:ascii="Times New Roman" w:cs="Times New Roman" w:eastAsia="Times New Roman" w:hAnsi="Times New Roman"/>
          <w:sz w:val="15"/>
          <w:szCs w:val="15"/>
          <w:color w:val="auto"/>
        </w:rPr>
      </w:pPr>
    </w:p>
    <w:p>
      <w:pPr>
        <w:ind w:left="940"/>
        <w:spacing w:after="0"/>
        <w:rPr>
          <w:sz w:val="20"/>
          <w:szCs w:val="20"/>
          <w:color w:val="auto"/>
        </w:rPr>
      </w:pPr>
      <w:r>
        <w:rPr>
          <w:rFonts w:ascii="Times New Roman" w:cs="Times New Roman" w:eastAsia="Times New Roman" w:hAnsi="Times New Roman"/>
          <w:sz w:val="15"/>
          <w:szCs w:val="15"/>
          <w:color w:val="auto"/>
        </w:rPr>
        <w:t>We also incorporate by reference in this prospectus any future filings that we make with the SEC under</w:t>
      </w:r>
    </w:p>
    <w:p>
      <w:pPr>
        <w:spacing w:after="0" w:line="25" w:lineRule="exact"/>
        <w:rPr>
          <w:rFonts w:ascii="Times New Roman" w:cs="Times New Roman" w:eastAsia="Times New Roman" w:hAnsi="Times New Roman"/>
          <w:sz w:val="15"/>
          <w:szCs w:val="15"/>
          <w:color w:val="auto"/>
        </w:rPr>
      </w:pPr>
    </w:p>
    <w:p>
      <w:pPr>
        <w:ind w:left="940" w:right="959"/>
        <w:spacing w:after="0" w:line="256" w:lineRule="auto"/>
        <w:rPr>
          <w:sz w:val="20"/>
          <w:szCs w:val="20"/>
          <w:color w:val="auto"/>
        </w:rPr>
      </w:pPr>
      <w:r>
        <w:rPr>
          <w:rFonts w:ascii="Times New Roman" w:cs="Times New Roman" w:eastAsia="Times New Roman" w:hAnsi="Times New Roman"/>
          <w:sz w:val="15"/>
          <w:szCs w:val="15"/>
          <w:color w:val="auto"/>
        </w:rPr>
        <w:t>Section 13(a), 13(c), 14 or 15(d) of the Exchange Act until we sell all the securities to which this prospectus relates; provided, however, that we are not incorporating any information furnished under either Item 2.02 or Item 7.01 or any related exhibit furnished under Item 9.01(d) of any Current Report on Form 8-K unless, and except to the extent, specified in any such Current Report on Form 8-K or in any applicable prospectus supplement. 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157"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ectPr>
          <w:pgSz w:w="11900" w:h="16838" w:orient="portrait"/>
          <w:cols w:equalWidth="0" w:num="1">
            <w:col w:w="9019"/>
          </w:cols>
          <w:pgMar w:left="1440" w:top="243" w:right="1440" w:bottom="1440" w:gutter="0" w:footer="0" w:header="0"/>
        </w:sectPr>
      </w:pPr>
    </w:p>
    <w:bookmarkStart w:id="47" w:name="page48"/>
    <w:bookmarkEnd w:id="47"/>
    <w:p>
      <w:pPr>
        <w:ind w:left="10509"/>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197485</wp:posOffset>
            </wp:positionH>
            <wp:positionV relativeFrom="page">
              <wp:posOffset>88900</wp:posOffset>
            </wp:positionV>
            <wp:extent cx="7153910" cy="29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53910" cy="29210"/>
                    </a:xfrm>
                    <a:prstGeom prst="rect">
                      <a:avLst/>
                    </a:prstGeom>
                    <a:noFill/>
                  </pic:spPr>
                </pic:pic>
              </a:graphicData>
            </a:graphic>
          </wp:anchor>
        </w:drawing>
        <w:t>Exhibit 107</w:t>
      </w:r>
    </w:p>
    <w:p>
      <w:pPr>
        <w:spacing w:after="0" w:line="19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5"/>
          <w:szCs w:val="15"/>
          <w:b w:val="1"/>
          <w:bCs w:val="1"/>
          <w:color w:val="auto"/>
        </w:rPr>
        <w:t>Calculation of Filing Fee Tables</w:t>
      </w:r>
    </w:p>
    <w:p>
      <w:pPr>
        <w:spacing w:after="0" w:line="192"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5"/>
          <w:szCs w:val="15"/>
          <w:b w:val="1"/>
          <w:bCs w:val="1"/>
          <w:color w:val="auto"/>
        </w:rPr>
        <w:t>424(b)(5)</w:t>
      </w:r>
    </w:p>
    <w:p>
      <w:pPr>
        <w:spacing w:after="0" w:line="2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5"/>
          <w:szCs w:val="15"/>
          <w:color w:val="auto"/>
        </w:rPr>
        <w:t>(Form Type)</w:t>
      </w:r>
    </w:p>
    <w:p>
      <w:pPr>
        <w:spacing w:after="0" w:line="17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5"/>
          <w:szCs w:val="15"/>
          <w:b w:val="1"/>
          <w:bCs w:val="1"/>
          <w:color w:val="auto"/>
        </w:rPr>
        <w:t>Tilray Brands, Inc.</w:t>
      </w:r>
    </w:p>
    <w:p>
      <w:pPr>
        <w:spacing w:after="0" w:line="2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7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5"/>
          <w:szCs w:val="15"/>
          <w:b w:val="1"/>
          <w:bCs w:val="1"/>
          <w:color w:val="auto"/>
        </w:rPr>
        <w:t>Table 1: Newly Registered and Carry Forward Securities</w:t>
      </w:r>
    </w:p>
    <w:p>
      <w:pPr>
        <w:spacing w:after="0" w:line="29" w:lineRule="exact"/>
        <w:rPr>
          <w:sz w:val="20"/>
          <w:szCs w:val="20"/>
          <w:color w:val="auto"/>
        </w:rPr>
      </w:pPr>
    </w:p>
    <w:tbl>
      <w:tblPr>
        <w:tblLayout w:type="fixed"/>
        <w:tblInd w:w="19" w:type="dxa"/>
        <w:tblCellMar>
          <w:top w:w="0" w:type="dxa"/>
          <w:left w:w="0" w:type="dxa"/>
          <w:bottom w:w="0" w:type="dxa"/>
          <w:right w:w="0" w:type="dxa"/>
        </w:tblCellMar>
      </w:tblPr>
      <w:tr>
        <w:trPr>
          <w:trHeight w:val="167"/>
        </w:trPr>
        <w:tc>
          <w:tcPr>
            <w:tcW w:w="700" w:type="dxa"/>
            <w:vAlign w:val="bottom"/>
            <w:tcBorders>
              <w:top w:val="single" w:sz="8" w:color="auto"/>
              <w:left w:val="single" w:sz="8" w:color="auto"/>
              <w:right w:val="single" w:sz="8" w:color="auto"/>
            </w:tcBorders>
          </w:tcPr>
          <w:p>
            <w:pPr>
              <w:spacing w:after="0"/>
              <w:rPr>
                <w:sz w:val="14"/>
                <w:szCs w:val="14"/>
                <w:color w:val="auto"/>
              </w:rPr>
            </w:pPr>
          </w:p>
        </w:tc>
        <w:tc>
          <w:tcPr>
            <w:tcW w:w="580" w:type="dxa"/>
            <w:vAlign w:val="bottom"/>
            <w:tcBorders>
              <w:top w:val="single" w:sz="8" w:color="auto"/>
              <w:right w:val="single" w:sz="8" w:color="auto"/>
            </w:tcBorders>
          </w:tcPr>
          <w:p>
            <w:pPr>
              <w:spacing w:after="0"/>
              <w:rPr>
                <w:sz w:val="14"/>
                <w:szCs w:val="14"/>
                <w:color w:val="auto"/>
              </w:rPr>
            </w:pPr>
          </w:p>
        </w:tc>
        <w:tc>
          <w:tcPr>
            <w:tcW w:w="5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700" w:type="dxa"/>
            <w:vAlign w:val="bottom"/>
            <w:tcBorders>
              <w:top w:val="single" w:sz="8" w:color="auto"/>
              <w:right w:val="single" w:sz="8" w:color="auto"/>
            </w:tcBorders>
          </w:tcPr>
          <w:p>
            <w:pPr>
              <w:spacing w:after="0"/>
              <w:rPr>
                <w:sz w:val="14"/>
                <w:szCs w:val="14"/>
                <w:color w:val="auto"/>
              </w:rPr>
            </w:pPr>
          </w:p>
        </w:tc>
        <w:tc>
          <w:tcPr>
            <w:tcW w:w="2300" w:type="dxa"/>
            <w:vAlign w:val="bottom"/>
            <w:tcBorders>
              <w:top w:val="single" w:sz="8" w:color="auto"/>
              <w:right w:val="single" w:sz="8" w:color="auto"/>
            </w:tcBorders>
          </w:tcPr>
          <w:p>
            <w:pPr>
              <w:spacing w:after="0"/>
              <w:rPr>
                <w:sz w:val="14"/>
                <w:szCs w:val="14"/>
                <w:color w:val="auto"/>
              </w:rPr>
            </w:pPr>
          </w:p>
        </w:tc>
        <w:tc>
          <w:tcPr>
            <w:tcW w:w="940" w:type="dxa"/>
            <w:vAlign w:val="bottom"/>
            <w:tcBorders>
              <w:top w:val="single" w:sz="8" w:color="auto"/>
              <w:right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right w:val="single" w:sz="8" w:color="auto"/>
            </w:tcBorders>
          </w:tcPr>
          <w:p>
            <w:pPr>
              <w:spacing w:after="0"/>
              <w:rPr>
                <w:sz w:val="14"/>
                <w:szCs w:val="14"/>
                <w:color w:val="auto"/>
              </w:rPr>
            </w:pPr>
          </w:p>
        </w:tc>
        <w:tc>
          <w:tcPr>
            <w:tcW w:w="1440" w:type="dxa"/>
            <w:vAlign w:val="bottom"/>
            <w:tcBorders>
              <w:top w:val="single" w:sz="8" w:color="auto"/>
              <w:right w:val="single" w:sz="8" w:color="auto"/>
            </w:tcBorders>
          </w:tcPr>
          <w:p>
            <w:pPr>
              <w:spacing w:after="0"/>
              <w:rPr>
                <w:sz w:val="14"/>
                <w:szCs w:val="14"/>
                <w:color w:val="auto"/>
              </w:rPr>
            </w:pPr>
          </w:p>
        </w:tc>
        <w:tc>
          <w:tcPr>
            <w:tcW w:w="620" w:type="dxa"/>
            <w:vAlign w:val="bottom"/>
            <w:tcBorders>
              <w:top w:val="single" w:sz="8" w:color="auto"/>
              <w:right w:val="single" w:sz="8" w:color="auto"/>
            </w:tcBorders>
          </w:tcPr>
          <w:p>
            <w:pPr>
              <w:spacing w:after="0"/>
              <w:rPr>
                <w:sz w:val="14"/>
                <w:szCs w:val="14"/>
                <w:color w:val="auto"/>
              </w:rPr>
            </w:pPr>
          </w:p>
        </w:tc>
        <w:tc>
          <w:tcPr>
            <w:tcW w:w="580" w:type="dxa"/>
            <w:vAlign w:val="bottom"/>
            <w:tcBorders>
              <w:top w:val="single" w:sz="8" w:color="auto"/>
              <w:right w:val="single" w:sz="8" w:color="auto"/>
            </w:tcBorders>
          </w:tcPr>
          <w:p>
            <w:pPr>
              <w:spacing w:after="0"/>
              <w:rPr>
                <w:sz w:val="14"/>
                <w:szCs w:val="14"/>
                <w:color w:val="auto"/>
              </w:rPr>
            </w:pPr>
          </w:p>
        </w:tc>
        <w:tc>
          <w:tcPr>
            <w:tcW w:w="620" w:type="dxa"/>
            <w:vAlign w:val="bottom"/>
            <w:tcBorders>
              <w:top w:val="single" w:sz="8" w:color="auto"/>
              <w:right w:val="single" w:sz="8" w:color="auto"/>
            </w:tcBorders>
          </w:tcPr>
          <w:p>
            <w:pPr>
              <w:spacing w:after="0"/>
              <w:rPr>
                <w:sz w:val="14"/>
                <w:szCs w:val="14"/>
                <w:color w:val="auto"/>
              </w:rPr>
            </w:pPr>
          </w:p>
        </w:tc>
        <w:tc>
          <w:tcPr>
            <w:tcW w:w="760" w:type="dxa"/>
            <w:vAlign w:val="bottom"/>
            <w:tcBorders>
              <w:top w:val="single" w:sz="8" w:color="auto"/>
              <w:right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rPr>
              <w:t>Filing Fee</w:t>
            </w: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Previously</w:t>
            </w: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Paid In</w:t>
            </w: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Connection</w:t>
            </w: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with</w:t>
            </w: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Fee</w:t>
            </w:r>
          </w:p>
        </w:tc>
        <w:tc>
          <w:tcPr>
            <w:tcW w:w="7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Carry</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Unsold</w:t>
            </w: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Calculation</w:t>
            </w:r>
          </w:p>
        </w:tc>
        <w:tc>
          <w:tcPr>
            <w:tcW w:w="7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Maximum</w:t>
            </w: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Carry</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Carry</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Securities</w:t>
            </w: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Security</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or Carry</w:t>
            </w:r>
          </w:p>
        </w:tc>
        <w:tc>
          <w:tcPr>
            <w:tcW w:w="7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Aggregate</w:t>
            </w: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Forward</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Initial</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to be</w:t>
            </w: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Security</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Class</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3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Proposed Maximum Offering Price</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Offering</w:t>
            </w: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Form</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File</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effective</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Carried</w:t>
            </w:r>
          </w:p>
        </w:tc>
      </w:tr>
      <w:tr>
        <w:trPr>
          <w:trHeight w:val="204"/>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Type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Rule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Registered</w:t>
            </w:r>
          </w:p>
        </w:tc>
        <w:tc>
          <w:tcPr>
            <w:tcW w:w="2300" w:type="dxa"/>
            <w:vAlign w:val="bottom"/>
            <w:tcBorders>
              <w:bottom w:val="single" w:sz="8" w:color="auto"/>
              <w:right w:val="single" w:sz="8" w:color="auto"/>
            </w:tcBorders>
          </w:tcPr>
          <w:p>
            <w:pPr>
              <w:jc w:val="right"/>
              <w:ind w:right="724"/>
              <w:spacing w:after="0"/>
              <w:rPr>
                <w:sz w:val="20"/>
                <w:szCs w:val="20"/>
                <w:color w:val="auto"/>
              </w:rPr>
            </w:pPr>
            <w:r>
              <w:rPr>
                <w:rFonts w:ascii="Times New Roman" w:cs="Times New Roman" w:eastAsia="Times New Roman" w:hAnsi="Times New Roman"/>
                <w:sz w:val="15"/>
                <w:szCs w:val="15"/>
                <w:b w:val="1"/>
                <w:bCs w:val="1"/>
                <w:color w:val="auto"/>
              </w:rPr>
              <w:t>Per Unit</w:t>
            </w:r>
            <w:r>
              <w:rPr>
                <w:rFonts w:ascii="Times New Roman" w:cs="Times New Roman" w:eastAsia="Times New Roman" w:hAnsi="Times New Roman"/>
                <w:sz w:val="15"/>
                <w:szCs w:val="15"/>
                <w:color w:val="auto"/>
              </w:rPr>
              <w:t>(1)</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Price</w:t>
            </w: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Fee Rate</w:t>
            </w: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of Registration Fee</w:t>
            </w:r>
            <w:r>
              <w:rPr>
                <w:rFonts w:ascii="Times New Roman" w:cs="Times New Roman" w:eastAsia="Times New Roman" w:hAnsi="Times New Roman"/>
                <w:sz w:val="15"/>
                <w:szCs w:val="15"/>
                <w:color w:val="auto"/>
              </w:rPr>
              <w:t>(2)</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2"/>
              </w:rPr>
              <w:t>Type</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Forward</w:t>
            </w:r>
          </w:p>
        </w:tc>
      </w:tr>
      <w:tr>
        <w:trPr>
          <w:trHeight w:val="368"/>
        </w:trPr>
        <w:tc>
          <w:tcPr>
            <w:tcW w:w="70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left="1284"/>
              <w:spacing w:after="0"/>
              <w:rPr>
                <w:sz w:val="20"/>
                <w:szCs w:val="20"/>
                <w:color w:val="auto"/>
              </w:rPr>
            </w:pPr>
            <w:r>
              <w:rPr>
                <w:rFonts w:ascii="Times New Roman" w:cs="Times New Roman" w:eastAsia="Times New Roman" w:hAnsi="Times New Roman"/>
                <w:sz w:val="15"/>
                <w:szCs w:val="15"/>
                <w:b w:val="1"/>
                <w:bCs w:val="1"/>
                <w:color w:val="auto"/>
              </w:rPr>
              <w:t>Newly Registered Securities</w:t>
            </w:r>
          </w:p>
        </w:tc>
        <w:tc>
          <w:tcPr>
            <w:tcW w:w="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r>
      <w:tr>
        <w:trPr>
          <w:trHeight w:val="168"/>
        </w:trPr>
        <w:tc>
          <w:tcPr>
            <w:tcW w:w="700" w:type="dxa"/>
            <w:vAlign w:val="bottom"/>
            <w:tcBorders>
              <w:left w:val="single" w:sz="8" w:color="auto"/>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5"/>
                <w:szCs w:val="15"/>
                <w:color w:val="auto"/>
              </w:rPr>
              <w:t>Fees to be</w:t>
            </w:r>
          </w:p>
        </w:tc>
        <w:tc>
          <w:tcPr>
            <w:tcW w:w="5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5"/>
                <w:szCs w:val="15"/>
                <w:color w:val="auto"/>
              </w:rPr>
              <w:t>Common</w:t>
            </w: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182"/>
        </w:trPr>
        <w:tc>
          <w:tcPr>
            <w:tcW w:w="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Paid</w:t>
            </w:r>
          </w:p>
        </w:tc>
        <w:tc>
          <w:tcPr>
            <w:tcW w:w="5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Stock,</w:t>
            </w: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Equity</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par value</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457(c)</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6,209,000</w:t>
            </w:r>
          </w:p>
        </w:tc>
        <w:tc>
          <w:tcPr>
            <w:tcW w:w="2300" w:type="dxa"/>
            <w:vAlign w:val="bottom"/>
            <w:tcBorders>
              <w:right w:val="single" w:sz="8" w:color="auto"/>
            </w:tcBorders>
          </w:tcPr>
          <w:p>
            <w:pPr>
              <w:jc w:val="right"/>
              <w:ind w:right="904"/>
              <w:spacing w:after="0"/>
              <w:rPr>
                <w:sz w:val="20"/>
                <w:szCs w:val="20"/>
                <w:color w:val="auto"/>
              </w:rPr>
            </w:pPr>
            <w:r>
              <w:rPr>
                <w:rFonts w:ascii="Times New Roman" w:cs="Times New Roman" w:eastAsia="Times New Roman" w:hAnsi="Times New Roman"/>
                <w:sz w:val="15"/>
                <w:szCs w:val="15"/>
                <w:color w:val="auto"/>
              </w:rPr>
              <w:t>$1.15</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$7,140,350.00</w:t>
            </w:r>
          </w:p>
        </w:tc>
        <w:tc>
          <w:tcPr>
            <w:tcW w:w="72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w w:val="95"/>
              </w:rPr>
              <w:t>0.00015310</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$1,093.18</w:t>
            </w:r>
          </w:p>
        </w:tc>
        <w:tc>
          <w:tcPr>
            <w:tcW w:w="6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r>
      <w:tr>
        <w:trPr>
          <w:trHeight w:val="182"/>
        </w:trPr>
        <w:tc>
          <w:tcPr>
            <w:tcW w:w="700" w:type="dxa"/>
            <w:vAlign w:val="bottom"/>
            <w:tcBorders>
              <w:left w:val="single" w:sz="8" w:color="auto"/>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$0.0001</w:t>
            </w:r>
          </w:p>
        </w:tc>
        <w:tc>
          <w:tcPr>
            <w:tcW w:w="80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r>
      <w:tr>
        <w:trPr>
          <w:trHeight w:val="200"/>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8"/>
              </w:rPr>
              <w:t>per share</w:t>
            </w:r>
          </w:p>
        </w:tc>
        <w:tc>
          <w:tcPr>
            <w:tcW w:w="8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r>
      <w:tr>
        <w:trPr>
          <w:trHeight w:val="168"/>
        </w:trPr>
        <w:tc>
          <w:tcPr>
            <w:tcW w:w="700" w:type="dxa"/>
            <w:vAlign w:val="bottom"/>
            <w:tcBorders>
              <w:left w:val="single" w:sz="8" w:color="auto"/>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5"/>
                <w:szCs w:val="15"/>
                <w:color w:val="auto"/>
              </w:rPr>
              <w:t>Fees</w:t>
            </w:r>
          </w:p>
        </w:tc>
        <w:tc>
          <w:tcPr>
            <w:tcW w:w="5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182"/>
        </w:trPr>
        <w:tc>
          <w:tcPr>
            <w:tcW w:w="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w w:val="99"/>
              </w:rPr>
              <w:t>Previously</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r>
      <w:tr>
        <w:trPr>
          <w:trHeight w:val="200"/>
        </w:trPr>
        <w:tc>
          <w:tcPr>
            <w:tcW w:w="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Paid</w:t>
            </w:r>
          </w:p>
        </w:tc>
        <w:tc>
          <w:tcPr>
            <w:tcW w:w="5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r>
      <w:tr>
        <w:trPr>
          <w:trHeight w:val="368"/>
        </w:trPr>
        <w:tc>
          <w:tcPr>
            <w:tcW w:w="700" w:type="dxa"/>
            <w:vAlign w:val="bottom"/>
            <w:tcBorders>
              <w:left w:val="single" w:sz="8" w:color="auto"/>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left="1264"/>
              <w:spacing w:after="0"/>
              <w:rPr>
                <w:sz w:val="20"/>
                <w:szCs w:val="20"/>
                <w:color w:val="auto"/>
              </w:rPr>
            </w:pPr>
            <w:r>
              <w:rPr>
                <w:rFonts w:ascii="Times New Roman" w:cs="Times New Roman" w:eastAsia="Times New Roman" w:hAnsi="Times New Roman"/>
                <w:sz w:val="15"/>
                <w:szCs w:val="15"/>
                <w:b w:val="1"/>
                <w:bCs w:val="1"/>
                <w:color w:val="auto"/>
              </w:rPr>
              <w:t>Carry Forward Securities</w:t>
            </w:r>
          </w:p>
        </w:tc>
        <w:tc>
          <w:tcPr>
            <w:tcW w:w="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r>
      <w:tr>
        <w:trPr>
          <w:trHeight w:val="168"/>
        </w:trPr>
        <w:tc>
          <w:tcPr>
            <w:tcW w:w="700" w:type="dxa"/>
            <w:vAlign w:val="bottom"/>
            <w:tcBorders>
              <w:left w:val="single" w:sz="8" w:color="auto"/>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5"/>
                <w:szCs w:val="15"/>
                <w:color w:val="auto"/>
              </w:rPr>
              <w:t>Carry</w:t>
            </w:r>
          </w:p>
        </w:tc>
        <w:tc>
          <w:tcPr>
            <w:tcW w:w="58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230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182"/>
        </w:trPr>
        <w:tc>
          <w:tcPr>
            <w:tcW w:w="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Forward</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230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r>
      <w:tr>
        <w:trPr>
          <w:trHeight w:val="200"/>
        </w:trPr>
        <w:tc>
          <w:tcPr>
            <w:tcW w:w="7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Securities</w:t>
            </w:r>
          </w:p>
        </w:tc>
        <w:tc>
          <w:tcPr>
            <w:tcW w:w="58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r>
      <w:tr>
        <w:trPr>
          <w:trHeight w:val="185"/>
        </w:trPr>
        <w:tc>
          <w:tcPr>
            <w:tcW w:w="700" w:type="dxa"/>
            <w:vAlign w:val="bottom"/>
            <w:tcBorders>
              <w:left w:val="single" w:sz="8" w:color="auto"/>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Total Offering Amounts</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$7,140,350.00</w:t>
            </w: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$1,093.18</w:t>
            </w:r>
          </w:p>
        </w:tc>
        <w:tc>
          <w:tcPr>
            <w:tcW w:w="6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r>
      <w:tr>
        <w:trPr>
          <w:trHeight w:val="185"/>
        </w:trPr>
        <w:tc>
          <w:tcPr>
            <w:tcW w:w="700" w:type="dxa"/>
            <w:vAlign w:val="bottom"/>
            <w:tcBorders>
              <w:left w:val="single" w:sz="8" w:color="auto"/>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Total Fees Previously Paid</w:t>
            </w:r>
          </w:p>
        </w:tc>
        <w:tc>
          <w:tcPr>
            <w:tcW w:w="9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r>
      <w:tr>
        <w:trPr>
          <w:trHeight w:val="185"/>
        </w:trPr>
        <w:tc>
          <w:tcPr>
            <w:tcW w:w="700" w:type="dxa"/>
            <w:vAlign w:val="bottom"/>
            <w:tcBorders>
              <w:left w:val="single" w:sz="8" w:color="auto"/>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Total Fee Offsets</w:t>
            </w:r>
          </w:p>
        </w:tc>
        <w:tc>
          <w:tcPr>
            <w:tcW w:w="9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r>
      <w:tr>
        <w:trPr>
          <w:trHeight w:val="185"/>
        </w:trPr>
        <w:tc>
          <w:tcPr>
            <w:tcW w:w="700" w:type="dxa"/>
            <w:vAlign w:val="bottom"/>
            <w:tcBorders>
              <w:left w:val="single" w:sz="8" w:color="auto"/>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Net Fee Due</w:t>
            </w:r>
          </w:p>
        </w:tc>
        <w:tc>
          <w:tcPr>
            <w:tcW w:w="94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$1,093.18</w:t>
            </w:r>
          </w:p>
        </w:tc>
        <w:tc>
          <w:tcPr>
            <w:tcW w:w="6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r>
    </w:tbl>
    <w:p>
      <w:pPr>
        <w:ind w:left="9" w:right="160" w:hanging="9"/>
        <w:spacing w:after="0" w:line="268" w:lineRule="auto"/>
        <w:tabs>
          <w:tab w:leader="none" w:pos="224"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Estimated solely for purposes of calculating the registration fee pursuant to Rule 457(c) under the Securities Act of 1933, as amended (the “Securities Act”), based upon the average of the high and low price per share of the Registrant’s common stock as reported on the Nasdaq Global Select Market on September 4, 2025.</w:t>
      </w:r>
    </w:p>
    <w:p>
      <w:pPr>
        <w:spacing w:after="0" w:line="147" w:lineRule="exact"/>
        <w:rPr>
          <w:rFonts w:ascii="Times New Roman" w:cs="Times New Roman" w:eastAsia="Times New Roman" w:hAnsi="Times New Roman"/>
          <w:sz w:val="15"/>
          <w:szCs w:val="15"/>
          <w:color w:val="auto"/>
        </w:rPr>
      </w:pPr>
    </w:p>
    <w:p>
      <w:pPr>
        <w:ind w:left="9" w:right="200" w:hanging="9"/>
        <w:spacing w:after="0" w:line="288" w:lineRule="auto"/>
        <w:tabs>
          <w:tab w:leader="none" w:pos="224"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fee is calculated in accordance with Rule 457(r) under the Securities Act and represents deferred payment of the registration fee in connection with the Registrant’s Registration Statement on Form S-3ASR (Registration No. 333-267788) paid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5391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53910" cy="14605"/>
                    </a:xfrm>
                    <a:prstGeom prst="rect">
                      <a:avLst/>
                    </a:prstGeom>
                    <a:noFill/>
                  </pic:spPr>
                </pic:pic>
              </a:graphicData>
            </a:graphic>
          </wp:anchor>
        </w:drawing>
      </w:r>
    </w:p>
    <w:sectPr>
      <w:pgSz w:w="11900" w:h="16838" w:orient="portrait"/>
      <w:cols w:equalWidth="0" w:num="1">
        <w:col w:w="11349"/>
      </w:cols>
      <w:pgMar w:left="311" w:top="2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844"/>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jpe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23" Type="http://schemas.openxmlformats.org/officeDocument/2006/relationships/hyperlink" Target="https://www.sec.gov/ix?doc=/Archives/edgar/data/1731348/000143774925023703/tlry20250531_10k.htm" TargetMode="External"/><Relationship Id="rId24" Type="http://schemas.openxmlformats.org/officeDocument/2006/relationships/hyperlink" Target="https://www.sec.gov/ix?doc=/Archives/edgar/data/1731348/000114036124042191/ny20034373x2_def14a.htm" TargetMode="External"/><Relationship Id="rId25" Type="http://schemas.openxmlformats.org/officeDocument/2006/relationships/hyperlink" Target="https://www.sec.gov/Archives/edgar/data/1731348/000119312520261461/d89853d8a12ba.htm" TargetMode="External"/><Relationship Id="rId26" Type="http://schemas.openxmlformats.org/officeDocument/2006/relationships/hyperlink" Target="https://www.sec.gov/Archives/edgar/data/1731348/000143774925023703/ex_802151.htm" TargetMode="External"/><Relationship Id="rId62" Type="http://schemas.openxmlformats.org/officeDocument/2006/relationships/hyperlink" Target="https://www.sec.gov/Archives/edgar/data/1731348/000156459022026894/tlry-10k_20220531.htm" TargetMode="External"/><Relationship Id="rId63" Type="http://schemas.openxmlformats.org/officeDocument/2006/relationships/hyperlink" Target="https://www.sec.gov/ix?doc=/Archives/edgar/data/1731348/000156459022033766/tlry-10ka_20220531.htm" TargetMode="External"/><Relationship Id="rId64" Type="http://schemas.openxmlformats.org/officeDocument/2006/relationships/hyperlink" Target="https://www.sec.gov/Archives/edgar/data/1731348/000114036122035780/ny20005311x4_def14a.htm" TargetMode="External"/><Relationship Id="rId65" Type="http://schemas.openxmlformats.org/officeDocument/2006/relationships/hyperlink" Target="https://www.sec.gov/Archives/edgar/data/1731348/000156459022027682/tlry-8k_20220803.htm" TargetMode="External"/><Relationship Id="rId66" Type="http://schemas.openxmlformats.org/officeDocument/2006/relationships/hyperlink" Target="https://www.sec.gov/ix?doc=/Archives/edgar/data/1731348/000114036122031993/ny20005207x2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2025-09-10T15:41:14Z</dcterms:created>
  <dcterms:modified xsi:type="dcterms:W3CDTF">2025-09-10T15:41:14Z</dcterms:modified>
</cp:coreProperties>
</file>