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lry20260831_10q.htm"/>
      <w:bookmarkStart w:id="1" w:name="kstlry20260831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One)</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QUARTERLY REPORT PURSUANT TO SECTION 13 OR 15(d) OF THE SECURITIES EXCHANGE ACT OF 1934</w:t>
            </w:r>
          </w:p>
        </w:tc>
      </w:tr>
    </w:tbl>
    <w:p>
      <w:pPr>
        <w:pStyle w:val="TextBody"/>
        <w:bidi w:val="0"/>
        <w:spacing w:before="120" w:after="12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August 31, 2026</w:t>
      </w:r>
    </w:p>
    <w:p>
      <w:pPr>
        <w:pStyle w:val="TextBody"/>
        <w:bidi w:val="0"/>
        <w:spacing w:before="0" w:after="12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TRANSITION REPORT PURSUANT TO SECTION 13 OR 15(d) OF THE SECURITIES EXCHANGE ACT OF 1934</w:t>
            </w:r>
          </w:p>
        </w:tc>
      </w:tr>
    </w:tbl>
    <w:p>
      <w:pPr>
        <w:pStyle w:val="TextBody"/>
        <w:bidi w:val="0"/>
        <w:spacing w:before="120" w:after="12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 the transition period from to </w:t>
      </w:r>
    </w:p>
    <w:p>
      <w:pPr>
        <w:pStyle w:val="TextBody"/>
        <w:bidi w:val="0"/>
        <w:spacing w:before="0" w:after="12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001-38594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TILRAY BRANDS,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2825"/>
        <w:gridCol w:w="1355"/>
      </w:tblGrid>
      <w:tr>
        <w:trPr/>
        <w:tc>
          <w:tcPr>
            <w:tcW w:w="28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3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82-4310622</w:t>
            </w:r>
          </w:p>
        </w:tc>
      </w:tr>
      <w:tr>
        <w:trPr/>
        <w:tc>
          <w:tcPr>
            <w:tcW w:w="2825"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(State or other jurisdiction of</w:t>
            </w:r>
          </w:p>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incorporation or organization)</w:t>
            </w:r>
          </w:p>
        </w:tc>
        <w:tc>
          <w:tcPr>
            <w:tcW w:w="1355"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16"/>
              </w:rPr>
              <w:t>(I.R.S. Employer</w:t>
            </w:r>
            <w:r>
              <w:rPr>
                <w:rFonts w:ascii="Times New Roman" w:hAnsi="Times New Roman"/>
                <w:caps w:val="false"/>
                <w:smallCaps w:val="false"/>
                <w:sz w:val="16"/>
              </w:rPr>
              <w:br/>
            </w:r>
            <w:r>
              <w:rPr>
                <w:rFonts w:ascii="Times New Roman" w:hAnsi="Times New Roman"/>
                <w:b/>
                <w:caps w:val="false"/>
                <w:smallCaps w:val="false"/>
                <w:sz w:val="16"/>
              </w:rPr>
              <w:t>Identification No.)</w:t>
            </w:r>
          </w:p>
        </w:tc>
      </w:tr>
      <w:tr>
        <w:trPr/>
        <w:tc>
          <w:tcPr>
            <w:tcW w:w="28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265 Talbot Street West,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Leamington, ON</w:t>
            </w:r>
          </w:p>
        </w:tc>
        <w:tc>
          <w:tcPr>
            <w:tcW w:w="13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N8H 5L4</w:t>
            </w:r>
          </w:p>
        </w:tc>
      </w:tr>
      <w:tr>
        <w:trPr/>
        <w:tc>
          <w:tcPr>
            <w:tcW w:w="2825"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(Address of principal executive offices)</w:t>
            </w:r>
          </w:p>
        </w:tc>
        <w:tc>
          <w:tcPr>
            <w:tcW w:w="1355"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(844) 845-7291</w:t>
      </w:r>
    </w:p>
    <w:p>
      <w:pPr>
        <w:pStyle w:val="HorizontalLine"/>
        <w:pBdr>
          <w:bottom w:val="double" w:sz="2" w:space="0" w:color="808080"/>
        </w:pBdr>
        <w:bidi w:val="0"/>
        <w:spacing w:before="0" w:after="283"/>
        <w:jc w:val="left"/>
        <w:rPr/>
      </w:pPr>
      <w:r>
        <w:rPr/>
      </w:r>
    </w:p>
    <w:p>
      <w:pPr>
        <w:pStyle w:val="TextBody"/>
        <w:bidi w:val="0"/>
        <w:spacing w:before="0" w:after="0"/>
        <w:ind w:left="0" w:right="0" w:firstLine="500"/>
        <w:jc w:val="both"/>
        <w:rPr>
          <w:rFonts w:ascii="Times New Roman" w:hAnsi="Times New Roman"/>
          <w:caps w:val="false"/>
          <w:smallCaps w:val="false"/>
          <w:sz w:val="18"/>
        </w:rPr>
      </w:pPr>
      <w:r>
        <w:rPr>
          <w:rFonts w:ascii="Times New Roman" w:hAnsi="Times New Roman"/>
          <w:caps w:val="false"/>
          <w:smallCaps w:val="false"/>
          <w:sz w:val="18"/>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455" w:type="dxa"/>
        <w:jc w:val="left"/>
        <w:tblInd w:w="0" w:type="dxa"/>
        <w:tblLayout w:type="fixed"/>
        <w:tblCellMar>
          <w:top w:w="0" w:type="dxa"/>
          <w:left w:w="0" w:type="dxa"/>
          <w:bottom w:w="28" w:type="dxa"/>
          <w:right w:w="0" w:type="dxa"/>
        </w:tblCellMar>
      </w:tblPr>
      <w:tblGrid>
        <w:gridCol w:w="3185"/>
        <w:gridCol w:w="60"/>
        <w:gridCol w:w="800"/>
        <w:gridCol w:w="60"/>
        <w:gridCol w:w="3350"/>
      </w:tblGrid>
      <w:tr>
        <w:trPr/>
        <w:tc>
          <w:tcPr>
            <w:tcW w:w="318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Title of each class</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Trading</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Symbol(s)</w:t>
            </w:r>
          </w:p>
        </w:tc>
        <w:tc>
          <w:tcPr>
            <w:tcW w:w="60" w:type="dxa"/>
            <w:tcBorders/>
            <w:tcMar>
              <w:bottom w:w="0" w:type="dxa"/>
            </w:tcMar>
            <w:vAlign w:val="center"/>
          </w:tcPr>
          <w:p>
            <w:pPr>
              <w:pStyle w:val="TableContents"/>
              <w:bidi w:val="0"/>
              <w:spacing w:before="0" w:after="283"/>
              <w:jc w:val="left"/>
              <w:rPr/>
            </w:pPr>
            <w:r>
              <w:rPr/>
              <w:t> </w:t>
            </w:r>
          </w:p>
        </w:tc>
        <w:tc>
          <w:tcPr>
            <w:tcW w:w="3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Name of each exchange on which registered</w:t>
            </w:r>
          </w:p>
        </w:tc>
      </w:tr>
      <w:tr>
        <w:trPr/>
        <w:tc>
          <w:tcPr>
            <w:tcW w:w="318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Common Stock, $0.0001 par value per share</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TLRY</w:t>
            </w:r>
          </w:p>
        </w:tc>
        <w:tc>
          <w:tcPr>
            <w:tcW w:w="60" w:type="dxa"/>
            <w:tcBorders/>
            <w:tcMar>
              <w:bottom w:w="0" w:type="dxa"/>
            </w:tcMar>
            <w:vAlign w:val="center"/>
          </w:tcPr>
          <w:p>
            <w:pPr>
              <w:pStyle w:val="TableContents"/>
              <w:bidi w:val="0"/>
              <w:spacing w:before="0" w:after="283"/>
              <w:jc w:val="left"/>
              <w:rPr/>
            </w:pPr>
            <w:r>
              <w:rPr/>
              <w:t> </w:t>
            </w:r>
          </w:p>
        </w:tc>
        <w:tc>
          <w:tcPr>
            <w:tcW w:w="33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355" w:type="dxa"/>
        <w:jc w:val="left"/>
        <w:tblInd w:w="0" w:type="dxa"/>
        <w:tblLayout w:type="fixed"/>
        <w:tblCellMar>
          <w:top w:w="0" w:type="dxa"/>
          <w:left w:w="0" w:type="dxa"/>
          <w:bottom w:w="0" w:type="dxa"/>
          <w:right w:w="0" w:type="dxa"/>
        </w:tblCellMar>
      </w:tblPr>
      <w:tblGrid>
        <w:gridCol w:w="1955"/>
        <w:gridCol w:w="230"/>
        <w:gridCol w:w="1940"/>
        <w:gridCol w:w="230"/>
      </w:tblGrid>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355" w:type="dxa"/>
            <w:gridSpan w:val="4"/>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355" w:type="dxa"/>
            <w:gridSpan w:val="4"/>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18"/>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filed all documents and reports required to be filed by Sections 12, 13 or 15(d) of the Securities Exchange Act of 1934 subsequent to the distribution of securities under a plan confirmed by a court.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18"/>
        </w:rPr>
      </w:pPr>
      <w:r>
        <w:rPr>
          <w:rFonts w:ascii="Times New Roman" w:hAnsi="Times New Roman"/>
          <w:caps w:val="false"/>
          <w:smallCaps w:val="false"/>
          <w:sz w:val="18"/>
        </w:rPr>
        <w:t>As of October 6, 2026, the registrant had 147,787,523 shares of Common Stock, $0.0001 par value per share issued and outstanding.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535" w:type="dxa"/>
        <w:jc w:val="left"/>
        <w:tblInd w:w="0" w:type="dxa"/>
        <w:tblLayout w:type="fixed"/>
        <w:tblCellMar>
          <w:top w:w="0" w:type="dxa"/>
          <w:left w:w="0" w:type="dxa"/>
          <w:bottom w:w="0" w:type="dxa"/>
          <w:right w:w="0" w:type="dxa"/>
        </w:tblCellMar>
      </w:tblPr>
      <w:tblGrid>
        <w:gridCol w:w="785"/>
        <w:gridCol w:w="7310"/>
        <w:gridCol w:w="440"/>
      </w:tblGrid>
      <w:tr>
        <w:trPr/>
        <w:tc>
          <w:tcPr>
            <w:tcW w:w="785" w:type="dxa"/>
            <w:tcBorders/>
            <w:vAlign w:val="center"/>
          </w:tcPr>
          <w:p>
            <w:pPr>
              <w:pStyle w:val="TableContents"/>
              <w:bidi w:val="0"/>
              <w:spacing w:before="0" w:after="0"/>
              <w:ind w:left="140" w:right="0" w:hanging="0"/>
              <w:jc w:val="both"/>
              <w:rPr>
                <w:caps w:val="false"/>
                <w:smallCaps w:val="false"/>
              </w:rPr>
            </w:pPr>
            <w:r>
              <w:rPr>
                <w:caps w:val="false"/>
                <w:smallCaps w:val="false"/>
              </w:rPr>
              <w:t> </w:t>
            </w:r>
          </w:p>
        </w:tc>
        <w:tc>
          <w:tcPr>
            <w:tcW w:w="731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785" w:type="dxa"/>
            <w:tcBorders/>
            <w:vAlign w:val="center"/>
          </w:tcPr>
          <w:p>
            <w:pPr>
              <w:pStyle w:val="TableContents"/>
              <w:bidi w:val="0"/>
              <w:spacing w:before="0" w:after="0"/>
              <w:ind w:left="0" w:right="0" w:hanging="0"/>
              <w:jc w:val="both"/>
              <w:rPr/>
            </w:pPr>
            <w:hyperlink w:anchor="bs">
              <w:r>
                <w:rPr>
                  <w:rStyle w:val="InternetLink"/>
                  <w:rFonts w:ascii="Times New Roman" w:hAnsi="Times New Roman"/>
                  <w:b/>
                  <w:caps w:val="false"/>
                  <w:smallCaps w:val="false"/>
                  <w:sz w:val="20"/>
                </w:rPr>
                <w:t>PART I.</w:t>
              </w:r>
            </w:hyperlink>
          </w:p>
        </w:tc>
        <w:tc>
          <w:tcPr>
            <w:tcW w:w="7310" w:type="dxa"/>
            <w:tcBorders/>
            <w:vAlign w:val="center"/>
          </w:tcPr>
          <w:p>
            <w:pPr>
              <w:pStyle w:val="TableContents"/>
              <w:bidi w:val="0"/>
              <w:spacing w:before="0" w:after="0"/>
              <w:ind w:left="0" w:right="0" w:hanging="0"/>
              <w:jc w:val="both"/>
              <w:rPr/>
            </w:pPr>
            <w:hyperlink w:anchor="bs">
              <w:r>
                <w:rPr>
                  <w:rStyle w:val="InternetLink"/>
                  <w:rFonts w:ascii="Times New Roman" w:hAnsi="Times New Roman"/>
                  <w:caps w:val="false"/>
                  <w:smallCaps w:val="false"/>
                  <w:sz w:val="20"/>
                </w:rPr>
                <w:t>FINANCIAL INFORMATION</w:t>
              </w:r>
            </w:hyperlink>
          </w:p>
        </w:tc>
        <w:tc>
          <w:tcPr>
            <w:tcW w:w="440"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1</w:t>
              </w:r>
            </w:hyperlink>
          </w:p>
        </w:tc>
      </w:tr>
      <w:tr>
        <w:trPr/>
        <w:tc>
          <w:tcPr>
            <w:tcW w:w="785" w:type="dxa"/>
            <w:tcBorders/>
            <w:vAlign w:val="center"/>
          </w:tcPr>
          <w:p>
            <w:pPr>
              <w:pStyle w:val="TableContents"/>
              <w:bidi w:val="0"/>
              <w:spacing w:before="0" w:after="0"/>
              <w:ind w:left="0" w:right="0" w:hanging="0"/>
              <w:jc w:val="both"/>
              <w:rPr/>
            </w:pPr>
            <w:hyperlink w:anchor="bs">
              <w:r>
                <w:rPr>
                  <w:rStyle w:val="InternetLink"/>
                  <w:rFonts w:ascii="Times New Roman" w:hAnsi="Times New Roman"/>
                  <w:caps w:val="false"/>
                  <w:smallCaps w:val="false"/>
                  <w:sz w:val="20"/>
                </w:rPr>
                <w:t>Item 1.</w:t>
              </w:r>
            </w:hyperlink>
          </w:p>
        </w:tc>
        <w:tc>
          <w:tcPr>
            <w:tcW w:w="7310" w:type="dxa"/>
            <w:tcBorders/>
            <w:vAlign w:val="center"/>
          </w:tcPr>
          <w:p>
            <w:pPr>
              <w:pStyle w:val="TableContents"/>
              <w:bidi w:val="0"/>
              <w:spacing w:before="0" w:after="0"/>
              <w:ind w:left="0" w:right="0" w:hanging="0"/>
              <w:jc w:val="both"/>
              <w:rPr/>
            </w:pPr>
            <w:hyperlink w:anchor="bs">
              <w:r>
                <w:rPr>
                  <w:rStyle w:val="InternetLink"/>
                  <w:rFonts w:ascii="Times New Roman" w:hAnsi="Times New Roman"/>
                  <w:caps w:val="false"/>
                  <w:smallCaps w:val="false"/>
                  <w:sz w:val="20"/>
                </w:rPr>
                <w:t>Financial Statements (Unaudited)</w:t>
              </w:r>
            </w:hyperlink>
          </w:p>
        </w:tc>
        <w:tc>
          <w:tcPr>
            <w:tcW w:w="440"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1</w:t>
              </w:r>
            </w:hyperlink>
          </w:p>
        </w:tc>
      </w:tr>
      <w:tr>
        <w:trPr/>
        <w:tc>
          <w:tcPr>
            <w:tcW w:w="785" w:type="dxa"/>
            <w:tcBorders/>
            <w:vAlign w:val="center"/>
          </w:tcPr>
          <w:p>
            <w:pPr>
              <w:pStyle w:val="TableContents"/>
              <w:bidi w:val="0"/>
              <w:spacing w:before="0" w:after="0"/>
              <w:ind w:left="140" w:right="0" w:hanging="0"/>
              <w:jc w:val="both"/>
              <w:rPr>
                <w:caps w:val="false"/>
                <w:smallCaps w:val="false"/>
              </w:rPr>
            </w:pPr>
            <w:r>
              <w:rPr>
                <w:caps w:val="false"/>
                <w:smallCaps w:val="false"/>
              </w:rPr>
              <w:t> </w:t>
            </w:r>
          </w:p>
        </w:tc>
        <w:tc>
          <w:tcPr>
            <w:tcW w:w="7310" w:type="dxa"/>
            <w:tcBorders/>
            <w:vAlign w:val="center"/>
          </w:tcPr>
          <w:p>
            <w:pPr>
              <w:pStyle w:val="TableContents"/>
              <w:bidi w:val="0"/>
              <w:spacing w:before="0" w:after="0"/>
              <w:ind w:left="0" w:right="0" w:hanging="0"/>
              <w:jc w:val="both"/>
              <w:rPr/>
            </w:pPr>
            <w:hyperlink w:anchor="bs">
              <w:r>
                <w:rPr>
                  <w:rStyle w:val="InternetLink"/>
                  <w:rFonts w:ascii="Times New Roman" w:hAnsi="Times New Roman"/>
                  <w:caps w:val="false"/>
                  <w:smallCaps w:val="false"/>
                  <w:sz w:val="20"/>
                </w:rPr>
                <w:t>Consolidated Statements of Financial Position (Unaudited)</w:t>
              </w:r>
            </w:hyperlink>
          </w:p>
        </w:tc>
        <w:tc>
          <w:tcPr>
            <w:tcW w:w="440"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1</w:t>
              </w:r>
            </w:hyperlink>
          </w:p>
        </w:tc>
      </w:tr>
      <w:tr>
        <w:trPr/>
        <w:tc>
          <w:tcPr>
            <w:tcW w:w="785" w:type="dxa"/>
            <w:tcBorders/>
            <w:vAlign w:val="center"/>
          </w:tcPr>
          <w:p>
            <w:pPr>
              <w:pStyle w:val="TableContents"/>
              <w:bidi w:val="0"/>
              <w:spacing w:before="0" w:after="0"/>
              <w:ind w:left="140" w:right="0" w:hanging="0"/>
              <w:jc w:val="both"/>
              <w:rPr>
                <w:caps w:val="false"/>
                <w:smallCaps w:val="false"/>
              </w:rPr>
            </w:pPr>
            <w:r>
              <w:rPr>
                <w:caps w:val="false"/>
                <w:smallCaps w:val="false"/>
              </w:rPr>
              <w:t> </w:t>
            </w:r>
          </w:p>
        </w:tc>
        <w:tc>
          <w:tcPr>
            <w:tcW w:w="7310" w:type="dxa"/>
            <w:tcBorders/>
            <w:vAlign w:val="center"/>
          </w:tcPr>
          <w:p>
            <w:pPr>
              <w:pStyle w:val="TableContents"/>
              <w:bidi w:val="0"/>
              <w:spacing w:before="0" w:after="0"/>
              <w:ind w:left="0" w:right="0" w:hanging="0"/>
              <w:jc w:val="both"/>
              <w:rPr/>
            </w:pPr>
            <w:hyperlink w:anchor="income">
              <w:r>
                <w:rPr>
                  <w:rStyle w:val="InternetLink"/>
                  <w:rFonts w:ascii="Times New Roman" w:hAnsi="Times New Roman"/>
                  <w:caps w:val="false"/>
                  <w:smallCaps w:val="false"/>
                  <w:sz w:val="20"/>
                </w:rPr>
                <w:t>Consolidated Statements of Income (Loss) and Comprehensive Income (Loss) (Unaudited)</w:t>
              </w:r>
            </w:hyperlink>
          </w:p>
        </w:tc>
        <w:tc>
          <w:tcPr>
            <w:tcW w:w="440" w:type="dxa"/>
            <w:tcBorders/>
            <w:vAlign w:val="center"/>
          </w:tcPr>
          <w:p>
            <w:pPr>
              <w:pStyle w:val="TableContents"/>
              <w:bidi w:val="0"/>
              <w:spacing w:before="0" w:after="0"/>
              <w:ind w:left="0" w:right="0" w:hanging="0"/>
              <w:jc w:val="right"/>
              <w:rPr/>
            </w:pPr>
            <w:hyperlink w:anchor="income">
              <w:r>
                <w:rPr>
                  <w:rStyle w:val="InternetLink"/>
                  <w:rFonts w:ascii="Times New Roman" w:hAnsi="Times New Roman"/>
                  <w:caps w:val="false"/>
                  <w:smallCaps w:val="false"/>
                  <w:sz w:val="20"/>
                </w:rPr>
                <w:t>2</w:t>
              </w:r>
            </w:hyperlink>
          </w:p>
        </w:tc>
      </w:tr>
      <w:tr>
        <w:trPr/>
        <w:tc>
          <w:tcPr>
            <w:tcW w:w="785" w:type="dxa"/>
            <w:tcBorders/>
            <w:vAlign w:val="center"/>
          </w:tcPr>
          <w:p>
            <w:pPr>
              <w:pStyle w:val="TableContents"/>
              <w:bidi w:val="0"/>
              <w:spacing w:before="0" w:after="0"/>
              <w:ind w:left="140" w:right="0" w:hanging="0"/>
              <w:jc w:val="both"/>
              <w:rPr>
                <w:caps w:val="false"/>
                <w:smallCaps w:val="false"/>
              </w:rPr>
            </w:pPr>
            <w:r>
              <w:rPr>
                <w:caps w:val="false"/>
                <w:smallCaps w:val="false"/>
              </w:rPr>
              <w:t> </w:t>
            </w:r>
          </w:p>
        </w:tc>
        <w:tc>
          <w:tcPr>
            <w:tcW w:w="7310" w:type="dxa"/>
            <w:tcBorders/>
            <w:vAlign w:val="center"/>
          </w:tcPr>
          <w:p>
            <w:pPr>
              <w:pStyle w:val="TableContents"/>
              <w:bidi w:val="0"/>
              <w:spacing w:before="0" w:after="0"/>
              <w:ind w:left="0" w:right="0" w:hanging="0"/>
              <w:jc w:val="both"/>
              <w:rPr/>
            </w:pPr>
            <w:hyperlink w:anchor="equity">
              <w:r>
                <w:rPr>
                  <w:rStyle w:val="InternetLink"/>
                  <w:rFonts w:ascii="Times New Roman" w:hAnsi="Times New Roman"/>
                  <w:caps w:val="false"/>
                  <w:smallCaps w:val="false"/>
                  <w:sz w:val="20"/>
                </w:rPr>
                <w:t>Consolidated Statements of Stockholders' Equity (Unaudited)</w:t>
              </w:r>
            </w:hyperlink>
          </w:p>
        </w:tc>
        <w:tc>
          <w:tcPr>
            <w:tcW w:w="440"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3</w:t>
              </w:r>
            </w:hyperlink>
          </w:p>
        </w:tc>
      </w:tr>
      <w:tr>
        <w:trPr/>
        <w:tc>
          <w:tcPr>
            <w:tcW w:w="785" w:type="dxa"/>
            <w:tcBorders/>
            <w:vAlign w:val="center"/>
          </w:tcPr>
          <w:p>
            <w:pPr>
              <w:pStyle w:val="TableContents"/>
              <w:bidi w:val="0"/>
              <w:spacing w:before="0" w:after="0"/>
              <w:ind w:left="140" w:right="0" w:hanging="0"/>
              <w:jc w:val="both"/>
              <w:rPr>
                <w:caps w:val="false"/>
                <w:smallCaps w:val="false"/>
              </w:rPr>
            </w:pPr>
            <w:r>
              <w:rPr>
                <w:caps w:val="false"/>
                <w:smallCaps w:val="false"/>
              </w:rPr>
              <w:t> </w:t>
            </w:r>
          </w:p>
        </w:tc>
        <w:tc>
          <w:tcPr>
            <w:tcW w:w="7310" w:type="dxa"/>
            <w:tcBorders/>
            <w:vAlign w:val="center"/>
          </w:tcPr>
          <w:p>
            <w:pPr>
              <w:pStyle w:val="TableContents"/>
              <w:bidi w:val="0"/>
              <w:spacing w:before="0" w:after="0"/>
              <w:ind w:left="0" w:right="0" w:hanging="0"/>
              <w:jc w:val="both"/>
              <w:rPr/>
            </w:pPr>
            <w:hyperlink w:anchor="cashflows">
              <w:r>
                <w:rPr>
                  <w:rStyle w:val="InternetLink"/>
                  <w:rFonts w:ascii="Times New Roman" w:hAnsi="Times New Roman"/>
                  <w:caps w:val="false"/>
                  <w:smallCaps w:val="false"/>
                  <w:sz w:val="20"/>
                </w:rPr>
                <w:t>Consolidated Statements of Cash Flows (Unaudited)</w:t>
              </w:r>
            </w:hyperlink>
          </w:p>
        </w:tc>
        <w:tc>
          <w:tcPr>
            <w:tcW w:w="440" w:type="dxa"/>
            <w:tcBorders/>
            <w:vAlign w:val="center"/>
          </w:tcPr>
          <w:p>
            <w:pPr>
              <w:pStyle w:val="TableContents"/>
              <w:bidi w:val="0"/>
              <w:spacing w:before="0" w:after="0"/>
              <w:ind w:left="0" w:right="0" w:hanging="0"/>
              <w:jc w:val="right"/>
              <w:rPr/>
            </w:pPr>
            <w:hyperlink w:anchor="cashflows">
              <w:r>
                <w:rPr>
                  <w:rStyle w:val="InternetLink"/>
                  <w:rFonts w:ascii="Times New Roman" w:hAnsi="Times New Roman"/>
                  <w:caps w:val="false"/>
                  <w:smallCaps w:val="false"/>
                  <w:sz w:val="20"/>
                </w:rPr>
                <w:t>4</w:t>
              </w:r>
            </w:hyperlink>
          </w:p>
        </w:tc>
      </w:tr>
      <w:tr>
        <w:trPr/>
        <w:tc>
          <w:tcPr>
            <w:tcW w:w="785" w:type="dxa"/>
            <w:tcBorders/>
            <w:vAlign w:val="center"/>
          </w:tcPr>
          <w:p>
            <w:pPr>
              <w:pStyle w:val="TableContents"/>
              <w:bidi w:val="0"/>
              <w:spacing w:before="0" w:after="0"/>
              <w:ind w:left="140" w:right="0" w:hanging="0"/>
              <w:jc w:val="both"/>
              <w:rPr>
                <w:caps w:val="false"/>
                <w:smallCaps w:val="false"/>
              </w:rPr>
            </w:pPr>
            <w:r>
              <w:rPr>
                <w:caps w:val="false"/>
                <w:smallCaps w:val="false"/>
              </w:rPr>
              <w:t> </w:t>
            </w:r>
          </w:p>
        </w:tc>
        <w:tc>
          <w:tcPr>
            <w:tcW w:w="7310" w:type="dxa"/>
            <w:tcBorders/>
            <w:vAlign w:val="center"/>
          </w:tcPr>
          <w:p>
            <w:pPr>
              <w:pStyle w:val="TableContents"/>
              <w:bidi w:val="0"/>
              <w:spacing w:before="0" w:after="0"/>
              <w:ind w:left="0" w:right="0" w:hanging="0"/>
              <w:jc w:val="both"/>
              <w:rPr/>
            </w:pPr>
            <w:hyperlink w:anchor="notes">
              <w:r>
                <w:rPr>
                  <w:rStyle w:val="InternetLink"/>
                  <w:rFonts w:ascii="Times New Roman" w:hAnsi="Times New Roman"/>
                  <w:caps w:val="false"/>
                  <w:smallCaps w:val="false"/>
                  <w:sz w:val="20"/>
                </w:rPr>
                <w:t>Notes to Condensed Interim Consolidated Financial Statements (Unaudited)</w:t>
              </w:r>
            </w:hyperlink>
          </w:p>
        </w:tc>
        <w:tc>
          <w:tcPr>
            <w:tcW w:w="44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5</w:t>
              </w:r>
            </w:hyperlink>
          </w:p>
        </w:tc>
      </w:tr>
      <w:tr>
        <w:trPr/>
        <w:tc>
          <w:tcPr>
            <w:tcW w:w="785" w:type="dxa"/>
            <w:tcBorders/>
            <w:vAlign w:val="center"/>
          </w:tcPr>
          <w:p>
            <w:pPr>
              <w:pStyle w:val="TableContents"/>
              <w:bidi w:val="0"/>
              <w:spacing w:before="0" w:after="0"/>
              <w:ind w:left="0" w:right="0" w:hanging="0"/>
              <w:jc w:val="both"/>
              <w:rPr/>
            </w:pPr>
            <w:hyperlink w:anchor="mda">
              <w:r>
                <w:rPr>
                  <w:rStyle w:val="InternetLink"/>
                  <w:rFonts w:ascii="Times New Roman" w:hAnsi="Times New Roman"/>
                  <w:caps w:val="false"/>
                  <w:smallCaps w:val="false"/>
                  <w:sz w:val="20"/>
                </w:rPr>
                <w:t>Item 2.</w:t>
              </w:r>
            </w:hyperlink>
          </w:p>
        </w:tc>
        <w:tc>
          <w:tcPr>
            <w:tcW w:w="7310" w:type="dxa"/>
            <w:tcBorders/>
            <w:vAlign w:val="center"/>
          </w:tcPr>
          <w:p>
            <w:pPr>
              <w:pStyle w:val="TableContents"/>
              <w:bidi w:val="0"/>
              <w:spacing w:before="0" w:after="0"/>
              <w:ind w:left="0" w:right="0" w:hanging="0"/>
              <w:jc w:val="both"/>
              <w:rPr/>
            </w:pPr>
            <w:hyperlink w:anchor="mda">
              <w:r>
                <w:rPr>
                  <w:rStyle w:val="InternetLink"/>
                  <w:rFonts w:ascii="Times New Roman" w:hAnsi="Times New Roman"/>
                  <w:caps w:val="false"/>
                  <w:smallCaps w:val="false"/>
                  <w:sz w:val="20"/>
                </w:rPr>
                <w:t>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24</w:t>
              </w:r>
            </w:hyperlink>
          </w:p>
        </w:tc>
      </w:tr>
      <w:tr>
        <w:trPr/>
        <w:tc>
          <w:tcPr>
            <w:tcW w:w="785" w:type="dxa"/>
            <w:tcBorders/>
            <w:vAlign w:val="center"/>
          </w:tcPr>
          <w:p>
            <w:pPr>
              <w:pStyle w:val="TableContents"/>
              <w:bidi w:val="0"/>
              <w:spacing w:before="0" w:after="0"/>
              <w:ind w:left="0" w:right="0" w:hanging="0"/>
              <w:jc w:val="both"/>
              <w:rPr/>
            </w:pPr>
            <w:hyperlink w:anchor="qqdmr">
              <w:r>
                <w:rPr>
                  <w:rStyle w:val="InternetLink"/>
                  <w:rFonts w:ascii="Times New Roman" w:hAnsi="Times New Roman"/>
                  <w:caps w:val="false"/>
                  <w:smallCaps w:val="false"/>
                  <w:sz w:val="20"/>
                </w:rPr>
                <w:t>Item 3.</w:t>
              </w:r>
            </w:hyperlink>
          </w:p>
        </w:tc>
        <w:tc>
          <w:tcPr>
            <w:tcW w:w="7310" w:type="dxa"/>
            <w:tcBorders/>
            <w:vAlign w:val="center"/>
          </w:tcPr>
          <w:p>
            <w:pPr>
              <w:pStyle w:val="TableContents"/>
              <w:bidi w:val="0"/>
              <w:spacing w:before="0" w:after="0"/>
              <w:ind w:left="0" w:right="0" w:hanging="0"/>
              <w:jc w:val="both"/>
              <w:rPr/>
            </w:pPr>
            <w:hyperlink w:anchor="qqdmr">
              <w:r>
                <w:rPr>
                  <w:rStyle w:val="InternetLink"/>
                  <w:rFonts w:ascii="Times New Roman" w:hAnsi="Times New Roman"/>
                  <w:caps w:val="false"/>
                  <w:smallCaps w:val="false"/>
                  <w:sz w:val="20"/>
                </w:rPr>
                <w:t>Quantitative and Qualitative Disclosures About Market Risk</w:t>
              </w:r>
            </w:hyperlink>
          </w:p>
        </w:tc>
        <w:tc>
          <w:tcPr>
            <w:tcW w:w="440" w:type="dxa"/>
            <w:tcBorders/>
            <w:vAlign w:val="center"/>
          </w:tcPr>
          <w:p>
            <w:pPr>
              <w:pStyle w:val="TableContents"/>
              <w:bidi w:val="0"/>
              <w:spacing w:before="0" w:after="0"/>
              <w:ind w:left="0" w:right="0" w:hanging="0"/>
              <w:jc w:val="right"/>
              <w:rPr/>
            </w:pPr>
            <w:hyperlink w:anchor="qqdmr">
              <w:r>
                <w:rPr>
                  <w:rStyle w:val="InternetLink"/>
                  <w:rFonts w:ascii="Times New Roman" w:hAnsi="Times New Roman"/>
                  <w:caps w:val="false"/>
                  <w:smallCaps w:val="false"/>
                  <w:sz w:val="20"/>
                </w:rPr>
                <w:t>44</w:t>
              </w:r>
            </w:hyperlink>
          </w:p>
        </w:tc>
      </w:tr>
      <w:tr>
        <w:trPr/>
        <w:tc>
          <w:tcPr>
            <w:tcW w:w="785" w:type="dxa"/>
            <w:tcBorders/>
            <w:vAlign w:val="center"/>
          </w:tcPr>
          <w:p>
            <w:pPr>
              <w:pStyle w:val="TableContents"/>
              <w:bidi w:val="0"/>
              <w:spacing w:before="0" w:after="0"/>
              <w:ind w:left="0" w:right="0" w:hanging="0"/>
              <w:jc w:val="both"/>
              <w:rPr/>
            </w:pPr>
            <w:hyperlink w:anchor="control">
              <w:r>
                <w:rPr>
                  <w:rStyle w:val="InternetLink"/>
                  <w:rFonts w:ascii="Times New Roman" w:hAnsi="Times New Roman"/>
                  <w:caps w:val="false"/>
                  <w:smallCaps w:val="false"/>
                  <w:sz w:val="20"/>
                </w:rPr>
                <w:t>Item 4.</w:t>
              </w:r>
            </w:hyperlink>
          </w:p>
        </w:tc>
        <w:tc>
          <w:tcPr>
            <w:tcW w:w="7310" w:type="dxa"/>
            <w:tcBorders/>
            <w:vAlign w:val="center"/>
          </w:tcPr>
          <w:p>
            <w:pPr>
              <w:pStyle w:val="TableContents"/>
              <w:bidi w:val="0"/>
              <w:spacing w:before="0" w:after="0"/>
              <w:ind w:left="0" w:right="0" w:hanging="0"/>
              <w:jc w:val="both"/>
              <w:rPr/>
            </w:pPr>
            <w:hyperlink w:anchor="control">
              <w:r>
                <w:rPr>
                  <w:rStyle w:val="InternetLink"/>
                  <w:rFonts w:ascii="Times New Roman" w:hAnsi="Times New Roman"/>
                  <w:caps w:val="false"/>
                  <w:smallCaps w:val="false"/>
                  <w:sz w:val="20"/>
                </w:rPr>
                <w:t>Controls and Procedures</w:t>
              </w:r>
            </w:hyperlink>
          </w:p>
        </w:tc>
        <w:tc>
          <w:tcPr>
            <w:tcW w:w="440" w:type="dxa"/>
            <w:tcBorders/>
            <w:vAlign w:val="center"/>
          </w:tcPr>
          <w:p>
            <w:pPr>
              <w:pStyle w:val="TableContents"/>
              <w:bidi w:val="0"/>
              <w:spacing w:before="0" w:after="283"/>
              <w:jc w:val="right"/>
              <w:rPr/>
            </w:pPr>
            <w:hyperlink w:anchor="control">
              <w:r>
                <w:rPr>
                  <w:rStyle w:val="InternetLink"/>
                </w:rPr>
                <w:t>44</w:t>
              </w:r>
            </w:hyperlink>
          </w:p>
        </w:tc>
      </w:tr>
      <w:tr>
        <w:trPr/>
        <w:tc>
          <w:tcPr>
            <w:tcW w:w="785" w:type="dxa"/>
            <w:tcBorders/>
            <w:vAlign w:val="center"/>
          </w:tcPr>
          <w:p>
            <w:pPr>
              <w:pStyle w:val="TableContents"/>
              <w:bidi w:val="0"/>
              <w:spacing w:before="0" w:after="0"/>
              <w:ind w:left="0" w:right="0" w:hanging="0"/>
              <w:jc w:val="both"/>
              <w:rPr/>
            </w:pPr>
            <w:hyperlink w:anchor="partii">
              <w:r>
                <w:rPr>
                  <w:rStyle w:val="InternetLink"/>
                  <w:rFonts w:ascii="Times New Roman" w:hAnsi="Times New Roman"/>
                  <w:b/>
                  <w:caps w:val="false"/>
                  <w:smallCaps w:val="false"/>
                  <w:sz w:val="20"/>
                </w:rPr>
                <w:t>PART II.</w:t>
              </w:r>
            </w:hyperlink>
          </w:p>
        </w:tc>
        <w:tc>
          <w:tcPr>
            <w:tcW w:w="7310" w:type="dxa"/>
            <w:tcBorders/>
            <w:vAlign w:val="center"/>
          </w:tcPr>
          <w:p>
            <w:pPr>
              <w:pStyle w:val="TableContents"/>
              <w:bidi w:val="0"/>
              <w:spacing w:before="0" w:after="0"/>
              <w:ind w:left="0" w:right="0" w:hanging="0"/>
              <w:jc w:val="both"/>
              <w:rPr/>
            </w:pPr>
            <w:hyperlink w:anchor="partii">
              <w:r>
                <w:rPr>
                  <w:rStyle w:val="InternetLink"/>
                  <w:rFonts w:ascii="Times New Roman" w:hAnsi="Times New Roman"/>
                  <w:caps w:val="false"/>
                  <w:smallCaps w:val="false"/>
                  <w:sz w:val="20"/>
                </w:rPr>
                <w:t>OTHER INFORMATION</w:t>
              </w:r>
            </w:hyperlink>
          </w:p>
        </w:tc>
        <w:tc>
          <w:tcPr>
            <w:tcW w:w="440" w:type="dxa"/>
            <w:tcBorders/>
            <w:vAlign w:val="center"/>
          </w:tcPr>
          <w:p>
            <w:pPr>
              <w:pStyle w:val="TableContents"/>
              <w:bidi w:val="0"/>
              <w:spacing w:before="0" w:after="0"/>
              <w:ind w:left="0" w:right="0" w:hanging="0"/>
              <w:jc w:val="right"/>
              <w:rPr/>
            </w:pPr>
            <w:hyperlink w:anchor="partii">
              <w:r>
                <w:rPr>
                  <w:rStyle w:val="InternetLink"/>
                  <w:rFonts w:ascii="Times New Roman" w:hAnsi="Times New Roman"/>
                  <w:caps w:val="false"/>
                  <w:smallCaps w:val="false"/>
                  <w:sz w:val="20"/>
                </w:rPr>
                <w:t>45</w:t>
              </w:r>
            </w:hyperlink>
          </w:p>
        </w:tc>
      </w:tr>
      <w:tr>
        <w:trPr/>
        <w:tc>
          <w:tcPr>
            <w:tcW w:w="785" w:type="dxa"/>
            <w:tcBorders/>
            <w:vAlign w:val="center"/>
          </w:tcPr>
          <w:p>
            <w:pPr>
              <w:pStyle w:val="TableContents"/>
              <w:bidi w:val="0"/>
              <w:spacing w:before="0" w:after="0"/>
              <w:ind w:left="0" w:right="0" w:hanging="0"/>
              <w:jc w:val="both"/>
              <w:rPr/>
            </w:pPr>
            <w:hyperlink w:anchor="legal">
              <w:r>
                <w:rPr>
                  <w:rStyle w:val="InternetLink"/>
                  <w:rFonts w:ascii="Times New Roman" w:hAnsi="Times New Roman"/>
                  <w:caps w:val="false"/>
                  <w:smallCaps w:val="false"/>
                  <w:sz w:val="20"/>
                </w:rPr>
                <w:t>Item 1.</w:t>
              </w:r>
            </w:hyperlink>
          </w:p>
        </w:tc>
        <w:tc>
          <w:tcPr>
            <w:tcW w:w="7310" w:type="dxa"/>
            <w:tcBorders/>
            <w:vAlign w:val="center"/>
          </w:tcPr>
          <w:p>
            <w:pPr>
              <w:pStyle w:val="TableContents"/>
              <w:bidi w:val="0"/>
              <w:spacing w:before="0" w:after="0"/>
              <w:ind w:left="0" w:right="0" w:hanging="0"/>
              <w:jc w:val="both"/>
              <w:rPr/>
            </w:pPr>
            <w:hyperlink w:anchor="legal">
              <w:r>
                <w:rPr>
                  <w:rStyle w:val="InternetLink"/>
                  <w:rFonts w:ascii="Times New Roman" w:hAnsi="Times New Roman"/>
                  <w:caps w:val="false"/>
                  <w:smallCaps w:val="false"/>
                  <w:sz w:val="20"/>
                </w:rPr>
                <w:t>Legal Proceedings</w:t>
              </w:r>
            </w:hyperlink>
          </w:p>
        </w:tc>
        <w:tc>
          <w:tcPr>
            <w:tcW w:w="44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45</w:t>
              </w:r>
            </w:hyperlink>
          </w:p>
        </w:tc>
      </w:tr>
      <w:tr>
        <w:trPr/>
        <w:tc>
          <w:tcPr>
            <w:tcW w:w="785" w:type="dxa"/>
            <w:tcBorders/>
            <w:vAlign w:val="center"/>
          </w:tcPr>
          <w:p>
            <w:pPr>
              <w:pStyle w:val="TableContents"/>
              <w:bidi w:val="0"/>
              <w:spacing w:before="0" w:after="0"/>
              <w:ind w:left="0" w:right="0" w:hanging="0"/>
              <w:jc w:val="both"/>
              <w:rPr/>
            </w:pPr>
            <w:hyperlink w:anchor="risks">
              <w:r>
                <w:rPr>
                  <w:rStyle w:val="InternetLink"/>
                  <w:rFonts w:ascii="Times New Roman" w:hAnsi="Times New Roman"/>
                  <w:caps w:val="false"/>
                  <w:smallCaps w:val="false"/>
                  <w:sz w:val="20"/>
                </w:rPr>
                <w:t>Item 1A.</w:t>
              </w:r>
            </w:hyperlink>
          </w:p>
        </w:tc>
        <w:tc>
          <w:tcPr>
            <w:tcW w:w="7310" w:type="dxa"/>
            <w:tcBorders/>
            <w:vAlign w:val="center"/>
          </w:tcPr>
          <w:p>
            <w:pPr>
              <w:pStyle w:val="TableContents"/>
              <w:bidi w:val="0"/>
              <w:spacing w:before="0" w:after="0"/>
              <w:ind w:left="0" w:right="0" w:hanging="0"/>
              <w:jc w:val="both"/>
              <w:rPr/>
            </w:pPr>
            <w:hyperlink w:anchor="risks">
              <w:r>
                <w:rPr>
                  <w:rStyle w:val="InternetLink"/>
                  <w:rFonts w:ascii="Times New Roman" w:hAnsi="Times New Roman"/>
                  <w:caps w:val="false"/>
                  <w:smallCaps w:val="false"/>
                  <w:sz w:val="20"/>
                </w:rPr>
                <w:t>Risk Factors</w:t>
              </w:r>
            </w:hyperlink>
          </w:p>
        </w:tc>
        <w:tc>
          <w:tcPr>
            <w:tcW w:w="440" w:type="dxa"/>
            <w:tcBorders/>
            <w:vAlign w:val="center"/>
          </w:tcPr>
          <w:p>
            <w:pPr>
              <w:pStyle w:val="TableContents"/>
              <w:bidi w:val="0"/>
              <w:spacing w:before="0" w:after="0"/>
              <w:ind w:left="0" w:right="0" w:hanging="0"/>
              <w:jc w:val="right"/>
              <w:rPr/>
            </w:pPr>
            <w:hyperlink w:anchor="risks">
              <w:r>
                <w:rPr>
                  <w:rStyle w:val="InternetLink"/>
                  <w:rFonts w:ascii="Times New Roman" w:hAnsi="Times New Roman"/>
                  <w:caps w:val="false"/>
                  <w:smallCaps w:val="false"/>
                  <w:sz w:val="20"/>
                </w:rPr>
                <w:t>46</w:t>
              </w:r>
            </w:hyperlink>
          </w:p>
        </w:tc>
      </w:tr>
      <w:tr>
        <w:trPr/>
        <w:tc>
          <w:tcPr>
            <w:tcW w:w="785" w:type="dxa"/>
            <w:tcBorders/>
            <w:vAlign w:val="center"/>
          </w:tcPr>
          <w:p>
            <w:pPr>
              <w:pStyle w:val="TableContents"/>
              <w:bidi w:val="0"/>
              <w:spacing w:before="0" w:after="0"/>
              <w:ind w:left="0" w:right="0" w:hanging="0"/>
              <w:jc w:val="both"/>
              <w:rPr/>
            </w:pPr>
            <w:hyperlink w:anchor="uses">
              <w:r>
                <w:rPr>
                  <w:rStyle w:val="InternetLink"/>
                  <w:rFonts w:ascii="Times New Roman" w:hAnsi="Times New Roman"/>
                  <w:caps w:val="false"/>
                  <w:smallCaps w:val="false"/>
                  <w:sz w:val="20"/>
                </w:rPr>
                <w:t>Item 2.</w:t>
              </w:r>
            </w:hyperlink>
          </w:p>
        </w:tc>
        <w:tc>
          <w:tcPr>
            <w:tcW w:w="7310" w:type="dxa"/>
            <w:tcBorders/>
            <w:vAlign w:val="center"/>
          </w:tcPr>
          <w:p>
            <w:pPr>
              <w:pStyle w:val="TableContents"/>
              <w:bidi w:val="0"/>
              <w:spacing w:before="0" w:after="0"/>
              <w:ind w:left="0" w:right="0" w:hanging="0"/>
              <w:jc w:val="both"/>
              <w:rPr/>
            </w:pPr>
            <w:hyperlink w:anchor="uses">
              <w:r>
                <w:rPr>
                  <w:rStyle w:val="InternetLink"/>
                  <w:rFonts w:ascii="Times New Roman" w:hAnsi="Times New Roman"/>
                  <w:caps w:val="false"/>
                  <w:smallCaps w:val="false"/>
                  <w:sz w:val="20"/>
                </w:rPr>
                <w:t>Unregistered Sales of Equity Securities and Use of Proceeds</w:t>
              </w:r>
            </w:hyperlink>
          </w:p>
        </w:tc>
        <w:tc>
          <w:tcPr>
            <w:tcW w:w="440" w:type="dxa"/>
            <w:tcBorders/>
            <w:vAlign w:val="center"/>
          </w:tcPr>
          <w:p>
            <w:pPr>
              <w:pStyle w:val="TableContents"/>
              <w:bidi w:val="0"/>
              <w:spacing w:before="0" w:after="0"/>
              <w:ind w:left="0" w:right="0" w:hanging="0"/>
              <w:jc w:val="right"/>
              <w:rPr/>
            </w:pPr>
            <w:hyperlink w:anchor="uses">
              <w:r>
                <w:rPr>
                  <w:rStyle w:val="InternetLink"/>
                  <w:rFonts w:ascii="Times New Roman" w:hAnsi="Times New Roman"/>
                  <w:caps w:val="false"/>
                  <w:smallCaps w:val="false"/>
                  <w:sz w:val="20"/>
                </w:rPr>
                <w:t>47</w:t>
              </w:r>
            </w:hyperlink>
          </w:p>
        </w:tc>
      </w:tr>
      <w:tr>
        <w:trPr/>
        <w:tc>
          <w:tcPr>
            <w:tcW w:w="785" w:type="dxa"/>
            <w:tcBorders/>
            <w:vAlign w:val="center"/>
          </w:tcPr>
          <w:p>
            <w:pPr>
              <w:pStyle w:val="TableContents"/>
              <w:bidi w:val="0"/>
              <w:spacing w:before="0" w:after="0"/>
              <w:ind w:left="0" w:right="0" w:hanging="0"/>
              <w:jc w:val="both"/>
              <w:rPr/>
            </w:pPr>
            <w:hyperlink w:anchor="duss">
              <w:r>
                <w:rPr>
                  <w:rStyle w:val="InternetLink"/>
                  <w:rFonts w:ascii="Times New Roman" w:hAnsi="Times New Roman"/>
                  <w:caps w:val="false"/>
                  <w:smallCaps w:val="false"/>
                  <w:sz w:val="20"/>
                </w:rPr>
                <w:t>Item 3.</w:t>
              </w:r>
            </w:hyperlink>
          </w:p>
        </w:tc>
        <w:tc>
          <w:tcPr>
            <w:tcW w:w="7310" w:type="dxa"/>
            <w:tcBorders/>
            <w:vAlign w:val="center"/>
          </w:tcPr>
          <w:p>
            <w:pPr>
              <w:pStyle w:val="TableContents"/>
              <w:bidi w:val="0"/>
              <w:spacing w:before="0" w:after="0"/>
              <w:ind w:left="0" w:right="0" w:hanging="0"/>
              <w:jc w:val="both"/>
              <w:rPr/>
            </w:pPr>
            <w:hyperlink w:anchor="duss">
              <w:r>
                <w:rPr>
                  <w:rStyle w:val="InternetLink"/>
                  <w:rFonts w:ascii="Times New Roman" w:hAnsi="Times New Roman"/>
                  <w:caps w:val="false"/>
                  <w:smallCaps w:val="false"/>
                  <w:sz w:val="20"/>
                </w:rPr>
                <w:t>Defaults Upon Senior Securities</w:t>
              </w:r>
            </w:hyperlink>
          </w:p>
        </w:tc>
        <w:tc>
          <w:tcPr>
            <w:tcW w:w="440" w:type="dxa"/>
            <w:tcBorders/>
            <w:vAlign w:val="center"/>
          </w:tcPr>
          <w:p>
            <w:pPr>
              <w:pStyle w:val="TableContents"/>
              <w:bidi w:val="0"/>
              <w:spacing w:before="0" w:after="0"/>
              <w:ind w:left="0" w:right="0" w:hanging="0"/>
              <w:jc w:val="right"/>
              <w:rPr/>
            </w:pPr>
            <w:hyperlink w:anchor="duss">
              <w:r>
                <w:rPr>
                  <w:rStyle w:val="InternetLink"/>
                  <w:rFonts w:ascii="Times New Roman" w:hAnsi="Times New Roman"/>
                  <w:caps w:val="false"/>
                  <w:smallCaps w:val="false"/>
                  <w:sz w:val="20"/>
                </w:rPr>
                <w:t>47</w:t>
              </w:r>
            </w:hyperlink>
          </w:p>
        </w:tc>
      </w:tr>
      <w:tr>
        <w:trPr/>
        <w:tc>
          <w:tcPr>
            <w:tcW w:w="785" w:type="dxa"/>
            <w:tcBorders/>
            <w:vAlign w:val="center"/>
          </w:tcPr>
          <w:p>
            <w:pPr>
              <w:pStyle w:val="TableContents"/>
              <w:bidi w:val="0"/>
              <w:spacing w:before="0" w:after="0"/>
              <w:ind w:left="0" w:right="0" w:hanging="0"/>
              <w:jc w:val="both"/>
              <w:rPr/>
            </w:pPr>
            <w:hyperlink w:anchor="msd">
              <w:r>
                <w:rPr>
                  <w:rStyle w:val="InternetLink"/>
                  <w:rFonts w:ascii="Times New Roman" w:hAnsi="Times New Roman"/>
                  <w:caps w:val="false"/>
                  <w:smallCaps w:val="false"/>
                  <w:sz w:val="20"/>
                </w:rPr>
                <w:t>Item 4.</w:t>
              </w:r>
            </w:hyperlink>
          </w:p>
        </w:tc>
        <w:tc>
          <w:tcPr>
            <w:tcW w:w="7310" w:type="dxa"/>
            <w:tcBorders/>
            <w:vAlign w:val="center"/>
          </w:tcPr>
          <w:p>
            <w:pPr>
              <w:pStyle w:val="TableContents"/>
              <w:bidi w:val="0"/>
              <w:spacing w:before="0" w:after="0"/>
              <w:ind w:left="0" w:right="0" w:hanging="0"/>
              <w:jc w:val="both"/>
              <w:rPr/>
            </w:pPr>
            <w:hyperlink w:anchor="msd">
              <w:r>
                <w:rPr>
                  <w:rStyle w:val="InternetLink"/>
                  <w:rFonts w:ascii="Times New Roman" w:hAnsi="Times New Roman"/>
                  <w:caps w:val="false"/>
                  <w:smallCaps w:val="false"/>
                  <w:sz w:val="20"/>
                </w:rPr>
                <w:t>Mine Safety Disclosures</w:t>
              </w:r>
            </w:hyperlink>
          </w:p>
        </w:tc>
        <w:tc>
          <w:tcPr>
            <w:tcW w:w="440" w:type="dxa"/>
            <w:tcBorders/>
            <w:vAlign w:val="center"/>
          </w:tcPr>
          <w:p>
            <w:pPr>
              <w:pStyle w:val="TableContents"/>
              <w:bidi w:val="0"/>
              <w:spacing w:before="0" w:after="0"/>
              <w:ind w:left="0" w:right="0" w:hanging="0"/>
              <w:jc w:val="right"/>
              <w:rPr/>
            </w:pPr>
            <w:hyperlink w:anchor="msd">
              <w:r>
                <w:rPr>
                  <w:rStyle w:val="InternetLink"/>
                  <w:rFonts w:ascii="Times New Roman" w:hAnsi="Times New Roman"/>
                  <w:caps w:val="false"/>
                  <w:smallCaps w:val="false"/>
                  <w:sz w:val="20"/>
                </w:rPr>
                <w:t>47</w:t>
              </w:r>
            </w:hyperlink>
          </w:p>
        </w:tc>
      </w:tr>
      <w:tr>
        <w:trPr/>
        <w:tc>
          <w:tcPr>
            <w:tcW w:w="785" w:type="dxa"/>
            <w:tcBorders/>
            <w:vAlign w:val="center"/>
          </w:tcPr>
          <w:p>
            <w:pPr>
              <w:pStyle w:val="TableContents"/>
              <w:bidi w:val="0"/>
              <w:spacing w:before="0" w:after="0"/>
              <w:ind w:left="0" w:right="0" w:hanging="0"/>
              <w:jc w:val="both"/>
              <w:rPr/>
            </w:pPr>
            <w:hyperlink w:anchor="otherinfo">
              <w:r>
                <w:rPr>
                  <w:rStyle w:val="InternetLink"/>
                  <w:rFonts w:ascii="Times New Roman" w:hAnsi="Times New Roman"/>
                  <w:caps w:val="false"/>
                  <w:smallCaps w:val="false"/>
                  <w:sz w:val="20"/>
                </w:rPr>
                <w:t>Item 5.</w:t>
              </w:r>
            </w:hyperlink>
          </w:p>
        </w:tc>
        <w:tc>
          <w:tcPr>
            <w:tcW w:w="7310" w:type="dxa"/>
            <w:tcBorders/>
            <w:vAlign w:val="center"/>
          </w:tcPr>
          <w:p>
            <w:pPr>
              <w:pStyle w:val="TableContents"/>
              <w:bidi w:val="0"/>
              <w:spacing w:before="0" w:after="0"/>
              <w:ind w:left="0" w:right="0" w:hanging="0"/>
              <w:jc w:val="both"/>
              <w:rPr/>
            </w:pPr>
            <w:hyperlink w:anchor="otherinfo">
              <w:r>
                <w:rPr>
                  <w:rStyle w:val="InternetLink"/>
                  <w:rFonts w:ascii="Times New Roman" w:hAnsi="Times New Roman"/>
                  <w:caps w:val="false"/>
                  <w:smallCaps w:val="false"/>
                  <w:sz w:val="20"/>
                </w:rPr>
                <w:t>Other Information</w:t>
              </w:r>
            </w:hyperlink>
          </w:p>
        </w:tc>
        <w:tc>
          <w:tcPr>
            <w:tcW w:w="440" w:type="dxa"/>
            <w:tcBorders/>
            <w:vAlign w:val="center"/>
          </w:tcPr>
          <w:p>
            <w:pPr>
              <w:pStyle w:val="TableContents"/>
              <w:bidi w:val="0"/>
              <w:spacing w:before="0" w:after="0"/>
              <w:ind w:left="0" w:right="0" w:hanging="0"/>
              <w:jc w:val="right"/>
              <w:rPr/>
            </w:pPr>
            <w:hyperlink w:anchor="otherinfo">
              <w:r>
                <w:rPr>
                  <w:rStyle w:val="InternetLink"/>
                  <w:rFonts w:ascii="Times New Roman" w:hAnsi="Times New Roman"/>
                  <w:caps w:val="false"/>
                  <w:smallCaps w:val="false"/>
                  <w:sz w:val="20"/>
                </w:rPr>
                <w:t>47</w:t>
              </w:r>
            </w:hyperlink>
          </w:p>
        </w:tc>
      </w:tr>
      <w:tr>
        <w:trPr/>
        <w:tc>
          <w:tcPr>
            <w:tcW w:w="785" w:type="dxa"/>
            <w:tcBorders/>
            <w:vAlign w:val="center"/>
          </w:tcPr>
          <w:p>
            <w:pPr>
              <w:pStyle w:val="TableContents"/>
              <w:bidi w:val="0"/>
              <w:spacing w:before="0" w:after="0"/>
              <w:ind w:left="0" w:right="0" w:hanging="0"/>
              <w:jc w:val="both"/>
              <w:rPr/>
            </w:pPr>
            <w:hyperlink w:anchor="exs">
              <w:r>
                <w:rPr>
                  <w:rStyle w:val="InternetLink"/>
                  <w:rFonts w:ascii="Times New Roman" w:hAnsi="Times New Roman"/>
                  <w:caps w:val="false"/>
                  <w:smallCaps w:val="false"/>
                  <w:sz w:val="20"/>
                </w:rPr>
                <w:t>Item 6.</w:t>
              </w:r>
            </w:hyperlink>
          </w:p>
        </w:tc>
        <w:tc>
          <w:tcPr>
            <w:tcW w:w="7310" w:type="dxa"/>
            <w:tcBorders/>
            <w:vAlign w:val="center"/>
          </w:tcPr>
          <w:p>
            <w:pPr>
              <w:pStyle w:val="TableContents"/>
              <w:bidi w:val="0"/>
              <w:spacing w:before="0" w:after="0"/>
              <w:ind w:left="0" w:right="0" w:hanging="0"/>
              <w:jc w:val="both"/>
              <w:rPr/>
            </w:pPr>
            <w:hyperlink w:anchor="exs">
              <w:r>
                <w:rPr>
                  <w:rStyle w:val="InternetLink"/>
                  <w:rFonts w:ascii="Times New Roman" w:hAnsi="Times New Roman"/>
                  <w:caps w:val="false"/>
                  <w:smallCaps w:val="false"/>
                  <w:sz w:val="20"/>
                </w:rPr>
                <w:t>Exhibits</w:t>
              </w:r>
            </w:hyperlink>
          </w:p>
        </w:tc>
        <w:tc>
          <w:tcPr>
            <w:tcW w:w="440" w:type="dxa"/>
            <w:tcBorders/>
            <w:vAlign w:val="center"/>
          </w:tcPr>
          <w:p>
            <w:pPr>
              <w:pStyle w:val="TableContents"/>
              <w:bidi w:val="0"/>
              <w:spacing w:before="0" w:after="0"/>
              <w:ind w:left="0" w:right="0" w:hanging="0"/>
              <w:jc w:val="right"/>
              <w:rPr/>
            </w:pPr>
            <w:hyperlink w:anchor="exs">
              <w:r>
                <w:rPr>
                  <w:rStyle w:val="InternetLink"/>
                  <w:rFonts w:ascii="Times New Roman" w:hAnsi="Times New Roman"/>
                  <w:caps w:val="false"/>
                  <w:smallCaps w:val="false"/>
                  <w:sz w:val="20"/>
                </w:rPr>
                <w:t>48</w:t>
              </w:r>
            </w:hyperlink>
          </w:p>
        </w:tc>
      </w:tr>
      <w:tr>
        <w:trPr/>
        <w:tc>
          <w:tcPr>
            <w:tcW w:w="8095" w:type="dxa"/>
            <w:gridSpan w:val="2"/>
            <w:tcBorders/>
            <w:vAlign w:val="center"/>
          </w:tcPr>
          <w:p>
            <w:pPr>
              <w:pStyle w:val="TableContents"/>
              <w:bidi w:val="0"/>
              <w:spacing w:before="0" w:after="0"/>
              <w:ind w:left="0" w:right="0" w:hanging="0"/>
              <w:jc w:val="both"/>
              <w:rPr/>
            </w:pPr>
            <w:hyperlink w:anchor="sigs">
              <w:r>
                <w:rPr>
                  <w:rStyle w:val="InternetLink"/>
                  <w:rFonts w:ascii="Times New Roman" w:hAnsi="Times New Roman"/>
                  <w:caps w:val="false"/>
                  <w:smallCaps w:val="false"/>
                  <w:sz w:val="20"/>
                </w:rPr>
                <w:t>Signatures</w:t>
              </w:r>
            </w:hyperlink>
          </w:p>
        </w:tc>
        <w:tc>
          <w:tcPr>
            <w:tcW w:w="440" w:type="dxa"/>
            <w:tcBorders/>
            <w:vAlign w:val="center"/>
          </w:tcPr>
          <w:p>
            <w:pPr>
              <w:pStyle w:val="TableContents"/>
              <w:bidi w:val="0"/>
              <w:spacing w:before="0" w:after="0"/>
              <w:ind w:left="0" w:right="0" w:hanging="0"/>
              <w:jc w:val="right"/>
              <w:rPr/>
            </w:pPr>
            <w:hyperlink w:anchor="sigs">
              <w:r>
                <w:rPr>
                  <w:rStyle w:val="InternetLink"/>
                  <w:rFonts w:ascii="Times New Roman" w:hAnsi="Times New Roman"/>
                  <w:caps w:val="false"/>
                  <w:smallCaps w:val="false"/>
                  <w:sz w:val="20"/>
                </w:rPr>
                <w:t>50</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Cautionary Note Regarding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This Quarterly Report on Form 10-Q for the fiscal quarter ended August 31, 2026 (the “Form 10-Q”) contains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Such statements involve risks, uncertainties and assumptions. If the risks or uncertainties ever materialize or the assumptions prove incorrect, our results may differ materially from those expressed or implied by such forward-looking statements under the Canadian securities laws and within the meaning of Section 27A of the Securities Act of 1933, as amended, and Section 21E of the Securities Exchange Act of 1934, as amended, that are intended to be subject to the “safe harbor” created by those sections and other applicable laws. The words “anticipate,” “believe,” “continue,” “could,” “estimate,” “expect,” “intend,” “may,” “might,” “plan,” “project,”  “will,” “would,” “seek,” or “should,” or the negative or plural of these words or similar expressions or variations are intended to identify such forward-looking statements. Forward-looking statements include, among other things, our beliefs or expectations relating to our future performance, results of operations and financial condition; our intentions regarding our cost savings initiatives and our expected benefits from those initiatives; our strategic initiatives, business strategy, supply chain, brand portfolio, product performance and expansion efforts; our expectations regarding revenue for certain of our segments and trends for gross margin; our intentions regarding our capital structure and TLRY 27 Notes; current or future macroeconomic trends; industry trends; or legislative or regulatory changes, including our statements regarding the anticipated impact of Tariffs on our costs or opportunities presented by such changes on our growth; our statements regarding the consolidation of the Canadian cannabis industry; our expectations for higher margin sales by redirecting our Canadian cannabis inventory to international markets; our expectations for our positioning and cannabis market share in Europe and other markets; future corporate acquisitions and strategic transactions; and our synergies, cash savings and efficiencies anticipated from the integration of our completed acquisitions and strategic transactions; and our expectations regarding the availability under the revolving credit facility and our ability to comply with the financial covenants under our credit facility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Risks and uncertainties that may cause actual results to differ materially from forward-looking statements include, but are not limited to, those identified in this Form 10-Q and other risks and matters described in our most recent Annual Report on Form 10-K for the fiscal year ended May 31, 2026 as well as our other filings made from time to time with the U.S. Securities and Exchange Commission and in our Canadian securities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Forward looking statements are based on information available to us as of the date of this Form 10-Q and, while we believe that information provides a reasonable basis for these statements, these statements are inherently uncertain, and investors are cautioned not to unduly rely on these statements. You should not rely upon forward-looking statements or forward-looking information as predictions of future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undertake no obligation to update forward-looking statements to reflect actual results or changes in assumptions or circumstances,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bookmarkStart w:id="3" w:name="bs"/>
      <w:bookmarkEnd w:id="3"/>
      <w:r>
        <w:rPr>
          <w:rFonts w:ascii="Times New Roman;Times;serif" w:hAnsi="Times New Roman;Times;serif"/>
          <w:b/>
          <w:sz w:val="20"/>
        </w:rPr>
        <w:t>PART I</w:t>
      </w:r>
      <w:r>
        <w:rPr>
          <w:rFonts w:ascii="Times New Roman;Times;serif" w:hAnsi="Times New Roman;Times;serif"/>
          <w:sz w:val="20"/>
        </w:rPr>
        <w:t>—</w:t>
      </w:r>
      <w:r>
        <w:rPr>
          <w:rFonts w:ascii="Times New Roman;Times;serif" w:hAnsi="Times New Roman;Times;serif"/>
          <w:b/>
          <w:sz w:val="20"/>
        </w:rPr>
        <w:t>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1. Financial Statements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TILRAY BRANDS,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Consolidated Statements of Financial Position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of United States dollars,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65"/>
        <w:gridCol w:w="60"/>
        <w:gridCol w:w="125"/>
        <w:gridCol w:w="905"/>
        <w:gridCol w:w="80"/>
        <w:gridCol w:w="60"/>
        <w:gridCol w:w="125"/>
        <w:gridCol w:w="905"/>
        <w:gridCol w:w="80"/>
      </w:tblGrid>
      <w:tr>
        <w:trPr/>
        <w:tc>
          <w:tcPr>
            <w:tcW w:w="7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214,960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225,977</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3,365</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5,289</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189,170</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328,973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301,192</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64,692</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held for sale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2,449</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807,589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792,134</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665,923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680,225</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42,318</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42,779</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752,350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752,350</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6,551</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10,981</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2,327,954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2,328,012</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indebtedness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8,775</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335,415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318,088</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13,357</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18,160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convertible debentures payable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59,224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430,686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358,380</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 - term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158,155</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118,046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120,425</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debentures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79,529</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12,256</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4,400</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721,280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733,145</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Commitments and contingencies (refer to Note 18)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($0.0001 par value; 1,416,000,000 common shares authorized; 144,936,074 and 131,683,075 common shares issued and outstanding,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(1,124,869 and 589,217 treasury shares issued and outstanding,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shares ($0.0001 par value; 10,000,000 preferred shares authorized; nil and nil preferred shares issued and outstanding,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6,674,469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6,627,056</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(5,011,764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(4,968,623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Tilray Brands, Inc.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1,623,358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1,614,332</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1,606,674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1,594,867</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2,327,954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2,328,012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interim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4" w:name="income"/>
      <w:bookmarkEnd w:id="4"/>
      <w:r>
        <w:rPr>
          <w:rFonts w:ascii="Times New Roman" w:hAnsi="Times New Roman"/>
          <w:b/>
          <w:caps w:val="false"/>
          <w:smallCaps w:val="false"/>
          <w:sz w:val="20"/>
        </w:rPr>
        <w:t>TILRAY BRANDS,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Income (Loss) and Comprehensive Income (Loss)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of United States dollars, except for share and per share data,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7130" w:type="dxa"/>
        <w:jc w:val="left"/>
        <w:tblInd w:w="0" w:type="dxa"/>
        <w:tblLayout w:type="fixed"/>
        <w:tblCellMar>
          <w:top w:w="0" w:type="dxa"/>
          <w:left w:w="0" w:type="dxa"/>
          <w:bottom w:w="0" w:type="dxa"/>
          <w:right w:w="0" w:type="dxa"/>
        </w:tblCellMar>
      </w:tblPr>
      <w:tblGrid>
        <w:gridCol w:w="4490"/>
        <w:gridCol w:w="60"/>
        <w:gridCol w:w="125"/>
        <w:gridCol w:w="1055"/>
        <w:gridCol w:w="80"/>
        <w:gridCol w:w="60"/>
        <w:gridCol w:w="125"/>
        <w:gridCol w:w="1055"/>
        <w:gridCol w:w="80"/>
      </w:tblGrid>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31,</w:t>
            </w:r>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209,501</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152,032</w:t>
            </w:r>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57,469</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41,053</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12,923</w:t>
            </w:r>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3,929</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and promotion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10,155</w:t>
            </w:r>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Litigation costs, net of recoveries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w:t>
            </w:r>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costs,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55,377</w:t>
            </w:r>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2,092</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Non-operating income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3,832</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(recovery),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w:t>
            </w:r>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income (loss) attributable to: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of Tilray Brands, Inc.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1,835</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gain (loss), net of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gain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1,325</w:t>
            </w:r>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comprehensive income (loss) attributable to: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of Tilray Brands, Inc.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1,814</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 basic1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133,340,533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106,027,190</w:t>
            </w:r>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 diluted1</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133,340,533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106,027,190</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 basic1</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 diluted1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1The prior year share and amounts have been retrospectively adjusted to reflect the Reverse Stock Split, which became effective on December 2, 2025. See Note 1 (Basis of presentation and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interim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5" w:name="equity"/>
      <w:bookmarkEnd w:id="5"/>
      <w:r>
        <w:rPr>
          <w:rFonts w:ascii="Times New Roman" w:hAnsi="Times New Roman"/>
          <w:b/>
          <w:caps w:val="false"/>
          <w:smallCaps w:val="false"/>
          <w:sz w:val="20"/>
        </w:rPr>
        <w:t>TILRAY BRANDS,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of United States dollars, except for share data, unaudited)</w:t>
      </w:r>
    </w:p>
    <w:p>
      <w:pPr>
        <w:pStyle w:val="TextBody"/>
        <w:bidi w:val="0"/>
        <w:spacing w:before="0" w:after="0"/>
        <w:ind w:left="0" w:right="0" w:hanging="0"/>
        <w:jc w:val="left"/>
        <w:rPr>
          <w:caps w:val="false"/>
          <w:smallCaps w:val="false"/>
        </w:rPr>
      </w:pPr>
      <w:r>
        <w:rPr>
          <w:caps w:val="false"/>
          <w:smallCaps w:val="false"/>
        </w:rPr>
        <w:t> </w:t>
      </w:r>
    </w:p>
    <w:tbl>
      <w:tblPr>
        <w:tblW w:w="10605" w:type="dxa"/>
        <w:jc w:val="left"/>
        <w:tblInd w:w="0" w:type="dxa"/>
        <w:tblLayout w:type="fixed"/>
        <w:tblCellMar>
          <w:top w:w="0" w:type="dxa"/>
          <w:left w:w="0" w:type="dxa"/>
          <w:bottom w:w="0" w:type="dxa"/>
          <w:right w:w="0" w:type="dxa"/>
        </w:tblCellMar>
      </w:tblPr>
      <w:tblGrid>
        <w:gridCol w:w="1535"/>
        <w:gridCol w:w="60"/>
        <w:gridCol w:w="60"/>
        <w:gridCol w:w="920"/>
        <w:gridCol w:w="60"/>
        <w:gridCol w:w="60"/>
        <w:gridCol w:w="191"/>
        <w:gridCol w:w="504"/>
        <w:gridCol w:w="60"/>
        <w:gridCol w:w="60"/>
        <w:gridCol w:w="60"/>
        <w:gridCol w:w="800"/>
        <w:gridCol w:w="80"/>
        <w:gridCol w:w="60"/>
        <w:gridCol w:w="206"/>
        <w:gridCol w:w="489"/>
        <w:gridCol w:w="60"/>
        <w:gridCol w:w="60"/>
        <w:gridCol w:w="110"/>
        <w:gridCol w:w="740"/>
        <w:gridCol w:w="80"/>
        <w:gridCol w:w="60"/>
        <w:gridCol w:w="178"/>
        <w:gridCol w:w="937"/>
        <w:gridCol w:w="80"/>
        <w:gridCol w:w="60"/>
        <w:gridCol w:w="118"/>
        <w:gridCol w:w="862"/>
        <w:gridCol w:w="80"/>
        <w:gridCol w:w="60"/>
        <w:gridCol w:w="133"/>
        <w:gridCol w:w="697"/>
        <w:gridCol w:w="80"/>
        <w:gridCol w:w="60"/>
        <w:gridCol w:w="110"/>
        <w:gridCol w:w="740"/>
        <w:gridCol w:w="95"/>
      </w:tblGrid>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treasury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Treasury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controlling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shares(1)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shares(1)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interests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9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May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106,067,875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(200,422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6,401,657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(43,063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(4,847,226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(21,899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1,489,575</w:t>
            </w:r>
          </w:p>
        </w:tc>
        <w:tc>
          <w:tcPr>
            <w:tcW w:w="95" w:type="dxa"/>
            <w:tcBorders/>
            <w:shd w:fill="CCEE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 issuance - At-the-Market (“ATM”) program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3,444,380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50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48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22,488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22,491</w:t>
            </w:r>
          </w:p>
        </w:tc>
        <w:tc>
          <w:tcPr>
            <w:tcW w:w="9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 issuance - Repurchase of TLRY 27 convertible note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1,259,182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50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(120,969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48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4,800</w:t>
            </w:r>
          </w:p>
        </w:tc>
        <w:tc>
          <w:tcPr>
            <w:tcW w:w="95" w:type="dxa"/>
            <w:tcBorders/>
            <w:shd w:fill="CCEE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 issuance - Settlement of equity component of TLRY 27 convertible note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(1,158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(1,158</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 issuance - RSUs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1,057,680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50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48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effectively repurchased for employee withholding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5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48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(1,427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(1,427</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50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48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5,052</w:t>
            </w:r>
          </w:p>
        </w:tc>
        <w:tc>
          <w:tcPr>
            <w:tcW w:w="95" w:type="dxa"/>
            <w:tcBorders/>
            <w:shd w:fill="CCEE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Comprehensive income (loss)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1,325</w:t>
            </w:r>
          </w:p>
        </w:tc>
        <w:tc>
          <w:tcPr>
            <w:tcW w:w="9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August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111,829,117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(321,391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6,431,410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(43,230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(4,847,548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(20,085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1,520,658</w:t>
            </w:r>
          </w:p>
        </w:tc>
        <w:tc>
          <w:tcPr>
            <w:tcW w:w="95" w:type="dxa"/>
            <w:tcBorders/>
            <w:shd w:fill="CCEE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4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May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131,683,075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(589,217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6,627,056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(44,233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(4,968,623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(19,465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1,594,867</w:t>
            </w:r>
          </w:p>
        </w:tc>
        <w:tc>
          <w:tcPr>
            <w:tcW w:w="95" w:type="dxa"/>
            <w:tcBorders/>
            <w:shd w:fill="CCEE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 issuance - At-the-Market (“ATM”) program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4,645,344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22,333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22,338</w:t>
            </w:r>
          </w:p>
        </w:tc>
        <w:tc>
          <w:tcPr>
            <w:tcW w:w="9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 issuance - Repurchase of TLRY 27 convertible note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5,229,861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(535,652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24,629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24,634</w:t>
            </w:r>
          </w:p>
        </w:tc>
        <w:tc>
          <w:tcPr>
            <w:tcW w:w="95" w:type="dxa"/>
            <w:tcBorders/>
            <w:shd w:fill="CCEE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 issuance - Settlement of equity component of TLRY 27 convertible note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5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48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(6,358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(6,358</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 issuance - RSUs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1,990,747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w:t>
            </w:r>
          </w:p>
        </w:tc>
        <w:tc>
          <w:tcPr>
            <w:tcW w:w="95" w:type="dxa"/>
            <w:tcBorders/>
            <w:shd w:fill="CCEE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effectively repurchased for employee withholding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(7,123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(7,123</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 issuance - Performance-Based Elective Settlement Award achieved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1,387,047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6,435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6,436</w:t>
            </w:r>
          </w:p>
        </w:tc>
        <w:tc>
          <w:tcPr>
            <w:tcW w:w="95" w:type="dxa"/>
            <w:tcBorders/>
            <w:shd w:fill="CCEE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5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48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7,497</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Comprehensive income (loss) for the period</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4,741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(43,141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(35,619</w:t>
            </w:r>
          </w:p>
        </w:tc>
        <w:tc>
          <w:tcPr>
            <w:tcW w:w="95" w:type="dxa"/>
            <w:tcBorders/>
            <w:shd w:fill="CCEEFF" w:val="cle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August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144,936,074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(1,124,869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6,674,469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(39,492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(5,011,764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(16,684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1,606,674</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1The prior year share amounts have been retrospectively adjusted to reflect the Reverse Stock Split, which became effective on December 2, 2025. See Note 1 (Basis of presentation and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interim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6" w:name="cashflows"/>
      <w:bookmarkEnd w:id="6"/>
      <w:r>
        <w:rPr>
          <w:rFonts w:ascii="Times New Roman" w:hAnsi="Times New Roman"/>
          <w:b/>
          <w:caps w:val="false"/>
          <w:smallCaps w:val="false"/>
          <w:sz w:val="20"/>
        </w:rPr>
        <w:t>TILRAY BRANDS,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of United States dollars,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7303" w:type="dxa"/>
        <w:jc w:val="left"/>
        <w:tblInd w:w="0" w:type="dxa"/>
        <w:tblLayout w:type="fixed"/>
        <w:tblCellMar>
          <w:top w:w="0" w:type="dxa"/>
          <w:left w:w="0" w:type="dxa"/>
          <w:bottom w:w="0" w:type="dxa"/>
          <w:right w:w="0" w:type="dxa"/>
        </w:tblCellMar>
      </w:tblPr>
      <w:tblGrid>
        <w:gridCol w:w="4880"/>
        <w:gridCol w:w="60"/>
        <w:gridCol w:w="160"/>
        <w:gridCol w:w="892"/>
        <w:gridCol w:w="102"/>
        <w:gridCol w:w="77"/>
        <w:gridCol w:w="160"/>
        <w:gridCol w:w="892"/>
        <w:gridCol w:w="80"/>
      </w:tblGrid>
      <w:tr>
        <w:trPr/>
        <w:tc>
          <w:tcPr>
            <w:tcW w:w="4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31,</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05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31,</w:t>
            </w:r>
          </w:p>
        </w:tc>
        <w:tc>
          <w:tcPr>
            <w:tcW w:w="80" w:type="dxa"/>
            <w:tcBorders/>
            <w:shd w:fill="FFFF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0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(40,031</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1,513</w:t>
            </w:r>
          </w:p>
        </w:tc>
        <w:tc>
          <w:tcPr>
            <w:tcW w:w="80"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for:</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(recovery), net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1,725</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8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Unrealized foreign exchange (gain) loss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4,524</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8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18,638</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15,561</w:t>
            </w:r>
          </w:p>
        </w:tc>
        <w:tc>
          <w:tcPr>
            <w:tcW w:w="80"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of convertible debt discount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1,465</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1,976</w:t>
            </w:r>
          </w:p>
        </w:tc>
        <w:tc>
          <w:tcPr>
            <w:tcW w:w="80"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Unrealized (gain) loss on digital assets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Other non-cash items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(1,745</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w:t>
            </w:r>
          </w:p>
        </w:tc>
        <w:tc>
          <w:tcPr>
            <w:tcW w:w="80"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6,584</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5,052</w:t>
            </w:r>
          </w:p>
        </w:tc>
        <w:tc>
          <w:tcPr>
            <w:tcW w:w="80"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(gain) on long-term investments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8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derivative instruments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pPr>
            <w:r>
              <w:rPr/>
              <w:t>—</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3,670</w:t>
            </w:r>
          </w:p>
        </w:tc>
        <w:tc>
          <w:tcPr>
            <w:tcW w:w="80"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Change in fair value of contingent consideration</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non-cash working capital:</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14,414</w:t>
            </w:r>
          </w:p>
        </w:tc>
        <w:tc>
          <w:tcPr>
            <w:tcW w:w="80"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Prepaids and other current assets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8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Inventory</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(27,781</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8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20,414</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(5,127</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(16,541</w:t>
            </w:r>
          </w:p>
        </w:tc>
        <w:tc>
          <w:tcPr>
            <w:tcW w:w="1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8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capital and intangible assets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(11,009</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8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disposal of capital and intangible assets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80"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Investment in digital assets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8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 (purchase) of marketable securities, net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2,242</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34,697</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8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long-term investments</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102"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8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acquisitions, net of cash acquired</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c>
          <w:tcPr>
            <w:tcW w:w="102"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jc w:val="left"/>
              <w:rPr/>
            </w:pPr>
            <w:r>
              <w:rPr/>
              <w:t> </w:t>
            </w:r>
          </w:p>
        </w:tc>
      </w:tr>
      <w:tr>
        <w:trPr/>
        <w:tc>
          <w:tcPr>
            <w:tcW w:w="48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(9,253</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24,467</w:t>
            </w:r>
          </w:p>
        </w:tc>
        <w:tc>
          <w:tcPr>
            <w:tcW w:w="80"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Share capital issued, net of cash issuance costs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22,338</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22,491</w:t>
            </w:r>
          </w:p>
        </w:tc>
        <w:tc>
          <w:tcPr>
            <w:tcW w:w="80"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long-term debt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(5,846</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8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lease liabilities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(2,438</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8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bank indebtedness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8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13,967</w:t>
            </w:r>
          </w:p>
        </w:tc>
        <w:tc>
          <w:tcPr>
            <w:tcW w:w="102"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19,848</w:t>
            </w:r>
          </w:p>
        </w:tc>
        <w:tc>
          <w:tcPr>
            <w:tcW w:w="80" w:type="dxa"/>
            <w:tcBorders/>
            <w:shd w:fill="CCEEFF" w:val="clear"/>
            <w:vAlign w:val="center"/>
          </w:tcPr>
          <w:p>
            <w:pPr>
              <w:pStyle w:val="TableContents"/>
              <w:bidi w:val="0"/>
              <w:spacing w:before="0" w:after="0"/>
              <w:jc w:val="left"/>
              <w:rPr/>
            </w:pPr>
            <w:r>
              <w:rPr/>
              <w:t> </w:t>
            </w:r>
          </w:p>
        </w:tc>
      </w:tr>
      <w:tr>
        <w:trPr/>
        <w:tc>
          <w:tcPr>
            <w:tcW w:w="488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foreign exchange on cash and cash equivalents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80"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(10,999</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43,162</w:t>
            </w:r>
          </w:p>
        </w:tc>
        <w:tc>
          <w:tcPr>
            <w:tcW w:w="80"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229,342</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221,666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8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 end of period</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218,343</w:t>
            </w:r>
          </w:p>
        </w:tc>
        <w:tc>
          <w:tcPr>
            <w:tcW w:w="102"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264,828</w:t>
            </w:r>
          </w:p>
        </w:tc>
        <w:tc>
          <w:tcPr>
            <w:tcW w:w="8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ind w:left="160" w:right="0" w:hanging="180"/>
        <w:jc w:val="both"/>
        <w:rPr>
          <w:rFonts w:ascii="Times New Roman" w:hAnsi="Times New Roman"/>
          <w:caps w:val="false"/>
          <w:smallCaps w:val="false"/>
          <w:sz w:val="20"/>
        </w:rPr>
      </w:pPr>
      <w:r>
        <w:rPr>
          <w:rFonts w:ascii="Times New Roman" w:hAnsi="Times New Roman"/>
          <w:caps w:val="false"/>
          <w:smallCaps w:val="false"/>
          <w:sz w:val="20"/>
        </w:rPr>
        <w:t>Within the Consolidated Statements of Cash Flows, cash and cash equivalents includes $3,383 of restricted cash as of August 31, 2026, and $nil as of August 31, 2025.</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interim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7" w:name="notes"/>
      <w:bookmarkEnd w:id="7"/>
      <w:r>
        <w:rPr>
          <w:rFonts w:ascii="Times New Roman" w:hAnsi="Times New Roman"/>
          <w:b/>
          <w:caps w:val="false"/>
          <w:smallCaps w:val="false"/>
          <w:sz w:val="20"/>
        </w:rPr>
        <w:t>TILRAY BRANDS, INC.</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Notes to Consolidated Financial Statements (Unaudited)</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Basis of presentation and summary of significant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accompanying unaudited condensed interim consolidated financial statements reflect the accounts of the Company for the quarterly period ended </w:t>
      </w:r>
      <w:r>
        <w:rPr>
          <w:rStyle w:val="Emphasis"/>
          <w:rFonts w:ascii="Times New Roman" w:hAnsi="Times New Roman"/>
          <w:caps w:val="false"/>
          <w:smallCaps w:val="false"/>
          <w:sz w:val="20"/>
        </w:rPr>
        <w:t>August 31, 2026</w:t>
      </w:r>
      <w:r>
        <w:rPr>
          <w:rFonts w:ascii="Times New Roman" w:hAnsi="Times New Roman"/>
          <w:caps w:val="false"/>
          <w:smallCaps w:val="false"/>
          <w:sz w:val="20"/>
        </w:rPr>
        <w:t xml:space="preserve"> (the “Financial Statements”). The Financial Statements were prepared in accordance with generally accepted accounting principles in the United States of America (“U.S. GAAP”) for interim financial information and pursuant to the rules and regulations of the United States Securities and Exchange Commission (“SEC”) for interim financial information. Accordingly,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notes required by U.S. GAAP and should be read in conjunction with the audited consolidated financial statements (the “Annual Financial Statements”)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for the fiscal year ended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xml:space="preserve"> (the “Annual Report”). These Financial Statements reflect all adjustments, which, in the opinion of management, are necessary for a fair statement of the results for the interim periods presented. Interim results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results for the full fiscal year.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Financial Statements have been prepared on a going concern basis, which assumes that the Company will continue in operation for at least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after the date the Financial Statements are issued and, accordingly, will be able to realize its assets and discharge its liabilities in the normal course of operations as they come due, under the historical cost convention except for certain financial instruments that are measured at fair value, as detailed in the Company’s accounting policies.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All amounts in the Financial Statements, and the accompanying notes and tables have been rounded to the nearest thousand, except par values and per share amounts, and unless otherwise indicated.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i/>
          <w:caps w:val="false"/>
          <w:smallCaps w:val="false"/>
          <w:sz w:val="20"/>
        </w:rPr>
      </w:pPr>
      <w:r>
        <w:rPr>
          <w:rFonts w:ascii="Times New Roman" w:hAnsi="Times New Roman"/>
          <w:i/>
          <w:caps w:val="false"/>
          <w:smallCaps w:val="false"/>
          <w:sz w:val="20"/>
        </w:rPr>
        <w:t>Basis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Subsidiaries are entities controlled by the Company. Control exists when the Company either has a controlling voting interest or is the primary beneficiary of a variable interest entity. In certain circumstances, such as with the BrewDog US acquisition,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consolidate an entity or a group of acquired assets and assumed liabilities where the Company has obtained effective control over the relevant operations, notwithstanding that certain regulatory approvals, licensing transfers, or other administrative matters remain pending as of the date control is obtained. In such cases, consolidation commences on the date the Company obtains the power to direct the relevant activities and is exposed to the variable returns of the operations, consistent with the guidance in ASC </w:t>
      </w:r>
      <w:r>
        <w:rPr>
          <w:rStyle w:val="Emphasis"/>
          <w:rFonts w:ascii="Times New Roman" w:hAnsi="Times New Roman"/>
          <w:caps w:val="false"/>
          <w:smallCaps w:val="false"/>
          <w:sz w:val="20"/>
        </w:rPr>
        <w:t>810</w:t>
      </w:r>
      <w:r>
        <w:rPr>
          <w:rFonts w:ascii="Times New Roman" w:hAnsi="Times New Roman"/>
          <w:caps w:val="false"/>
          <w:smallCaps w:val="false"/>
          <w:sz w:val="20"/>
        </w:rPr>
        <w:t xml:space="preserve"> and, where applicable, the acquisition date determined under ASC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see Note </w:t>
      </w:r>
      <w:r>
        <w:rPr>
          <w:rStyle w:val="Emphasis"/>
          <w:rFonts w:ascii="Times New Roman" w:hAnsi="Times New Roman"/>
          <w:caps w:val="false"/>
          <w:smallCaps w:val="false"/>
          <w:sz w:val="20"/>
        </w:rPr>
        <w:t>7</w:t>
      </w:r>
      <w:r>
        <w:rPr>
          <w:rFonts w:ascii="Times New Roman" w:hAnsi="Times New Roman"/>
          <w:caps w:val="false"/>
          <w:smallCaps w:val="false"/>
          <w:sz w:val="20"/>
        </w:rPr>
        <w:t> (Business acquisitions).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financial statements of all subsidiaries are included in the Financial Statements from the date that control commences until the date that control ceases. All intercompany balances and transactions have been eliminated on consolidation. A complete list of our subsidiaries that existed as of our most recent fiscal year end is included in the Annual Report.</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i/>
          <w:caps w:val="false"/>
          <w:smallCaps w:val="false"/>
          <w:sz w:val="20"/>
        </w:rPr>
      </w:pPr>
      <w:r>
        <w:rPr>
          <w:rFonts w:ascii="Times New Roman" w:hAnsi="Times New Roman"/>
          <w:i/>
          <w:caps w:val="false"/>
          <w:smallCaps w:val="false"/>
          <w:sz w:val="20"/>
        </w:rPr>
        <w:t>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We classify cash that is legally or contractually restricted as to withdrawal or usage as restricted cash. As of </w:t>
      </w:r>
      <w:r>
        <w:rPr>
          <w:rStyle w:val="Emphasis"/>
          <w:rFonts w:ascii="Times New Roman" w:hAnsi="Times New Roman"/>
          <w:caps w:val="false"/>
          <w:smallCaps w:val="false"/>
          <w:sz w:val="20"/>
        </w:rPr>
        <w:t xml:space="preserve"> August 31, 2026</w:t>
      </w:r>
      <w:r>
        <w:rPr>
          <w:rFonts w:ascii="Times New Roman" w:hAnsi="Times New Roman"/>
          <w:caps w:val="false"/>
          <w:smallCaps w:val="false"/>
          <w:sz w:val="20"/>
        </w:rPr>
        <w:t>, the Company reported $</w:t>
      </w:r>
      <w:r>
        <w:rPr>
          <w:rStyle w:val="Emphasis"/>
          <w:rFonts w:ascii="Times New Roman" w:hAnsi="Times New Roman"/>
          <w:caps w:val="false"/>
          <w:smallCaps w:val="false"/>
          <w:sz w:val="20"/>
        </w:rPr>
        <w:t>3,383</w:t>
      </w:r>
      <w:r>
        <w:rPr>
          <w:rFonts w:ascii="Times New Roman" w:hAnsi="Times New Roman"/>
          <w:caps w:val="false"/>
          <w:smallCaps w:val="false"/>
          <w:sz w:val="20"/>
        </w:rPr>
        <w:t xml:space="preserve"> of restricted cash related to the funds held in escrow in connection with the acquisition of BrewDog plc (“BrewDog”), which was completed on </w:t>
      </w:r>
      <w:r>
        <w:rPr>
          <w:rStyle w:val="Emphasis"/>
          <w:rFonts w:ascii="Times New Roman" w:hAnsi="Times New Roman"/>
          <w:caps w:val="false"/>
          <w:smallCaps w:val="false"/>
          <w:sz w:val="20"/>
        </w:rPr>
        <w:t xml:space="preserve">March 2, 2026. </w:t>
      </w: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7</w:t>
      </w:r>
      <w:r>
        <w:rPr>
          <w:rFonts w:ascii="Times New Roman" w:hAnsi="Times New Roman"/>
          <w:caps w:val="false"/>
          <w:smallCaps w:val="false"/>
          <w:sz w:val="20"/>
        </w:rPr>
        <w:t> (Business acquisitions).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i/>
          <w:caps w:val="false"/>
          <w:smallCaps w:val="false"/>
          <w:sz w:val="20"/>
        </w:rPr>
      </w:pPr>
      <w:r>
        <w:rPr>
          <w:rFonts w:ascii="Times New Roman" w:hAnsi="Times New Roman"/>
          <w:i/>
          <w:caps w:val="false"/>
          <w:smallCaps w:val="false"/>
          <w:sz w:val="20"/>
        </w:rPr>
        <w:t>Reverse stock split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Effective </w:t>
      </w:r>
      <w:r>
        <w:rPr>
          <w:rStyle w:val="Emphasis"/>
          <w:rFonts w:ascii="Times New Roman" w:hAnsi="Times New Roman"/>
          <w:caps w:val="false"/>
          <w:smallCaps w:val="false"/>
          <w:sz w:val="20"/>
        </w:rPr>
        <w:t xml:space="preserve">December 2, 2025, </w:t>
      </w:r>
      <w:r>
        <w:rPr>
          <w:rFonts w:ascii="Times New Roman" w:hAnsi="Times New Roman"/>
          <w:caps w:val="false"/>
          <w:smallCaps w:val="false"/>
          <w:sz w:val="20"/>
        </w:rPr>
        <w:t xml:space="preserve">the Company implemented a reverse stock split of its outstanding shares of Common Stock, at a ratio of </w:t>
      </w:r>
      <w:r>
        <w:rPr>
          <w:rStyle w:val="Emphasis"/>
          <w:rFonts w:ascii="Times New Roman" w:hAnsi="Times New Roman"/>
          <w:caps w:val="false"/>
          <w:smallCaps w:val="false"/>
          <w:sz w:val="20"/>
        </w:rPr>
        <w:t>one</w:t>
      </w:r>
      <w:r>
        <w:rPr>
          <w:rFonts w:ascii="Times New Roman" w:hAnsi="Times New Roman"/>
          <w:caps w:val="false"/>
          <w:smallCaps w:val="false"/>
          <w:sz w:val="20"/>
        </w:rPr>
        <w:t>-for-ten (the “Reverse Stock Split”).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fractional shares were issued in connection with the Reverse Stock Split. Fractional shares resulting from the Reverse Stock Split were rounded down to the nearest whole share and stockholders received cash in lieu of any fractional shares that were created by the Reverse Stock Split. Each stockholder's percentage ownership interest in the Company and proportional voting power remained unchanged as a result of the Reverse Stock Split, except for adjustments that resulted from rounding fractional shares down to whole shares.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All issued and outstanding Common Stock, per share amounts, and outstanding equity instruments and awards exercisable into common stock the (“Common Stock”) contained in the Financial Statements of the Company and notes thereto have been retroactively adjusted to reflect the Reverse Stock Split for all prior periods presented.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Earnings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Basic earnings (loss) per share is computed by dividing reported net income (loss) attributable to stockholders of Tilray Brands, Inc. by the weighted average number of common shares outstanding during the period. Diluted earnings (loss) per share is computed by dividing reported net income (loss) attributable to stockholders of Tilray Brands, Inc. by the sum of the weighted average number of common shares and the number of dilutive potential common share equivalents outstanding during the period. Potential dilutive common share equivalents consist of the incremental common shares issuable upon the exercise of vested share options, warrants, and RSUs and the incremental shares issuable upon conversion of the convertible debentures and similar instruments. Shares of Common Stock outstanding under the share lending arrangement entered into in conjunction with the TLRY </w:t>
      </w:r>
      <w:r>
        <w:rPr>
          <w:rStyle w:val="Emphasis"/>
          <w:rFonts w:ascii="Times New Roman" w:hAnsi="Times New Roman"/>
          <w:caps w:val="false"/>
          <w:smallCaps w:val="false"/>
          <w:sz w:val="20"/>
        </w:rPr>
        <w:t>27</w:t>
      </w:r>
      <w:r>
        <w:rPr>
          <w:rFonts w:ascii="Times New Roman" w:hAnsi="Times New Roman"/>
          <w:caps w:val="false"/>
          <w:smallCaps w:val="false"/>
          <w:sz w:val="20"/>
        </w:rPr>
        <w:t xml:space="preserve"> Notes, see Note </w:t>
      </w:r>
      <w:r>
        <w:rPr>
          <w:rStyle w:val="Emphasis"/>
          <w:rFonts w:ascii="Times New Roman" w:hAnsi="Times New Roman"/>
          <w:caps w:val="false"/>
          <w:smallCaps w:val="false"/>
          <w:sz w:val="20"/>
        </w:rPr>
        <w:t>12</w:t>
      </w:r>
      <w:r>
        <w:rPr>
          <w:rFonts w:ascii="Times New Roman" w:hAnsi="Times New Roman"/>
          <w:caps w:val="false"/>
          <w:smallCaps w:val="false"/>
          <w:sz w:val="20"/>
        </w:rPr>
        <w:t> (Convertible debentures payable) are excluded from the calculation of basic and diluted earnings per share because the borrower of the shares is required under the share lending arrangement to refund any dividends paid on the shares lent.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In computing diluted earnings (loss) per share, common share equivalents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in periods in which a net income (loss) attributable to Tilray shareholders is reported as the inclusion of the common share equivalents would be anti-dilutive.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August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dilutive potential common share equivalents outstanding consisted of the following: 11,354,193 and 5,210,722 common shares from RSUs, 301,604 and 303,201 common shares from share options, nil and 620,900 common shares for warrants and 2,410,240 and 3,766,478 common shares for convertible debentures, respectively. Prior year share amounts have been retrospectively adjusted to reflect the Reverse Stock Split, which became effective on </w:t>
      </w:r>
      <w:r>
        <w:rPr>
          <w:rStyle w:val="Emphasis"/>
          <w:rFonts w:ascii="Times New Roman" w:hAnsi="Times New Roman"/>
          <w:caps w:val="false"/>
          <w:smallCaps w:val="false"/>
          <w:sz w:val="20"/>
        </w:rPr>
        <w:t>December 2, 2025. </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i/>
          <w:caps w:val="false"/>
          <w:smallCaps w:val="false"/>
          <w:sz w:val="20"/>
        </w:rPr>
        <w:t>New accounting pronouncements</w:t>
      </w:r>
      <w:r>
        <w:rPr>
          <w:rFonts w:ascii="Times New Roman" w:hAnsi="Times New Roman"/>
          <w:caps w:val="false"/>
          <w:smallCaps w:val="false"/>
          <w:sz w:val="20"/>
        </w:rPr>
        <w:t> </w:t>
      </w:r>
      <w:r>
        <w:rPr>
          <w:rStyle w:val="Emphasis"/>
          <w:rFonts w:ascii="Times New Roman" w:hAnsi="Times New Roman"/>
          <w:i/>
          <w:caps w:val="false"/>
          <w:smallCaps w:val="false"/>
          <w:sz w:val="20"/>
        </w:rPr>
        <w:t>not</w:t>
      </w:r>
      <w:r>
        <w:rPr>
          <w:rFonts w:ascii="Times New Roman" w:hAnsi="Times New Roman"/>
          <w:caps w:val="false"/>
          <w:smallCaps w:val="false"/>
          <w:sz w:val="20"/>
        </w:rPr>
        <w:t> </w:t>
      </w:r>
      <w:r>
        <w:rPr>
          <w:rFonts w:ascii="Times New Roman" w:hAnsi="Times New Roman"/>
          <w:i/>
          <w:caps w:val="false"/>
          <w:smallCaps w:val="false"/>
          <w:sz w:val="20"/>
        </w:rPr>
        <w:t>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November 2024, </w:t>
      </w:r>
      <w:r>
        <w:rPr>
          <w:rFonts w:ascii="Times New Roman" w:hAnsi="Times New Roman"/>
          <w:caps w:val="false"/>
          <w:smallCaps w:val="false"/>
          <w:sz w:val="20"/>
        </w:rPr>
        <w:t>the Financial Accounting Standards Board (“FASB”) issued Accounting Standards Update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Income Statement - Reporting Comprehensive Income -Expense Disaggregation Disclosures (Subtopic </w:t>
      </w:r>
      <w:r>
        <w:rPr>
          <w:rStyle w:val="Emphasis"/>
          <w:rFonts w:ascii="Times New Roman" w:hAnsi="Times New Roman"/>
          <w:caps w:val="false"/>
          <w:smallCaps w:val="false"/>
          <w:sz w:val="20"/>
        </w:rPr>
        <w:t>220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Disaggregation of Income Statement Expenses, which requires disaggregated disclosure of income statement expenses for public business entities.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is effective for the Company beginning with its fiscal year ended </w:t>
      </w:r>
      <w:r>
        <w:rPr>
          <w:rStyle w:val="Emphasis"/>
          <w:rFonts w:ascii="Times New Roman" w:hAnsi="Times New Roman"/>
          <w:caps w:val="false"/>
          <w:smallCaps w:val="false"/>
          <w:sz w:val="20"/>
        </w:rPr>
        <w:t xml:space="preserve"> May 31, 2028 </w:t>
      </w:r>
      <w:r>
        <w:rPr>
          <w:rFonts w:ascii="Times New Roman" w:hAnsi="Times New Roman"/>
          <w:caps w:val="false"/>
          <w:smallCaps w:val="false"/>
          <w:sz w:val="20"/>
        </w:rPr>
        <w:t>and will be disclosed in the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for such period and interim periods thereafter. The Company is currently evaluating the effect of adopting this ASU.</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i/>
          <w:caps w:val="false"/>
          <w:smallCaps w:val="false"/>
          <w:sz w:val="20"/>
        </w:rPr>
      </w:pPr>
      <w:r>
        <w:rPr>
          <w:rFonts w:ascii="Times New Roman" w:hAnsi="Times New Roman"/>
          <w:i/>
          <w:caps w:val="false"/>
          <w:smallCaps w:val="false"/>
          <w:sz w:val="20"/>
        </w:rPr>
        <w:t>New accounting pronouncements recently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August 2023,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Business Combination - Joint Venture Formations (Subtopic </w:t>
      </w:r>
      <w:r>
        <w:rPr>
          <w:rStyle w:val="Emphasis"/>
          <w:rFonts w:ascii="Times New Roman" w:hAnsi="Times New Roman"/>
          <w:caps w:val="false"/>
          <w:smallCaps w:val="false"/>
          <w:sz w:val="20"/>
        </w:rPr>
        <w:t>805</w:t>
      </w:r>
      <w:r>
        <w:rPr>
          <w:rFonts w:ascii="Times New Roman" w:hAnsi="Times New Roman"/>
          <w:caps w:val="false"/>
          <w:smallCaps w:val="false"/>
          <w:sz w:val="20"/>
        </w:rPr>
        <w:t>-</w:t>
      </w:r>
      <w:r>
        <w:rPr>
          <w:rStyle w:val="Emphasis"/>
          <w:rFonts w:ascii="Times New Roman" w:hAnsi="Times New Roman"/>
          <w:caps w:val="false"/>
          <w:smallCaps w:val="false"/>
          <w:sz w:val="20"/>
        </w:rPr>
        <w:t>60</w:t>
      </w:r>
      <w:r>
        <w:rPr>
          <w:rFonts w:ascii="Times New Roman" w:hAnsi="Times New Roman"/>
          <w:caps w:val="false"/>
          <w:smallCaps w:val="false"/>
          <w:sz w:val="20"/>
        </w:rPr>
        <w:t>) Recognition and Initial Measurement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which is intended to address the accounting for contributions made to a joint venture.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is effective for the Company beginning </w:t>
      </w:r>
      <w:r>
        <w:rPr>
          <w:rStyle w:val="Emphasis"/>
          <w:rFonts w:ascii="Times New Roman" w:hAnsi="Times New Roman"/>
          <w:caps w:val="false"/>
          <w:smallCaps w:val="false"/>
          <w:sz w:val="20"/>
        </w:rPr>
        <w:t xml:space="preserve"> June 1, 2026</w:t>
      </w:r>
      <w:r>
        <w:rPr>
          <w:rFonts w:ascii="Times New Roman" w:hAnsi="Times New Roman"/>
          <w:i/>
          <w:caps w:val="false"/>
          <w:smallCaps w:val="false"/>
          <w:sz w:val="20"/>
        </w:rPr>
        <w:t>,</w:t>
      </w:r>
      <w:r>
        <w:rPr>
          <w:rFonts w:ascii="Times New Roman" w:hAnsi="Times New Roman"/>
          <w:caps w:val="false"/>
          <w:smallCaps w:val="false"/>
          <w:sz w:val="20"/>
        </w:rPr>
        <w:t> however, it did </w:t>
      </w:r>
      <w:r>
        <w:rPr>
          <w:rStyle w:val="Emphasis"/>
          <w:rFonts w:ascii="Times New Roman" w:hAnsi="Times New Roman"/>
          <w:caps w:val="false"/>
          <w:smallCaps w:val="false"/>
          <w:sz w:val="20"/>
        </w:rPr>
        <w:t>not</w:t>
      </w:r>
      <w:r>
        <w:rPr>
          <w:rFonts w:ascii="Times New Roman" w:hAnsi="Times New Roman"/>
          <w:caps w:val="false"/>
          <w:smallCaps w:val="false"/>
          <w:sz w:val="20"/>
        </w:rPr>
        <w:t> have a material impact on the Company’s Financial Statements.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July 2025,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Financial Instruments - Credit Losses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Measurement of Credit Losses for Accounts Receivable and Contract Assets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which provides a practical expedient for estimating credit losses on current accounts receivable and current contract assets arising from transactions accounted for under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Revenue from Contracts with Customers.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became effective for the Company on </w:t>
      </w:r>
      <w:r>
        <w:rPr>
          <w:rStyle w:val="Emphasis"/>
          <w:rFonts w:ascii="Times New Roman" w:hAnsi="Times New Roman"/>
          <w:caps w:val="false"/>
          <w:smallCaps w:val="false"/>
          <w:sz w:val="20"/>
        </w:rPr>
        <w:t>June 1, 2026</w:t>
      </w:r>
      <w:r>
        <w:rPr>
          <w:rFonts w:ascii="Times New Roman" w:hAnsi="Times New Roman"/>
          <w:i/>
          <w:caps w:val="false"/>
          <w:smallCaps w:val="false"/>
          <w:sz w:val="20"/>
        </w:rPr>
        <w:t>,</w:t>
      </w:r>
      <w:r>
        <w:rPr>
          <w:rFonts w:ascii="Times New Roman" w:hAnsi="Times New Roman"/>
          <w:caps w:val="false"/>
          <w:smallCaps w:val="false"/>
          <w:sz w:val="20"/>
        </w:rPr>
        <w:t> however, it did </w:t>
      </w:r>
      <w:r>
        <w:rPr>
          <w:rStyle w:val="Emphasis"/>
          <w:rFonts w:ascii="Times New Roman" w:hAnsi="Times New Roman"/>
          <w:caps w:val="false"/>
          <w:smallCaps w:val="false"/>
          <w:sz w:val="20"/>
        </w:rPr>
        <w:t>not</w:t>
      </w:r>
      <w:r>
        <w:rPr>
          <w:rFonts w:ascii="Times New Roman" w:hAnsi="Times New Roman"/>
          <w:caps w:val="false"/>
          <w:smallCaps w:val="false"/>
          <w:sz w:val="20"/>
        </w:rPr>
        <w:t> have a material impact on the Company’s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pPr>
      <w:r>
        <w:rPr>
          <w:rStyle w:val="Emphasis"/>
          <w:rFonts w:ascii="Times New Roman" w:hAnsi="Times New Roman"/>
          <w:sz w:val="20"/>
        </w:rPr>
        <w:t>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500" w:right="0" w:hanging="50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Inventory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4999" w:type="dxa"/>
        <w:jc w:val="left"/>
        <w:tblInd w:w="0" w:type="dxa"/>
        <w:tblLayout w:type="fixed"/>
        <w:tblCellMar>
          <w:top w:w="0" w:type="dxa"/>
          <w:left w:w="0" w:type="dxa"/>
          <w:bottom w:w="0" w:type="dxa"/>
          <w:right w:w="0" w:type="dxa"/>
        </w:tblCellMar>
      </w:tblPr>
      <w:tblGrid>
        <w:gridCol w:w="3020"/>
        <w:gridCol w:w="60"/>
        <w:gridCol w:w="137"/>
        <w:gridCol w:w="767"/>
        <w:gridCol w:w="60"/>
        <w:gridCol w:w="60"/>
        <w:gridCol w:w="125"/>
        <w:gridCol w:w="695"/>
        <w:gridCol w:w="75"/>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August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May 31,</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30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2026</w:t>
            </w:r>
          </w:p>
        </w:tc>
        <w:tc>
          <w:tcPr>
            <w:tcW w:w="75" w:type="dxa"/>
            <w:tcBorders/>
            <w:shd w:fill="FFFFFF" w:val="clear"/>
            <w:vAlign w:val="center"/>
          </w:tcPr>
          <w:p>
            <w:pPr>
              <w:pStyle w:val="TableContents"/>
              <w:bidi w:val="0"/>
              <w:spacing w:before="0" w:after="0"/>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inventory</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80,723</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plants</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38,253</w:t>
            </w:r>
          </w:p>
        </w:tc>
        <w:tc>
          <w:tcPr>
            <w:tcW w:w="75"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Dried cannabis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106,467</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derivatives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5,463</w:t>
            </w:r>
          </w:p>
        </w:tc>
        <w:tc>
          <w:tcPr>
            <w:tcW w:w="75"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vapes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1,649</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Packaging and other inventory items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14,255</w:t>
            </w:r>
          </w:p>
        </w:tc>
        <w:tc>
          <w:tcPr>
            <w:tcW w:w="75"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inventory</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40,054</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inventory</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14,328</w:t>
            </w:r>
          </w:p>
        </w:tc>
        <w:tc>
          <w:tcPr>
            <w:tcW w:w="75"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301,192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500" w:right="0" w:hanging="50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Capital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Capital assets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4724" w:type="dxa"/>
        <w:jc w:val="left"/>
        <w:tblInd w:w="0" w:type="dxa"/>
        <w:tblLayout w:type="fixed"/>
        <w:tblCellMar>
          <w:top w:w="0" w:type="dxa"/>
          <w:left w:w="0" w:type="dxa"/>
          <w:bottom w:w="0" w:type="dxa"/>
          <w:right w:w="0" w:type="dxa"/>
        </w:tblCellMar>
      </w:tblPr>
      <w:tblGrid>
        <w:gridCol w:w="2660"/>
        <w:gridCol w:w="60"/>
        <w:gridCol w:w="128"/>
        <w:gridCol w:w="776"/>
        <w:gridCol w:w="80"/>
        <w:gridCol w:w="60"/>
        <w:gridCol w:w="125"/>
        <w:gridCol w:w="755"/>
        <w:gridCol w:w="80"/>
      </w:tblGrid>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August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May 31,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6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2026</w:t>
            </w:r>
          </w:p>
        </w:tc>
        <w:tc>
          <w:tcPr>
            <w:tcW w:w="80" w:type="dxa"/>
            <w:tcBorders/>
            <w:shd w:fill="FFFFFF" w:val="clear"/>
            <w:vAlign w:val="center"/>
          </w:tcPr>
          <w:p>
            <w:pPr>
              <w:pStyle w:val="TableContents"/>
              <w:bidi w:val="0"/>
              <w:spacing w:before="0" w:after="0"/>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59,583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59,764</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Production facilities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462,936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464,415</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Equipment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286,601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283,778</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32,954</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Finance lease, right-of-use assets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116,458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117,976</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Construction in progress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10,009</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966,015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968,896</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(300,092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(288,671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665,923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680,225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Assets held for sale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4663" w:type="dxa"/>
        <w:jc w:val="left"/>
        <w:tblInd w:w="0" w:type="dxa"/>
        <w:tblLayout w:type="fixed"/>
        <w:tblCellMar>
          <w:top w:w="0" w:type="dxa"/>
          <w:left w:w="0" w:type="dxa"/>
          <w:bottom w:w="0" w:type="dxa"/>
          <w:right w:w="0" w:type="dxa"/>
        </w:tblCellMar>
      </w:tblPr>
      <w:tblGrid>
        <w:gridCol w:w="2825"/>
        <w:gridCol w:w="60"/>
        <w:gridCol w:w="185"/>
        <w:gridCol w:w="719"/>
        <w:gridCol w:w="60"/>
        <w:gridCol w:w="60"/>
        <w:gridCol w:w="142"/>
        <w:gridCol w:w="552"/>
        <w:gridCol w:w="60"/>
      </w:tblGrid>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979</w:t>
            </w:r>
          </w:p>
        </w:tc>
        <w:tc>
          <w:tcPr>
            <w:tcW w:w="6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60" w:type="dxa"/>
            <w:tcBorders/>
            <w:shd w:fill="CCEEFF" w:val="clear"/>
            <w:vAlign w:val="center"/>
          </w:tcPr>
          <w:p>
            <w:pPr>
              <w:pStyle w:val="TableContents"/>
              <w:bidi w:val="0"/>
              <w:spacing w:before="0" w:after="0"/>
              <w:ind w:left="0" w:right="0" w:hanging="0"/>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0"/>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2,449</w:t>
            </w:r>
          </w:p>
        </w:tc>
        <w:tc>
          <w:tcPr>
            <w:tcW w:w="6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During the fiscal year ended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xml:space="preserve">, the Company classified certain assets of its Atwater Brewing business, which are assets contained within its Beverage reporting unit having a carrying value of $2,449, as assets held for sale. These assets were acquired on </w:t>
      </w:r>
      <w:r>
        <w:rPr>
          <w:rStyle w:val="Emphasis"/>
          <w:rFonts w:ascii="Times New Roman" w:hAnsi="Times New Roman"/>
          <w:caps w:val="false"/>
          <w:smallCaps w:val="false"/>
          <w:sz w:val="20"/>
        </w:rPr>
        <w:t>September 1, 2024</w:t>
      </w:r>
      <w:r>
        <w:rPr>
          <w:rFonts w:ascii="Times New Roman" w:hAnsi="Times New Roman"/>
          <w:caps w:val="false"/>
          <w:smallCaps w:val="false"/>
          <w:sz w:val="20"/>
        </w:rPr>
        <w:t xml:space="preserve"> in connection with the transaction referred to as “Craft Acquisition II.” Following management’s assessment of facility utilizations, it was determined that such assets would be held for sale. Assets held for sale are measured at the lower of carrying amount and the fair value less costs to sell and are </w:t>
      </w:r>
      <w:r>
        <w:rPr>
          <w:rStyle w:val="Emphasis"/>
          <w:rFonts w:ascii="Times New Roman" w:hAnsi="Times New Roman"/>
          <w:caps w:val="false"/>
          <w:smallCaps w:val="false"/>
          <w:sz w:val="20"/>
        </w:rPr>
        <w:t>no</w:t>
      </w:r>
      <w:r>
        <w:rPr>
          <w:rFonts w:ascii="Times New Roman" w:hAnsi="Times New Roman"/>
          <w:caps w:val="false"/>
          <w:smallCaps w:val="false"/>
          <w:sz w:val="20"/>
        </w:rPr>
        <w:t> longer depreciated. Changes in the carrying amount are recorded in the Consolidated Statements of Income (Loss) and Comprehensive Income (Loss).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b/>
          <w:sz w:val="20"/>
        </w:rPr>
        <w:t xml:space="preserve">Note </w:t>
      </w:r>
      <w:r>
        <w:rPr>
          <w:rStyle w:val="Emphasis"/>
          <w:rFonts w:ascii="Times New Roman;Times;serif" w:hAnsi="Times New Roman;Times;serif"/>
          <w:b/>
          <w:sz w:val="20"/>
        </w:rPr>
        <w:t>4.</w:t>
      </w:r>
      <w:r>
        <w:rPr>
          <w:rFonts w:ascii="Times New Roman;Times;serif" w:hAnsi="Times New Roman;Times;serif"/>
          <w:b/>
          <w:sz w:val="20"/>
        </w:rPr>
        <w:t xml:space="preserve"> Leases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table below presents the lease-related assets and liabilities recorded on the balance sheet.</w:t>
      </w:r>
    </w:p>
    <w:p>
      <w:pPr>
        <w:pStyle w:val="TextBody"/>
        <w:bidi w:val="0"/>
        <w:spacing w:before="0" w:after="0"/>
        <w:ind w:left="0" w:right="0" w:hanging="0"/>
        <w:jc w:val="left"/>
        <w:rPr>
          <w:caps w:val="false"/>
          <w:smallCaps w:val="false"/>
        </w:rPr>
      </w:pPr>
      <w:r>
        <w:rPr>
          <w:caps w:val="false"/>
          <w:smallCaps w:val="false"/>
        </w:rPr>
        <w:t> </w:t>
      </w:r>
    </w:p>
    <w:tbl>
      <w:tblPr>
        <w:tblW w:w="8454" w:type="dxa"/>
        <w:jc w:val="left"/>
        <w:tblInd w:w="0" w:type="dxa"/>
        <w:tblLayout w:type="fixed"/>
        <w:tblCellMar>
          <w:top w:w="0" w:type="dxa"/>
          <w:left w:w="0" w:type="dxa"/>
          <w:bottom w:w="0" w:type="dxa"/>
          <w:right w:w="0" w:type="dxa"/>
        </w:tblCellMar>
      </w:tblPr>
      <w:tblGrid>
        <w:gridCol w:w="3590"/>
        <w:gridCol w:w="2900"/>
        <w:gridCol w:w="60"/>
        <w:gridCol w:w="137"/>
        <w:gridCol w:w="767"/>
        <w:gridCol w:w="60"/>
        <w:gridCol w:w="60"/>
        <w:gridCol w:w="125"/>
        <w:gridCol w:w="695"/>
        <w:gridCol w:w="60"/>
      </w:tblGrid>
      <w:tr>
        <w:trPr/>
        <w:tc>
          <w:tcPr>
            <w:tcW w:w="3590" w:type="dxa"/>
            <w:tcBorders/>
            <w:shd w:fill="FFFFFF" w:val="clear"/>
            <w:vAlign w:val="center"/>
          </w:tcPr>
          <w:p>
            <w:pPr>
              <w:pStyle w:val="TableContents"/>
              <w:bidi w:val="0"/>
              <w:spacing w:before="0" w:after="283"/>
              <w:jc w:val="left"/>
              <w:rPr/>
            </w:pPr>
            <w:r>
              <w:rPr/>
              <w:t> </w:t>
            </w:r>
          </w:p>
        </w:tc>
        <w:tc>
          <w:tcPr>
            <w:tcW w:w="290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August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ind w:left="0" w:right="0" w:hanging="0"/>
              <w:jc w:val="left"/>
              <w:rPr/>
            </w:pPr>
            <w:r>
              <w:rPr/>
              <w:t> </w:t>
            </w:r>
          </w:p>
        </w:tc>
        <w:tc>
          <w:tcPr>
            <w:tcW w:w="290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Classification on Balance Sheet</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2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Finance lease, right-of-use assets</w:t>
            </w:r>
          </w:p>
        </w:tc>
        <w:tc>
          <w:tcPr>
            <w:tcW w:w="290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Capital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116,458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117,976</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290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42,318</w:t>
            </w:r>
          </w:p>
        </w:tc>
        <w:tc>
          <w:tcPr>
            <w:tcW w:w="60" w:type="dxa"/>
            <w:tcBorders/>
            <w:shd w:fill="CCEEFF" w:val="clear"/>
            <w:vAlign w:val="center"/>
          </w:tcPr>
          <w:p>
            <w:pPr>
              <w:pStyle w:val="TableContents"/>
              <w:bidi w:val="0"/>
              <w:spacing w:before="0" w:after="283"/>
              <w:jc w:val="left"/>
              <w:rPr/>
            </w:pPr>
            <w:r>
              <w:rPr/>
              <w:t> </w:t>
            </w:r>
          </w:p>
        </w:tc>
      </w:tr>
      <w:tr>
        <w:trPr/>
        <w:tc>
          <w:tcPr>
            <w:tcW w:w="6490" w:type="dxa"/>
            <w:gridSpan w:val="2"/>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Total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160,294</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2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w:t>
            </w:r>
          </w:p>
        </w:tc>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finance lease liabilities</w:t>
            </w:r>
          </w:p>
        </w:tc>
        <w:tc>
          <w:tcPr>
            <w:tcW w:w="290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Current portion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5,105</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operating lease liabilities</w:t>
            </w:r>
          </w:p>
        </w:tc>
        <w:tc>
          <w:tcPr>
            <w:tcW w:w="290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Current portion of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8,252</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Non-current:</w:t>
            </w:r>
          </w:p>
        </w:tc>
        <w:tc>
          <w:tcPr>
            <w:tcW w:w="2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Finance lease liabilities</w:t>
            </w:r>
          </w:p>
        </w:tc>
        <w:tc>
          <w:tcPr>
            <w:tcW w:w="290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119,682</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liabilities</w:t>
            </w:r>
          </w:p>
        </w:tc>
        <w:tc>
          <w:tcPr>
            <w:tcW w:w="290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38,473</w:t>
            </w:r>
          </w:p>
        </w:tc>
        <w:tc>
          <w:tcPr>
            <w:tcW w:w="60" w:type="dxa"/>
            <w:tcBorders/>
            <w:shd w:fill="CCEEFF" w:val="clear"/>
            <w:vAlign w:val="center"/>
          </w:tcPr>
          <w:p>
            <w:pPr>
              <w:pStyle w:val="TableContents"/>
              <w:bidi w:val="0"/>
              <w:spacing w:before="0" w:after="283"/>
              <w:jc w:val="left"/>
              <w:rPr/>
            </w:pPr>
            <w:r>
              <w:rPr/>
              <w:t> </w:t>
            </w:r>
          </w:p>
        </w:tc>
      </w:tr>
      <w:tr>
        <w:trPr/>
        <w:tc>
          <w:tcPr>
            <w:tcW w:w="6490" w:type="dxa"/>
            <w:gridSpan w:val="2"/>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Total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170,512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171,512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caps w:val="false"/>
          <w:smallCaps w:val="false"/>
          <w:sz w:val="20"/>
        </w:rPr>
        <w:t xml:space="preserve">Included in total lease liabilities is $985 related to disposal groups classified as held for sale. See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(Capital Assets).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following table presents the future undiscounted payments associated with lease liabilities as of </w:t>
      </w:r>
      <w:r>
        <w:rPr>
          <w:rStyle w:val="Emphasis"/>
          <w:rFonts w:ascii="Times New Roman" w:hAnsi="Times New Roman"/>
          <w:caps w:val="false"/>
          <w:smallCaps w:val="false"/>
          <w:sz w:val="20"/>
        </w:rPr>
        <w:t>August 31, 2026</w:t>
      </w:r>
      <w:r>
        <w:rPr>
          <w:rFonts w:ascii="Times New Roman" w:hAnsi="Times New Roman"/>
          <w:caps w:val="false"/>
          <w:smallCaps w:val="false"/>
          <w:sz w:val="20"/>
        </w:rPr>
        <w:t>:</w:t>
      </w:r>
    </w:p>
    <w:p>
      <w:pPr>
        <w:pStyle w:val="TextBody"/>
        <w:bidi w:val="0"/>
        <w:spacing w:before="0" w:after="0"/>
        <w:ind w:left="0" w:right="0" w:hanging="0"/>
        <w:jc w:val="both"/>
        <w:rPr/>
      </w:pPr>
      <w:r>
        <w:rPr/>
        <w:t> </w:t>
      </w:r>
    </w:p>
    <w:tbl>
      <w:tblPr>
        <w:tblW w:w="4515" w:type="dxa"/>
        <w:jc w:val="left"/>
        <w:tblInd w:w="0" w:type="dxa"/>
        <w:tblLayout w:type="fixed"/>
        <w:tblCellMar>
          <w:top w:w="0" w:type="dxa"/>
          <w:left w:w="0" w:type="dxa"/>
          <w:bottom w:w="0" w:type="dxa"/>
          <w:right w:w="0" w:type="dxa"/>
        </w:tblCellMar>
      </w:tblPr>
      <w:tblGrid>
        <w:gridCol w:w="2555"/>
        <w:gridCol w:w="60"/>
        <w:gridCol w:w="138"/>
        <w:gridCol w:w="722"/>
        <w:gridCol w:w="80"/>
        <w:gridCol w:w="60"/>
        <w:gridCol w:w="125"/>
        <w:gridCol w:w="695"/>
        <w:gridCol w:w="80"/>
      </w:tblGrid>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Operating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Finance</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5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leases</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leases</w:t>
            </w:r>
          </w:p>
        </w:tc>
        <w:tc>
          <w:tcPr>
            <w:tcW w:w="80" w:type="dxa"/>
            <w:tcBorders/>
            <w:shd w:fill="FFFFFF" w:val="clear"/>
            <w:vAlign w:val="center"/>
          </w:tcPr>
          <w:p>
            <w:pPr>
              <w:pStyle w:val="TableContents"/>
              <w:bidi w:val="0"/>
              <w:spacing w:before="0" w:after="0"/>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2027 (remaining nine months)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12,503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15,265</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2028</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15,724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20,353</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2029</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11,168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20,204</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2030</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7,232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19,968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Thereafter</w:t>
            </w:r>
          </w:p>
        </w:tc>
        <w:tc>
          <w:tcPr>
            <w:tcW w:w="60" w:type="dxa"/>
            <w:tcBorders/>
            <w:shd w:fill="CCEE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14,469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148,372</w:t>
            </w:r>
          </w:p>
        </w:tc>
        <w:tc>
          <w:tcPr>
            <w:tcW w:w="80" w:type="dxa"/>
            <w:tcBorders/>
            <w:shd w:fill="CCEEFF" w:val="clear"/>
            <w:vAlign w:val="center"/>
          </w:tcPr>
          <w:p>
            <w:pPr>
              <w:pStyle w:val="TableContents"/>
              <w:bidi w:val="0"/>
              <w:spacing w:before="0" w:after="0"/>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minimum lease payments</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61,096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224,162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Imputed interest</w:t>
            </w:r>
          </w:p>
        </w:tc>
        <w:tc>
          <w:tcPr>
            <w:tcW w:w="60" w:type="dxa"/>
            <w:tcBorders/>
            <w:shd w:fill="CCEE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(14,920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(99,826</w:t>
            </w:r>
          </w:p>
        </w:tc>
        <w:tc>
          <w:tcPr>
            <w:tcW w:w="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Obligations recognized</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124,336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Intangible assets consisted of the following items: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6"/>
        <w:gridCol w:w="60"/>
        <w:gridCol w:w="498"/>
        <w:gridCol w:w="1943"/>
        <w:gridCol w:w="80"/>
        <w:gridCol w:w="60"/>
        <w:gridCol w:w="336"/>
        <w:gridCol w:w="1595"/>
        <w:gridCol w:w="80"/>
        <w:gridCol w:w="60"/>
        <w:gridCol w:w="455"/>
        <w:gridCol w:w="2155"/>
        <w:gridCol w:w="80"/>
        <w:gridCol w:w="60"/>
        <w:gridCol w:w="169"/>
        <w:gridCol w:w="884"/>
        <w:gridCol w:w="84"/>
      </w:tblGrid>
      <w:tr>
        <w:trPr/>
        <w:tc>
          <w:tcPr>
            <w:tcW w:w="16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Customer relationships &amp; distribution channel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Licenses, permits &amp; applications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Intellectual property, trademarks, knowhow &amp; brands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3"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August 31, 2026</w:t>
            </w:r>
          </w:p>
        </w:tc>
        <w:tc>
          <w:tcPr>
            <w:tcW w:w="84" w:type="dxa"/>
            <w:tcBorders/>
            <w:shd w:fill="FFFFFF" w:val="clear"/>
            <w:vAlign w:val="center"/>
          </w:tcPr>
          <w:p>
            <w:pPr>
              <w:pStyle w:val="TableContents"/>
              <w:bidi w:val="0"/>
              <w:spacing w:before="0" w:after="283"/>
              <w:jc w:val="left"/>
              <w:rPr/>
            </w:pPr>
            <w:r>
              <w:rPr/>
              <w:t> </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0" w:type="dxa"/>
            <w:tcBorders/>
            <w:shd w:fill="CCEEFF" w:val="clear"/>
            <w:vAlign w:val="center"/>
          </w:tcPr>
          <w:p>
            <w:pPr>
              <w:pStyle w:val="TableContents"/>
              <w:bidi w:val="0"/>
              <w:spacing w:before="0" w:after="283"/>
              <w:ind w:left="0" w:right="0" w:hanging="0"/>
              <w:jc w:val="left"/>
              <w:rPr/>
            </w:pPr>
            <w:r>
              <w:rPr/>
              <w:t> </w:t>
            </w:r>
          </w:p>
        </w:tc>
        <w:tc>
          <w:tcPr>
            <w:tcW w:w="4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59,946</w:t>
            </w:r>
          </w:p>
        </w:tc>
        <w:tc>
          <w:tcPr>
            <w:tcW w:w="84" w:type="dxa"/>
            <w:tcBorders/>
            <w:shd w:fill="CCEEFF" w:val="clear"/>
            <w:vAlign w:val="center"/>
          </w:tcPr>
          <w:p>
            <w:pPr>
              <w:pStyle w:val="TableContents"/>
              <w:bidi w:val="0"/>
              <w:spacing w:before="0" w:after="283"/>
              <w:jc w:val="left"/>
              <w:rPr/>
            </w:pPr>
            <w:r>
              <w:rPr/>
              <w:t> </w:t>
            </w:r>
          </w:p>
        </w:tc>
      </w:tr>
      <w:tr>
        <w:trPr/>
        <w:tc>
          <w:tcPr>
            <w:tcW w:w="160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amortization</w:t>
            </w:r>
          </w:p>
        </w:tc>
        <w:tc>
          <w:tcPr>
            <w:tcW w:w="60" w:type="dxa"/>
            <w:tcBorders/>
            <w:shd w:fill="FFFFFF" w:val="clear"/>
            <w:vAlign w:val="center"/>
          </w:tcPr>
          <w:p>
            <w:pPr>
              <w:pStyle w:val="TableContents"/>
              <w:bidi w:val="0"/>
              <w:spacing w:before="0" w:after="283"/>
              <w:jc w:val="left"/>
              <w:rPr/>
            </w:pPr>
            <w:r>
              <w:rPr/>
              <w:t> </w:t>
            </w:r>
          </w:p>
        </w:tc>
        <w:tc>
          <w:tcPr>
            <w:tcW w:w="4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(17,478</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4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42,468</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August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May 31, 2026</w:t>
      </w:r>
      <w:r>
        <w:rPr>
          <w:rFonts w:ascii="Times New Roman" w:hAnsi="Times New Roman"/>
          <w:caps w:val="false"/>
          <w:smallCaps w:val="false"/>
          <w:sz w:val="20"/>
        </w:rPr>
        <w:t>, the Company also held the following intangible assets which have been fully impaired: $444,208 of customer relationships and distribution channels, $367,022 of licenses, permits and applications, and $452,530 of intellectual property, trademarks, know-how and brands.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8"/>
        <w:gridCol w:w="60"/>
        <w:gridCol w:w="504"/>
        <w:gridCol w:w="1966"/>
        <w:gridCol w:w="80"/>
        <w:gridCol w:w="60"/>
        <w:gridCol w:w="339"/>
        <w:gridCol w:w="1608"/>
        <w:gridCol w:w="80"/>
        <w:gridCol w:w="60"/>
        <w:gridCol w:w="462"/>
        <w:gridCol w:w="2187"/>
        <w:gridCol w:w="80"/>
        <w:gridCol w:w="60"/>
        <w:gridCol w:w="154"/>
        <w:gridCol w:w="804"/>
        <w:gridCol w:w="83"/>
      </w:tblGrid>
      <w:tr>
        <w:trPr/>
        <w:tc>
          <w:tcPr>
            <w:tcW w:w="16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Customer relationships &amp; distribution channel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Licenses, permits &amp; applications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Intellectual property, trademarks, knowhow &amp; brands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8"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May 31, 2026</w:t>
            </w:r>
          </w:p>
        </w:tc>
        <w:tc>
          <w:tcPr>
            <w:tcW w:w="83" w:type="dxa"/>
            <w:tcBorders/>
            <w:shd w:fill="FFFFFF" w:val="clear"/>
            <w:vAlign w:val="center"/>
          </w:tcPr>
          <w:p>
            <w:pPr>
              <w:pStyle w:val="TableContents"/>
              <w:bidi w:val="0"/>
              <w:spacing w:before="0" w:after="283"/>
              <w:jc w:val="left"/>
              <w:rPr/>
            </w:pPr>
            <w:r>
              <w:rPr/>
              <w:t> </w:t>
            </w:r>
          </w:p>
        </w:tc>
      </w:tr>
      <w:tr>
        <w:trPr/>
        <w:tc>
          <w:tcPr>
            <w:tcW w:w="16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0" w:type="dxa"/>
            <w:tcBorders/>
            <w:shd w:fill="CCEEFF" w:val="clear"/>
            <w:vAlign w:val="center"/>
          </w:tcPr>
          <w:p>
            <w:pPr>
              <w:pStyle w:val="TableContents"/>
              <w:bidi w:val="0"/>
              <w:spacing w:before="0" w:after="283"/>
              <w:ind w:left="0" w:right="0" w:hanging="0"/>
              <w:jc w:val="left"/>
              <w:rPr/>
            </w:pPr>
            <w:r>
              <w:rPr/>
              <w:t> </w:t>
            </w:r>
          </w:p>
        </w:tc>
        <w:tc>
          <w:tcPr>
            <w:tcW w:w="5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57,999</w:t>
            </w:r>
          </w:p>
        </w:tc>
        <w:tc>
          <w:tcPr>
            <w:tcW w:w="83" w:type="dxa"/>
            <w:tcBorders/>
            <w:shd w:fill="CCEEFF" w:val="clear"/>
            <w:vAlign w:val="center"/>
          </w:tcPr>
          <w:p>
            <w:pPr>
              <w:pStyle w:val="TableContents"/>
              <w:bidi w:val="0"/>
              <w:spacing w:before="0" w:after="283"/>
              <w:jc w:val="left"/>
              <w:rPr/>
            </w:pPr>
            <w:r>
              <w:rPr/>
              <w:t> </w:t>
            </w:r>
          </w:p>
        </w:tc>
      </w:tr>
      <w:tr>
        <w:trPr/>
        <w:tc>
          <w:tcPr>
            <w:tcW w:w="16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amortization</w:t>
            </w:r>
          </w:p>
        </w:tc>
        <w:tc>
          <w:tcPr>
            <w:tcW w:w="60" w:type="dxa"/>
            <w:tcBorders/>
            <w:shd w:fill="FFFFFF" w:val="clear"/>
            <w:vAlign w:val="center"/>
          </w:tcPr>
          <w:p>
            <w:pPr>
              <w:pStyle w:val="TableContents"/>
              <w:bidi w:val="0"/>
              <w:spacing w:before="0" w:after="283"/>
              <w:jc w:val="left"/>
              <w:rPr/>
            </w:pPr>
            <w:r>
              <w:rPr/>
              <w:t> </w:t>
            </w:r>
          </w:p>
        </w:tc>
        <w:tc>
          <w:tcPr>
            <w:tcW w:w="5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(15,220</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5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42,779</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August 31, 2026</w:t>
      </w:r>
      <w:r>
        <w:rPr>
          <w:rFonts w:ascii="Times New Roman" w:hAnsi="Times New Roman"/>
          <w:caps w:val="false"/>
          <w:smallCaps w:val="false"/>
          <w:sz w:val="20"/>
        </w:rPr>
        <w:t xml:space="preserve">, the Company reported, in licenses, permits &amp; applications, multi-period sponsorship rights of $17,458 and $nil of indefinite-lived intangible assets compared to $18,783 and $nil as of </w:t>
      </w:r>
      <w:r>
        <w:rPr>
          <w:rStyle w:val="Emphasis"/>
          <w:rFonts w:ascii="Times New Roman" w:hAnsi="Times New Roman"/>
          <w:caps w:val="false"/>
          <w:smallCaps w:val="false"/>
          <w:sz w:val="20"/>
        </w:rPr>
        <w:t>May 31, 2026</w:t>
      </w:r>
      <w:r>
        <w:rPr>
          <w:rFonts w:ascii="Times New Roman" w:hAnsi="Times New Roman"/>
          <w:caps w:val="false"/>
          <w:smallCaps w:val="false"/>
          <w:sz w:val="20"/>
        </w:rPr>
        <w:t>, respectively.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Expected future amortization expense for intangible assets as of </w:t>
      </w:r>
      <w:r>
        <w:rPr>
          <w:rStyle w:val="Emphasis"/>
          <w:rFonts w:ascii="Times New Roman" w:hAnsi="Times New Roman"/>
          <w:caps w:val="false"/>
          <w:smallCaps w:val="false"/>
          <w:sz w:val="20"/>
        </w:rPr>
        <w:t xml:space="preserve"> August 31, 2026</w:t>
      </w:r>
      <w:r>
        <w:rPr>
          <w:rFonts w:ascii="Times New Roman" w:hAnsi="Times New Roman"/>
          <w:caps w:val="false"/>
          <w:smallCaps w:val="false"/>
          <w:sz w:val="20"/>
        </w:rPr>
        <w:t> is as follows:</w:t>
      </w:r>
    </w:p>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2480"/>
        <w:gridCol w:w="60"/>
        <w:gridCol w:w="194"/>
        <w:gridCol w:w="921"/>
        <w:gridCol w:w="60"/>
      </w:tblGrid>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 (remaining nine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10,377</w:t>
            </w:r>
          </w:p>
        </w:tc>
        <w:tc>
          <w:tcPr>
            <w:tcW w:w="6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13,831</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6,319</w:t>
            </w:r>
          </w:p>
        </w:tc>
        <w:tc>
          <w:tcPr>
            <w:tcW w:w="6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3,817</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3,817</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4,307</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0"/>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42,468</w:t>
            </w:r>
          </w:p>
        </w:tc>
        <w:tc>
          <w:tcPr>
            <w:tcW w:w="6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table reflects the carrying amount of goodwill for the Cannabis reporting unit:</w:t>
      </w:r>
    </w:p>
    <w:p>
      <w:pPr>
        <w:pStyle w:val="TextBody"/>
        <w:bidi w:val="0"/>
        <w:spacing w:before="0" w:after="0"/>
        <w:ind w:left="0" w:right="0" w:hanging="0"/>
        <w:jc w:val="left"/>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2600"/>
        <w:gridCol w:w="60"/>
        <w:gridCol w:w="125"/>
        <w:gridCol w:w="905"/>
        <w:gridCol w:w="80"/>
        <w:gridCol w:w="60"/>
        <w:gridCol w:w="125"/>
        <w:gridCol w:w="905"/>
        <w:gridCol w:w="8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goodwill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2,640,669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2,640,669</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impairment losses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(1,888,319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(1,888,319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752,350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752,350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caps w:val="false"/>
          <w:smallCaps w:val="false"/>
          <w:sz w:val="20"/>
        </w:rPr>
        <w:t>During the fiscal quarter ended </w:t>
      </w:r>
      <w:r>
        <w:rPr>
          <w:rStyle w:val="Emphasis"/>
          <w:rFonts w:ascii="Times New Roman" w:hAnsi="Times New Roman"/>
          <w:caps w:val="false"/>
          <w:smallCaps w:val="false"/>
          <w:sz w:val="20"/>
        </w:rPr>
        <w:t xml:space="preserve"> August 31, 2026</w:t>
      </w:r>
      <w:r>
        <w:rPr>
          <w:rFonts w:ascii="Times New Roman" w:hAnsi="Times New Roman"/>
          <w:caps w:val="false"/>
          <w:smallCaps w:val="false"/>
          <w:sz w:val="20"/>
        </w:rPr>
        <w:t xml:space="preserve">, the Company assessed for indicators of impairment and concluded that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such indicators and, accordingly, no further impairment testing was required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impairment charges were recognized during the period.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Company performed the annual impairment test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quarter ended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by completing a qualitative assessment of relevant events and circumstances. Based on this assessment, the Company determined that it was </w:t>
      </w:r>
      <w:r>
        <w:rPr>
          <w:rStyle w:val="Emphasis"/>
          <w:rFonts w:ascii="Times New Roman" w:hAnsi="Times New Roman"/>
          <w:caps w:val="false"/>
          <w:smallCaps w:val="false"/>
          <w:sz w:val="20"/>
        </w:rPr>
        <w:t>not</w:t>
      </w:r>
      <w:r>
        <w:rPr>
          <w:rFonts w:ascii="Times New Roman" w:hAnsi="Times New Roman"/>
          <w:caps w:val="false"/>
          <w:smallCaps w:val="false"/>
          <w:sz w:val="20"/>
        </w:rPr>
        <w:t>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that the fair value of the Cannabis reporting unit was less than its carrying amount. Accordingly, </w:t>
      </w:r>
      <w:r>
        <w:rPr>
          <w:rStyle w:val="Emphasis"/>
          <w:rFonts w:ascii="Times New Roman" w:hAnsi="Times New Roman"/>
          <w:caps w:val="false"/>
          <w:smallCaps w:val="false"/>
          <w:sz w:val="20"/>
        </w:rPr>
        <w:t>no</w:t>
      </w:r>
      <w:r>
        <w:rPr>
          <w:rFonts w:ascii="Times New Roman" w:hAnsi="Times New Roman"/>
          <w:caps w:val="false"/>
          <w:smallCaps w:val="false"/>
          <w:sz w:val="20"/>
        </w:rPr>
        <w:t> further goodwill impairment testing was performed and no goodwill impairment charges were recognized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val="false"/>
          <w:sz w:val="20"/>
        </w:rPr>
        <w:t xml:space="preserve">Note </w:t>
      </w:r>
      <w:r>
        <w:rPr>
          <w:rStyle w:val="Emphasis"/>
          <w:rFonts w:ascii="Times New Roman" w:hAnsi="Times New Roman"/>
          <w:b w:val="false"/>
          <w:sz w:val="20"/>
        </w:rPr>
        <w:t>7.</w:t>
      </w:r>
      <w:r>
        <w:rPr>
          <w:rFonts w:ascii="Times New Roman" w:hAnsi="Times New Roman"/>
          <w:b w:val="false"/>
          <w:sz w:val="20"/>
        </w:rPr>
        <w:t> </w:t>
      </w:r>
      <w:r>
        <w:rPr>
          <w:rFonts w:ascii="Times New Roman" w:hAnsi="Times New Roman"/>
          <w:b/>
          <w:sz w:val="20"/>
        </w:rPr>
        <w:t>Business</w:t>
      </w:r>
      <w:r>
        <w:rPr>
          <w:rFonts w:ascii="Times New Roman;Times;serif" w:hAnsi="Times New Roman;Times;serif"/>
          <w:b w:val="false"/>
          <w:sz w:val="20"/>
        </w:rPr>
        <w:t> </w:t>
      </w:r>
      <w:r>
        <w:rPr>
          <w:rFonts w:ascii="Times New Roman" w:hAnsi="Times New Roman"/>
          <w:b w:val="false"/>
          <w:sz w:val="20"/>
        </w:rPr>
        <w:t>a</w:t>
      </w:r>
      <w:r>
        <w:rPr>
          <w:rFonts w:ascii="Times New Roman" w:hAnsi="Times New Roman"/>
          <w:b/>
          <w:sz w:val="20"/>
        </w:rPr>
        <w:t>cquisitions</w:t>
      </w:r>
    </w:p>
    <w:p>
      <w:pPr>
        <w:pStyle w:val="TextBody"/>
        <w:bidi w:val="0"/>
        <w:spacing w:before="0" w:after="0"/>
        <w:ind w:left="0" w:right="0" w:hanging="0"/>
        <w:jc w:val="both"/>
        <w:rPr/>
      </w:pPr>
      <w:r>
        <w:rPr/>
        <w:t> </w:t>
      </w:r>
    </w:p>
    <w:p>
      <w:pPr>
        <w:pStyle w:val="TextBody"/>
        <w:bidi w:val="0"/>
        <w:spacing w:before="0" w:after="0"/>
        <w:ind w:left="0" w:right="0" w:firstLine="180"/>
        <w:jc w:val="both"/>
        <w:rPr>
          <w:rFonts w:ascii="Times New Roman" w:hAnsi="Times New Roman"/>
          <w:b w:val="false"/>
          <w:i/>
          <w:sz w:val="20"/>
        </w:rPr>
      </w:pPr>
      <w:r>
        <w:rPr>
          <w:rFonts w:ascii="Times New Roman" w:hAnsi="Times New Roman"/>
          <w:b w:val="false"/>
          <w:i/>
          <w:sz w:val="20"/>
        </w:rPr>
        <w:t>Acquisition of BrewDog</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BrewDog UK I</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2, 2026, </w:t>
      </w:r>
      <w:r>
        <w:rPr>
          <w:rFonts w:ascii="Times New Roman" w:hAnsi="Times New Roman"/>
          <w:caps w:val="false"/>
          <w:smallCaps w:val="false"/>
          <w:sz w:val="20"/>
        </w:rPr>
        <w:t>Tilray Brands UK Ltd (“Tilray UK”), a wholly-owned subsidiary of the Company, entered into a Business and Asset Sale Agreement (the “BrewDog BASA”) pursuant to which Tilray UK acquired certain business operations and assets of BrewDog plc and certain of its subsidiaries (collectively, the “BrewDog Group”) through a pre-packaged administration process in Scotland under the Insolvency Act </w:t>
      </w:r>
      <w:r>
        <w:rPr>
          <w:rStyle w:val="Emphasis"/>
          <w:rFonts w:ascii="Times New Roman" w:hAnsi="Times New Roman"/>
          <w:caps w:val="false"/>
          <w:smallCaps w:val="false"/>
          <w:sz w:val="20"/>
        </w:rPr>
        <w:t>1986,</w:t>
      </w:r>
      <w:r>
        <w:rPr>
          <w:rFonts w:ascii="Times New Roman" w:hAnsi="Times New Roman"/>
          <w:caps w:val="false"/>
          <w:smallCaps w:val="false"/>
          <w:sz w:val="20"/>
        </w:rPr>
        <w:t> with the intent for Tilray UK to carry on the acquired business operations and assets as a going concern (the “BrewDog Acquisition”). The assets acquired included the brewery and distillery located in Ellon, Aberdeenshire, Scotland (the “UK Brewery”), the on-line business, the retail business, 11 of the BrewDog strategic pubs in Scotland, England and Ireland and all the world-wide intellectual property rights relating to the BrewDog brand, including sub-brands such as Punk IPA, Hazy Jane, Wingman, Elvis Juice and Dead Pony Club. The purpose of the acquisition is to broaden Tilray’s beverage brand strategy into international markets. In consideration for the BrewDog Acquisition, the Company paid a total purchase price of £33,000 ($44,220), paid in cash at completion.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BrewDog Australia</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9, 2026, </w:t>
      </w:r>
      <w:r>
        <w:rPr>
          <w:rFonts w:ascii="Times New Roman" w:hAnsi="Times New Roman"/>
          <w:caps w:val="false"/>
          <w:smallCaps w:val="false"/>
          <w:sz w:val="20"/>
        </w:rPr>
        <w:t>Tilray Australia New Zealand Pty Ltd,  a wholly-owned subsidiary of the Company, acquired BrewDog Brewing Australia Pty Ltd., which included BrewDog’s brewery and two hospitality venues in Australia. The purpose of the acquisition is to continue broadening Tilray’s beverage brand strategy into international markets. In consideration for the acquisition, the Company paid nominal consideration.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BrewDog UK II</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23, 2026, </w:t>
      </w:r>
      <w:r>
        <w:rPr>
          <w:rFonts w:ascii="Times New Roman" w:hAnsi="Times New Roman"/>
          <w:caps w:val="false"/>
          <w:smallCaps w:val="false"/>
          <w:sz w:val="20"/>
        </w:rPr>
        <w:t>Tilray UK acquired five additional BrewDog pubs in Scotland and England. The purpose of the acquisition is to broaden Tilray’s beverage brand strategy into international markets. The Company paid a total purchase price of £418 ($560), paid in cash at completion.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BrewDog U.S.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16, 2026, </w:t>
      </w:r>
      <w:r>
        <w:rPr>
          <w:rFonts w:ascii="Times New Roman" w:hAnsi="Times New Roman"/>
          <w:caps w:val="false"/>
          <w:smallCaps w:val="false"/>
          <w:sz w:val="20"/>
        </w:rPr>
        <w:t>Tilray BrewDog U.S., Inc., a wholly-owned subsidiary of the Company, entered into an asset purchase agreement to acquire certain strategic BrewDog assets in the U.S., including a brewery, pub, and hotel in Columbus, Ohio, as well as pubs located in New Albany, Ohio, Cleveland, Ohio, and Las Vegas, Nevada (the “BrewDog U.S. Acquired Assets”). The Company obtained control of the BrewDog U.S. Acquired Assets and assumed certain liabilities, commencing on </w:t>
      </w:r>
      <w:r>
        <w:rPr>
          <w:rStyle w:val="Emphasis"/>
          <w:rFonts w:ascii="Times New Roman" w:hAnsi="Times New Roman"/>
          <w:caps w:val="false"/>
          <w:smallCaps w:val="false"/>
          <w:sz w:val="20"/>
        </w:rPr>
        <w:t xml:space="preserve"> April 1, 2026, </w:t>
      </w:r>
      <w:r>
        <w:rPr>
          <w:rFonts w:ascii="Times New Roman" w:hAnsi="Times New Roman"/>
          <w:caps w:val="false"/>
          <w:smallCaps w:val="false"/>
          <w:sz w:val="20"/>
        </w:rPr>
        <w:t>which represents the acquisition date for accounting purposes under ASC </w:t>
      </w:r>
      <w:r>
        <w:rPr>
          <w:rStyle w:val="Emphasis"/>
          <w:rFonts w:ascii="Times New Roman" w:hAnsi="Times New Roman"/>
          <w:caps w:val="false"/>
          <w:smallCaps w:val="false"/>
          <w:sz w:val="20"/>
        </w:rPr>
        <w:t>805,</w:t>
      </w:r>
      <w:r>
        <w:rPr>
          <w:rFonts w:ascii="Times New Roman" w:hAnsi="Times New Roman"/>
          <w:caps w:val="false"/>
          <w:smallCaps w:val="false"/>
          <w:sz w:val="20"/>
        </w:rPr>
        <w:t> notwithstanding certain regulatory approvals that remained pending as of that date. The purpose of the acquisition is to broaden Tilray’s beverage brand strategy. In consideration for the acquisition, the Company paid a total purchase price of $9,293 for the BrewDog’s U.S. Acquired Assets, subject to customary post</w:t>
        <w:noBreakHyphen/>
        <w:t>closing adjustments.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connection with the BrewDog Acquisition and the acquisitions of BrewDog Australia, BrewDog UK II and BrewDog U.S. (collectively, the “Global BrewDog Acquisitions”), the Company is in the process of assessing the fair value of the net assets acquired and, as a result, the fair value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subject to adjustments pending completion of final valuations and post-closing adjustments. The table below summarizes the preliminary estimated fair value of the assets acquired and the liabilities assumed for the Global BrewDog Acquisitions as of the effective acquisition dates as follows:</w:t>
      </w:r>
    </w:p>
    <w:p>
      <w:pPr>
        <w:pStyle w:val="TextBody"/>
        <w:bidi w:val="0"/>
        <w:spacing w:before="0" w:after="0"/>
        <w:ind w:left="0" w:right="0" w:firstLine="540"/>
        <w:jc w:val="both"/>
        <w:rPr>
          <w:caps w:val="false"/>
          <w:smallCaps w:val="false"/>
        </w:rPr>
      </w:pPr>
      <w:r>
        <w:rPr>
          <w:caps w:val="false"/>
          <w:smallCaps w:val="false"/>
        </w:rPr>
        <w:t> </w:t>
      </w:r>
    </w:p>
    <w:tbl>
      <w:tblPr>
        <w:tblW w:w="10171" w:type="dxa"/>
        <w:jc w:val="left"/>
        <w:tblInd w:w="0" w:type="dxa"/>
        <w:tblLayout w:type="fixed"/>
        <w:tblCellMar>
          <w:top w:w="0" w:type="dxa"/>
          <w:left w:w="0" w:type="dxa"/>
          <w:bottom w:w="0" w:type="dxa"/>
          <w:right w:w="0" w:type="dxa"/>
        </w:tblCellMar>
      </w:tblPr>
      <w:tblGrid>
        <w:gridCol w:w="3770"/>
        <w:gridCol w:w="60"/>
        <w:gridCol w:w="199"/>
        <w:gridCol w:w="1110"/>
        <w:gridCol w:w="60"/>
        <w:gridCol w:w="60"/>
        <w:gridCol w:w="215"/>
        <w:gridCol w:w="1019"/>
        <w:gridCol w:w="60"/>
        <w:gridCol w:w="60"/>
        <w:gridCol w:w="274"/>
        <w:gridCol w:w="1065"/>
        <w:gridCol w:w="60"/>
        <w:gridCol w:w="60"/>
        <w:gridCol w:w="191"/>
        <w:gridCol w:w="908"/>
        <w:gridCol w:w="60"/>
        <w:gridCol w:w="60"/>
        <w:gridCol w:w="125"/>
        <w:gridCol w:w="695"/>
        <w:gridCol w:w="6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BrewDog UK I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BrewDog AUS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BrewDog UK 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BrewDog 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April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Consideration</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consideration</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54,073</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assets acquired</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18,875</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Prepaids and other current assets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Long-term assets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assets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72,347</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right-of-use assets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79,839</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25,623</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10,762</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209,630</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50,095</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finance lease liabilities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3,365</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2,846</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 - term liabilities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liabilities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76,473</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22,778</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155,557</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net assets acquired</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54,073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 w:hAnsi="Times New Roman"/>
          <w:caps w:val="false"/>
          <w:smallCaps w:val="false"/>
          <w:sz w:val="20"/>
        </w:rPr>
        <w:t>In the event that the Global BrewDog Acquisitions had occurred on </w:t>
      </w:r>
      <w:r>
        <w:rPr>
          <w:rStyle w:val="Emphasis"/>
          <w:rFonts w:ascii="Times New Roman" w:hAnsi="Times New Roman"/>
          <w:caps w:val="false"/>
          <w:smallCaps w:val="false"/>
          <w:sz w:val="20"/>
        </w:rPr>
        <w:t xml:space="preserve"> June 1, 2025, </w:t>
      </w:r>
      <w:r>
        <w:rPr>
          <w:rFonts w:ascii="Times New Roman" w:hAnsi="Times New Roman"/>
          <w:caps w:val="false"/>
          <w:smallCaps w:val="false"/>
          <w:sz w:val="20"/>
        </w:rPr>
        <w:t xml:space="preserve">the Company would have had, on an unaudited pro forma basis for the asset groups purchased, additional net revenue of approximately $64,838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August 31, 2025, </w:t>
      </w:r>
      <w:r>
        <w:rPr>
          <w:rFonts w:ascii="Times New Roman" w:hAnsi="Times New Roman"/>
          <w:caps w:val="false"/>
          <w:smallCaps w:val="false"/>
          <w:sz w:val="20"/>
        </w:rPr>
        <w:t xml:space="preserve">and its consolidated net income (loss) and comprehensive net income (loss) would have increased by approximately $9,807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August 31, 2025. </w:t>
      </w:r>
      <w:r>
        <w:rPr>
          <w:rFonts w:ascii="Times New Roman" w:hAnsi="Times New Roman"/>
          <w:caps w:val="false"/>
          <w:smallCaps w:val="false"/>
          <w:sz w:val="20"/>
        </w:rPr>
        <w:t xml:space="preserve">This unaudited pro forma financial information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reflect the realization of any expected ongoing synergies relating to the integration of the Global BrewDog Acquisitions.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Acquisition of</w:t>
      </w:r>
      <w:r>
        <w:rPr>
          <w:rFonts w:ascii="Times New Roman" w:hAnsi="Times New Roman"/>
          <w:caps w:val="false"/>
          <w:smallCaps w:val="false"/>
          <w:sz w:val="20"/>
        </w:rPr>
        <w:t> </w:t>
      </w:r>
      <w:r>
        <w:rPr>
          <w:rFonts w:ascii="Times New Roman" w:hAnsi="Times New Roman"/>
          <w:i/>
          <w:caps w:val="false"/>
          <w:smallCaps w:val="false"/>
          <w:sz w:val="20"/>
        </w:rPr>
        <w:t>Lyphe</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April 15, 2026, </w:t>
      </w:r>
      <w:r>
        <w:rPr>
          <w:rFonts w:ascii="Times New Roman" w:hAnsi="Times New Roman"/>
          <w:caps w:val="false"/>
          <w:smallCaps w:val="false"/>
          <w:sz w:val="20"/>
        </w:rPr>
        <w:t>Tilray Lyphe UK Limited, an indirect wholly-owned subsidiary of the Company, acquired the Lyphe Group (“Lyphe”), a UK-based medical cannabis clinic and digital pharmacy platform (the “Lyphe Acquisition”). In consideration for the Lyphe Acquisition, the Company paid a total purchase price of $3,074 (£2,200), consisting of 398,666 shares of the Company’s common stock having a value of $2,795 as of the date of issuance and $279 of cash. The purpose of the acquisition was driven by a strategic rationale tied to growth, vertical integration, and expansion in Europe, especially the UK medical cannabis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Company is in the process of assessing the fair value of the net assets acquired and, as a result, the fair value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subject to adjustments pending completion of final valuations. The table below summarizes the preliminary estimated fair value of the assets acquired and the liabilities assumed in connection with the Lyphe Acquisition as of the effective acquisition date as follows: </w:t>
      </w:r>
    </w:p>
    <w:p>
      <w:pPr>
        <w:pStyle w:val="TextBody"/>
        <w:bidi w:val="0"/>
        <w:spacing w:before="0" w:after="0"/>
        <w:ind w:left="0" w:right="0" w:firstLine="540"/>
        <w:jc w:val="both"/>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3500"/>
        <w:gridCol w:w="60"/>
        <w:gridCol w:w="139"/>
        <w:gridCol w:w="541"/>
        <w:gridCol w:w="60"/>
      </w:tblGrid>
      <w:tr>
        <w:trPr/>
        <w:tc>
          <w:tcPr>
            <w:tcW w:w="3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Consideration</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2,795</w:t>
            </w:r>
          </w:p>
        </w:tc>
        <w:tc>
          <w:tcPr>
            <w:tcW w:w="6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consideration</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w:t>
            </w:r>
          </w:p>
        </w:tc>
        <w:tc>
          <w:tcPr>
            <w:tcW w:w="6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consideration</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3,074</w:t>
            </w:r>
          </w:p>
        </w:tc>
        <w:tc>
          <w:tcPr>
            <w:tcW w:w="6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assets acquired</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6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6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6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Prepaids and other current assets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6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Long-term assets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assets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6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4,328</w:t>
            </w:r>
          </w:p>
        </w:tc>
        <w:tc>
          <w:tcPr>
            <w:tcW w:w="6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4,834</w:t>
            </w:r>
          </w:p>
        </w:tc>
        <w:tc>
          <w:tcPr>
            <w:tcW w:w="6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w:t>
            </w:r>
          </w:p>
        </w:tc>
        <w:tc>
          <w:tcPr>
            <w:tcW w:w="6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w:t>
            </w:r>
          </w:p>
        </w:tc>
        <w:tc>
          <w:tcPr>
            <w:tcW w:w="6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net assets acquired</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the event that the Lyphe Acquisition had occurred on </w:t>
      </w:r>
      <w:r>
        <w:rPr>
          <w:rStyle w:val="Emphasis"/>
          <w:rFonts w:ascii="Times New Roman" w:hAnsi="Times New Roman"/>
          <w:caps w:val="false"/>
          <w:smallCaps w:val="false"/>
          <w:sz w:val="20"/>
        </w:rPr>
        <w:t xml:space="preserve"> June 1, 2025, </w:t>
      </w:r>
      <w:r>
        <w:rPr>
          <w:rFonts w:ascii="Times New Roman" w:hAnsi="Times New Roman"/>
          <w:caps w:val="false"/>
          <w:smallCaps w:val="false"/>
          <w:sz w:val="20"/>
        </w:rPr>
        <w:t xml:space="preserve">the Company would have had, on an unaudited pro forma basis, additional net revenue of approximately $768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August 31, 2025, </w:t>
      </w:r>
      <w:r>
        <w:rPr>
          <w:rFonts w:ascii="Times New Roman" w:hAnsi="Times New Roman"/>
          <w:caps w:val="false"/>
          <w:smallCaps w:val="false"/>
          <w:sz w:val="20"/>
        </w:rPr>
        <w:t xml:space="preserve">and its consolidated net income (loss) and comprehensive net income (loss) would have increased by approximately $257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August 31, 2025. </w:t>
      </w:r>
      <w:r>
        <w:rPr>
          <w:rFonts w:ascii="Times New Roman" w:hAnsi="Times New Roman"/>
          <w:caps w:val="false"/>
          <w:smallCaps w:val="false"/>
          <w:sz w:val="20"/>
        </w:rPr>
        <w:t>This unaudited pro forma financial information does </w:t>
      </w:r>
      <w:r>
        <w:rPr>
          <w:rStyle w:val="Emphasis"/>
          <w:rFonts w:ascii="Times New Roman" w:hAnsi="Times New Roman"/>
          <w:caps w:val="false"/>
          <w:smallCaps w:val="false"/>
          <w:sz w:val="20"/>
        </w:rPr>
        <w:t>not</w:t>
      </w:r>
      <w:r>
        <w:rPr>
          <w:rFonts w:ascii="Times New Roman" w:hAnsi="Times New Roman"/>
          <w:caps w:val="false"/>
          <w:smallCaps w:val="false"/>
          <w:sz w:val="20"/>
        </w:rPr>
        <w:t> reflect the realization of any expected ongoing synergies relating to the integration of the Lyphe Acquisition.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Acquisition of</w:t>
      </w:r>
      <w:r>
        <w:rPr>
          <w:rFonts w:ascii="Times New Roman" w:hAnsi="Times New Roman"/>
          <w:caps w:val="false"/>
          <w:smallCaps w:val="false"/>
          <w:sz w:val="20"/>
        </w:rPr>
        <w:t> </w:t>
      </w:r>
      <w:r>
        <w:rPr>
          <w:rFonts w:ascii="Times New Roman" w:hAnsi="Times New Roman"/>
          <w:i/>
          <w:caps w:val="false"/>
          <w:smallCaps w:val="false"/>
          <w:sz w:val="20"/>
        </w:rPr>
        <w:t>HelloMD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July 10, 2026, </w:t>
      </w:r>
      <w:r>
        <w:rPr>
          <w:rFonts w:ascii="Times New Roman" w:hAnsi="Times New Roman"/>
          <w:caps w:val="false"/>
          <w:smallCaps w:val="false"/>
          <w:sz w:val="20"/>
        </w:rPr>
        <w:t>Aphria inc., a wholly-owned subsidiary of the Company, acquired HelloMD Corporation (“HelloMD”), a digital healthcare and patient engagement platform (the “HelloMD Acquisition”). The purpose of the acquisition was driven by a strategic rationale tied to growth, vertical integration, and expansion in the Canadian medical cannabis market. In consideration for the HelloMD Acquisition, the Company paid a total purchase price of $720 (CAD $1,000) of cash consideration. The Company is in the process of assessing the fair value of the net assets acquired and, as a result, the fair value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subject to adjustments pending completion of final valuations. </w:t>
      </w:r>
    </w:p>
    <w:p>
      <w:pPr>
        <w:pStyle w:val="TextBody"/>
        <w:bidi w:val="0"/>
        <w:spacing w:before="0" w:after="0"/>
        <w:ind w:left="0" w:right="0" w:hanging="0"/>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Long-term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Long-term investments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9088" w:type="dxa"/>
        <w:jc w:val="left"/>
        <w:tblInd w:w="0" w:type="dxa"/>
        <w:tblLayout w:type="fixed"/>
        <w:tblCellMar>
          <w:top w:w="0" w:type="dxa"/>
          <w:left w:w="0" w:type="dxa"/>
          <w:bottom w:w="0" w:type="dxa"/>
          <w:right w:w="0" w:type="dxa"/>
        </w:tblCellMar>
      </w:tblPr>
      <w:tblGrid>
        <w:gridCol w:w="7250"/>
        <w:gridCol w:w="60"/>
        <w:gridCol w:w="185"/>
        <w:gridCol w:w="719"/>
        <w:gridCol w:w="60"/>
        <w:gridCol w:w="60"/>
        <w:gridCol w:w="142"/>
        <w:gridCol w:w="552"/>
        <w:gridCol w:w="60"/>
      </w:tblGrid>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August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May 31,</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725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2026</w:t>
            </w:r>
          </w:p>
        </w:tc>
        <w:tc>
          <w:tcPr>
            <w:tcW w:w="60" w:type="dxa"/>
            <w:tcBorders/>
            <w:shd w:fill="FFFFFF" w:val="clear"/>
            <w:vAlign w:val="center"/>
          </w:tcPr>
          <w:p>
            <w:pPr>
              <w:pStyle w:val="TableContents"/>
              <w:bidi w:val="0"/>
              <w:spacing w:before="0" w:after="0"/>
              <w:jc w:val="left"/>
              <w:rPr/>
            </w:pPr>
            <w:r>
              <w:rPr/>
              <w:t> </w:t>
            </w:r>
          </w:p>
        </w:tc>
      </w:tr>
      <w:tr>
        <w:trPr/>
        <w:tc>
          <w:tcPr>
            <w:tcW w:w="72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Equity investments measured at fair value using quoted prices in active markets (Level 1)</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5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1,197</w:t>
            </w:r>
          </w:p>
        </w:tc>
        <w:tc>
          <w:tcPr>
            <w:tcW w:w="6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Equity investments measured at fair value using other observable inputs (Level 2)</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990</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72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Equity investments under measurement alternative (Level 3)</w:t>
            </w:r>
          </w:p>
        </w:tc>
        <w:tc>
          <w:tcPr>
            <w:tcW w:w="60" w:type="dxa"/>
            <w:tcBorders/>
            <w:shd w:fill="CCEEFF" w:val="clear"/>
            <w:vAlign w:val="center"/>
          </w:tcPr>
          <w:p>
            <w:pPr>
              <w:pStyle w:val="TableContents"/>
              <w:bidi w:val="0"/>
              <w:spacing w:before="0" w:after="0"/>
              <w:ind w:left="0" w:right="0" w:hanging="0"/>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4,364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4,364</w:t>
            </w:r>
          </w:p>
        </w:tc>
        <w:tc>
          <w:tcPr>
            <w:tcW w:w="60" w:type="dxa"/>
            <w:tcBorders/>
            <w:shd w:fill="CCEEFF" w:val="clear"/>
            <w:vAlign w:val="center"/>
          </w:tcPr>
          <w:p>
            <w:pPr>
              <w:pStyle w:val="TableContents"/>
              <w:bidi w:val="0"/>
              <w:spacing w:before="0" w:after="0"/>
              <w:jc w:val="left"/>
              <w:rPr/>
            </w:pPr>
            <w:r>
              <w:rPr/>
              <w:t> </w:t>
            </w:r>
          </w:p>
        </w:tc>
      </w:tr>
      <w:tr>
        <w:trPr/>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6,551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August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May 31, 2026</w:t>
      </w:r>
      <w:r>
        <w:rPr>
          <w:rFonts w:ascii="Times New Roman" w:hAnsi="Times New Roman"/>
          <w:caps w:val="false"/>
          <w:smallCaps w:val="false"/>
          <w:sz w:val="20"/>
        </w:rPr>
        <w:t xml:space="preserve">, included within equity investment under measurement alternative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is an option to acquire a 68% membership interest in SH Acquisition for $1.00 upon U.S. federal cannabis legalization valued at $4,364 and $4,364, respectively. See Note </w:t>
      </w:r>
      <w:r>
        <w:rPr>
          <w:rStyle w:val="Emphasis"/>
          <w:rFonts w:ascii="Times New Roman" w:hAnsi="Times New Roman"/>
          <w:caps w:val="false"/>
          <w:smallCaps w:val="false"/>
          <w:sz w:val="20"/>
        </w:rPr>
        <w:t>24</w:t>
      </w:r>
      <w:r>
        <w:rPr>
          <w:rFonts w:ascii="Times New Roman" w:hAnsi="Times New Roman"/>
          <w:caps w:val="false"/>
          <w:smallCaps w:val="false"/>
          <w:sz w:val="20"/>
        </w:rPr>
        <w:t> (Financial risk management and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500" w:right="0" w:hanging="500"/>
        <w:jc w:val="left"/>
        <w:rPr/>
      </w:pPr>
      <w:r>
        <w:rPr>
          <w:rFonts w:ascii="Times New Roman;Times;serif" w:hAnsi="Times New Roman;Times;serif"/>
          <w:b/>
          <w:caps w:val="false"/>
          <w:smallCaps w:val="false"/>
          <w:sz w:val="20"/>
        </w:rPr>
        <w:t xml:space="preserve">Note </w:t>
      </w:r>
      <w:r>
        <w:rPr>
          <w:rStyle w:val="Emphasis"/>
          <w:rFonts w:ascii="Times New Roman;Times;serif" w:hAnsi="Times New Roman;Times;serif"/>
          <w:b/>
          <w:caps w:val="false"/>
          <w:smallCaps w:val="false"/>
          <w:sz w:val="20"/>
        </w:rPr>
        <w:t>9.</w:t>
      </w:r>
      <w:r>
        <w:rPr>
          <w:rFonts w:ascii="Times New Roman;Times;serif" w:hAnsi="Times New Roman;Times;serif"/>
          <w:b/>
          <w:caps w:val="false"/>
          <w:smallCaps w:val="false"/>
          <w:sz w:val="20"/>
        </w:rPr>
        <w:t xml:space="preserve"> Bank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Times;serif" w:hAnsi="Times New Roman;Times;serif"/>
          <w:caps w:val="false"/>
          <w:smallCaps w:val="false"/>
          <w:sz w:val="20"/>
        </w:rPr>
        <w:t xml:space="preserve">Aphria Inc., a subsidiary of the Company, has an operating line of credit in the amount of C$1,000, which bears interest at the lender’s prime rate plus 75 basis points. As of </w:t>
      </w:r>
      <w:r>
        <w:rPr>
          <w:rStyle w:val="Emphasis"/>
          <w:rFonts w:ascii="Times New Roman;Times;serif" w:hAnsi="Times New Roman;Times;serif"/>
          <w:caps w:val="false"/>
          <w:smallCaps w:val="false"/>
          <w:sz w:val="20"/>
        </w:rPr>
        <w:t>August 31, 2026</w:t>
      </w:r>
      <w:r>
        <w:rPr>
          <w:rFonts w:ascii="Times New Roman;Times;serif" w:hAnsi="Times New Roman;Times;serif"/>
          <w:caps w:val="false"/>
          <w:smallCaps w:val="false"/>
          <w:sz w:val="20"/>
        </w:rPr>
        <w:t xml:space="preserve">, the Company has not drawn on this line of credit. The operating line of credit is secured by a security interest on certain real property located at </w:t>
      </w:r>
      <w:r>
        <w:rPr>
          <w:rStyle w:val="Emphasis"/>
          <w:rFonts w:ascii="Times New Roman;Times;serif" w:hAnsi="Times New Roman;Times;serif"/>
          <w:caps w:val="false"/>
          <w:smallCaps w:val="false"/>
          <w:sz w:val="20"/>
        </w:rPr>
        <w:t>265</w:t>
      </w:r>
      <w:r>
        <w:rPr>
          <w:rFonts w:ascii="Times New Roman;Times;serif" w:hAnsi="Times New Roman;Times;serif"/>
          <w:caps w:val="false"/>
          <w:smallCaps w:val="false"/>
          <w:sz w:val="20"/>
        </w:rPr>
        <w:t xml:space="preserve"> Talbot St. West, Leamington, Ontario.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Times;serif" w:hAnsi="Times New Roman;Times;serif"/>
          <w:caps w:val="false"/>
          <w:smallCaps w:val="false"/>
          <w:sz w:val="20"/>
        </w:rPr>
        <w:t xml:space="preserve">CC Pharma GmbH, a subsidiary of the Company, has two operating lines of credit in the amounts of €7,000 and €500. These lines bear interest at Euro Short-Term Rate (“ESTR”) plus 2.50% and Euro Interbank Offered Rate (“EURIBOR”) plus 4.00%, respectively. As of </w:t>
      </w:r>
      <w:r>
        <w:rPr>
          <w:rStyle w:val="Emphasis"/>
          <w:rFonts w:ascii="Times New Roman;Times;serif" w:hAnsi="Times New Roman;Times;serif"/>
          <w:caps w:val="false"/>
          <w:smallCaps w:val="false"/>
          <w:sz w:val="20"/>
        </w:rPr>
        <w:t>August 31, 2026</w:t>
      </w:r>
      <w:r>
        <w:rPr>
          <w:rFonts w:ascii="Times New Roman;Times;serif" w:hAnsi="Times New Roman;Times;serif"/>
          <w:caps w:val="false"/>
          <w:smallCaps w:val="false"/>
          <w:sz w:val="20"/>
        </w:rPr>
        <w:t>, a total of €7,490 ($8,688) was drawn down from the total available credit of €7,500. The operating line of credit for €7,000 is secured by an interest in the inventory of CC Pharma GmbH as well as the Densborn, Germany production facility and underlying real property. The operating line of credit for €500 is unsecured.</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July 24, 2026, </w:t>
      </w:r>
      <w:r>
        <w:rPr>
          <w:rFonts w:ascii="Times New Roman" w:hAnsi="Times New Roman"/>
          <w:caps w:val="false"/>
          <w:smallCaps w:val="false"/>
          <w:sz w:val="20"/>
        </w:rPr>
        <w:t xml:space="preserve">American Beverage Crafts Group Inc. (“ABC Group”), a wholly-owned subsidiary of the Company, entered into a Sixth Amendment to Credit Agreement (the “Sixth Amendment”) with Bank of America, N.A., in its capacity as Administrative Agent, and certain other guarantors and lenders which are a party thereto. Specifically, the Sixth Amendment amends the Credit Agreement dated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and, among other things, reflects revisions to the Company's credit facilities, including a reduction in the revolving commitments from $25,000 to $15,000 and modifications to certain financial covenants. As of </w:t>
      </w:r>
      <w:r>
        <w:rPr>
          <w:rStyle w:val="Emphasis"/>
          <w:rFonts w:ascii="Times New Roman" w:hAnsi="Times New Roman"/>
          <w:caps w:val="false"/>
          <w:smallCaps w:val="false"/>
          <w:sz w:val="20"/>
        </w:rPr>
        <w:t xml:space="preserve"> August 31, 2026</w:t>
      </w:r>
      <w:r>
        <w:rPr>
          <w:rFonts w:ascii="Times New Roman" w:hAnsi="Times New Roman"/>
          <w:caps w:val="false"/>
          <w:smallCaps w:val="false"/>
          <w:sz w:val="20"/>
        </w:rPr>
        <w:t>, the Company has drawn $nil on the revolving line of credit under the ABC Group Credit Agreement.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26</w:t>
      </w:r>
      <w:r>
        <w:rPr>
          <w:rFonts w:ascii="Times New Roman" w:hAnsi="Times New Roman"/>
          <w:caps w:val="false"/>
          <w:smallCaps w:val="false"/>
          <w:sz w:val="20"/>
        </w:rPr>
        <w:t xml:space="preserve"> (Subsequent events) for additional details after the period, with respect to the Seventh Amendment. As a result of this,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the ability to draw on the revolving line of credit of $15,000 until covenant tests are once again tested.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500" w:right="0" w:hanging="50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Accounts payable and accrued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Accounts payable and accrued liabilities are comprised of:</w:t>
      </w:r>
    </w:p>
    <w:p>
      <w:pPr>
        <w:pStyle w:val="TextBody"/>
        <w:bidi w:val="0"/>
        <w:spacing w:before="0" w:after="0"/>
        <w:ind w:left="0" w:right="0" w:hanging="0"/>
        <w:jc w:val="left"/>
        <w:rPr>
          <w:caps w:val="false"/>
          <w:smallCaps w:val="false"/>
        </w:rPr>
      </w:pPr>
      <w:r>
        <w:rPr>
          <w:caps w:val="false"/>
          <w:smallCaps w:val="false"/>
        </w:rPr>
        <w:t> </w:t>
      </w:r>
    </w:p>
    <w:tbl>
      <w:tblPr>
        <w:tblW w:w="5764" w:type="dxa"/>
        <w:jc w:val="left"/>
        <w:tblInd w:w="0" w:type="dxa"/>
        <w:tblLayout w:type="fixed"/>
        <w:tblCellMar>
          <w:top w:w="0" w:type="dxa"/>
          <w:left w:w="0" w:type="dxa"/>
          <w:bottom w:w="0" w:type="dxa"/>
          <w:right w:w="0" w:type="dxa"/>
        </w:tblCellMar>
      </w:tblPr>
      <w:tblGrid>
        <w:gridCol w:w="3800"/>
        <w:gridCol w:w="60"/>
        <w:gridCol w:w="137"/>
        <w:gridCol w:w="767"/>
        <w:gridCol w:w="60"/>
        <w:gridCol w:w="60"/>
        <w:gridCol w:w="125"/>
        <w:gridCol w:w="695"/>
        <w:gridCol w:w="60"/>
      </w:tblGrid>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August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May 31,</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8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2026</w:t>
            </w:r>
          </w:p>
        </w:tc>
        <w:tc>
          <w:tcPr>
            <w:tcW w:w="60" w:type="dxa"/>
            <w:tcBorders/>
            <w:shd w:fill="FFFFFF" w:val="clear"/>
            <w:vAlign w:val="center"/>
          </w:tcPr>
          <w:p>
            <w:pPr>
              <w:pStyle w:val="TableContents"/>
              <w:bidi w:val="0"/>
              <w:spacing w:before="0" w:after="0"/>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 payables</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114,538</w:t>
            </w:r>
          </w:p>
        </w:tc>
        <w:tc>
          <w:tcPr>
            <w:tcW w:w="6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135,906</w:t>
            </w:r>
          </w:p>
        </w:tc>
        <w:tc>
          <w:tcPr>
            <w:tcW w:w="6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Litigation accruals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11,931</w:t>
            </w:r>
          </w:p>
        </w:tc>
        <w:tc>
          <w:tcPr>
            <w:tcW w:w="6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payroll and employment related taxes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20,013</w:t>
            </w:r>
          </w:p>
        </w:tc>
        <w:tc>
          <w:tcPr>
            <w:tcW w:w="6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12,667</w:t>
            </w:r>
          </w:p>
        </w:tc>
        <w:tc>
          <w:tcPr>
            <w:tcW w:w="6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interest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3,258</w:t>
            </w:r>
          </w:p>
        </w:tc>
        <w:tc>
          <w:tcPr>
            <w:tcW w:w="6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taxes payable</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19,775</w:t>
            </w:r>
          </w:p>
        </w:tc>
        <w:tc>
          <w:tcPr>
            <w:tcW w:w="6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335,415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318,088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500" w:right="0" w:hanging="50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Long-term debt</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net carrying amount of long-term debt instruments: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46"/>
        <w:gridCol w:w="60"/>
        <w:gridCol w:w="130"/>
        <w:gridCol w:w="728"/>
        <w:gridCol w:w="80"/>
        <w:gridCol w:w="60"/>
        <w:gridCol w:w="125"/>
        <w:gridCol w:w="695"/>
        <w:gridCol w:w="81"/>
      </w:tblGrid>
      <w:tr>
        <w:trPr/>
        <w:tc>
          <w:tcPr>
            <w:tcW w:w="8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August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81" w:type="dxa"/>
            <w:tcBorders/>
            <w:shd w:fill="FFFFFF" w:val="clear"/>
            <w:vAlign w:val="center"/>
          </w:tcPr>
          <w:p>
            <w:pPr>
              <w:pStyle w:val="TableContents"/>
              <w:bidi w:val="0"/>
              <w:spacing w:before="0" w:after="283"/>
              <w:jc w:val="left"/>
              <w:rPr/>
            </w:pPr>
            <w:r>
              <w:rPr/>
              <w:t> </w:t>
            </w:r>
          </w:p>
        </w:tc>
      </w:tr>
      <w:tr>
        <w:trPr/>
        <w:tc>
          <w:tcPr>
            <w:tcW w:w="8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1" w:type="dxa"/>
            <w:tcBorders/>
            <w:shd w:fill="FFFFFF" w:val="clear"/>
            <w:vAlign w:val="center"/>
          </w:tcPr>
          <w:p>
            <w:pPr>
              <w:pStyle w:val="TableContents"/>
              <w:bidi w:val="0"/>
              <w:spacing w:before="0" w:after="283"/>
              <w:jc w:val="left"/>
              <w:rPr/>
            </w:pPr>
            <w:r>
              <w:rPr/>
              <w:t> </w:t>
            </w:r>
          </w:p>
        </w:tc>
      </w:tr>
      <w:tr>
        <w:trPr/>
        <w:tc>
          <w:tcPr>
            <w:tcW w:w="824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Term loan - C$53,000 - Canadian prime plus an applicable margin, 3-year term, with a 10-year amortization, repayable in equal quarterly payments due in February 2028</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34,310</w:t>
            </w:r>
          </w:p>
        </w:tc>
        <w:tc>
          <w:tcPr>
            <w:tcW w:w="81" w:type="dxa"/>
            <w:tcBorders/>
            <w:shd w:fill="CCEEFF" w:val="clear"/>
            <w:vAlign w:val="center"/>
          </w:tcPr>
          <w:p>
            <w:pPr>
              <w:pStyle w:val="TableContents"/>
              <w:bidi w:val="0"/>
              <w:spacing w:before="0" w:after="283"/>
              <w:jc w:val="left"/>
              <w:rPr/>
            </w:pPr>
            <w:r>
              <w:rPr/>
              <w:t> </w:t>
            </w:r>
          </w:p>
        </w:tc>
      </w:tr>
      <w:tr>
        <w:trPr/>
        <w:tc>
          <w:tcPr>
            <w:tcW w:w="824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Term loan - C$25,000 - Canadian prime plus 1.00%, compounded monthly, 5-year term, with a 15-year amortization, repayable in equal monthly installments of C$181 including interest, due in July 2033</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8,420</w:t>
            </w:r>
          </w:p>
        </w:tc>
        <w:tc>
          <w:tcPr>
            <w:tcW w:w="81" w:type="dxa"/>
            <w:tcBorders/>
            <w:shd w:fill="FFFFFF" w:val="clear"/>
            <w:vAlign w:val="center"/>
          </w:tcPr>
          <w:p>
            <w:pPr>
              <w:pStyle w:val="TableContents"/>
              <w:bidi w:val="0"/>
              <w:spacing w:before="0" w:after="283"/>
              <w:jc w:val="left"/>
              <w:rPr/>
            </w:pPr>
            <w:r>
              <w:rPr/>
              <w:t> </w:t>
            </w:r>
          </w:p>
        </w:tc>
      </w:tr>
      <w:tr>
        <w:trPr/>
        <w:tc>
          <w:tcPr>
            <w:tcW w:w="824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Term loan - C$25,000 - Canadian prime plus 1.00%, compounded monthly, 5-year term, with a 15-year amortization, repayable in equal monthly installments of C$196 including interest, due in July 2033</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9,923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10,356</w:t>
            </w:r>
          </w:p>
        </w:tc>
        <w:tc>
          <w:tcPr>
            <w:tcW w:w="81" w:type="dxa"/>
            <w:tcBorders/>
            <w:shd w:fill="CCEEFF" w:val="clear"/>
            <w:vAlign w:val="center"/>
          </w:tcPr>
          <w:p>
            <w:pPr>
              <w:pStyle w:val="TableContents"/>
              <w:bidi w:val="0"/>
              <w:spacing w:before="0" w:after="283"/>
              <w:jc w:val="left"/>
              <w:rPr/>
            </w:pPr>
            <w:r>
              <w:rPr/>
              <w:t> </w:t>
            </w:r>
          </w:p>
        </w:tc>
      </w:tr>
      <w:tr>
        <w:trPr/>
        <w:tc>
          <w:tcPr>
            <w:tcW w:w="824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Term loan - C$1,250 - Canadian prime plus 1.50%, 5-year term, with a 10-year amortization, repayable in equal monthly installments of C$12 including interest, due in August 2026</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w:t>
            </w:r>
          </w:p>
        </w:tc>
        <w:tc>
          <w:tcPr>
            <w:tcW w:w="81" w:type="dxa"/>
            <w:tcBorders/>
            <w:shd w:fill="FFFFFF" w:val="clear"/>
            <w:vAlign w:val="center"/>
          </w:tcPr>
          <w:p>
            <w:pPr>
              <w:pStyle w:val="TableContents"/>
              <w:bidi w:val="0"/>
              <w:spacing w:before="0" w:after="283"/>
              <w:jc w:val="left"/>
              <w:rPr/>
            </w:pPr>
            <w:r>
              <w:rPr/>
              <w:t> </w:t>
            </w:r>
          </w:p>
        </w:tc>
      </w:tr>
      <w:tr>
        <w:trPr/>
        <w:tc>
          <w:tcPr>
            <w:tcW w:w="824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Mortgage payable - C$3,750 - Canadian prime plus 1.50%, 5-year term, with a 20-year amortization, repayable in equal monthly installments of C$23 including interest, due in August 2041</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1,890</w:t>
            </w:r>
          </w:p>
        </w:tc>
        <w:tc>
          <w:tcPr>
            <w:tcW w:w="81" w:type="dxa"/>
            <w:tcBorders/>
            <w:shd w:fill="CCEEFF" w:val="clear"/>
            <w:vAlign w:val="center"/>
          </w:tcPr>
          <w:p>
            <w:pPr>
              <w:pStyle w:val="TableContents"/>
              <w:bidi w:val="0"/>
              <w:spacing w:before="0" w:after="283"/>
              <w:jc w:val="left"/>
              <w:rPr/>
            </w:pPr>
            <w:r>
              <w:rPr/>
              <w:t> </w:t>
            </w:r>
          </w:p>
        </w:tc>
      </w:tr>
      <w:tr>
        <w:trPr/>
        <w:tc>
          <w:tcPr>
            <w:tcW w:w="824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Term loan ‐ €3,500 ‐ at 4.59%, 5‐year term, repayable in monthly installments of €52 plus interest, due in August 2028</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1,822</w:t>
            </w:r>
          </w:p>
        </w:tc>
        <w:tc>
          <w:tcPr>
            <w:tcW w:w="81" w:type="dxa"/>
            <w:tcBorders/>
            <w:shd w:fill="FFFFFF" w:val="clear"/>
            <w:vAlign w:val="center"/>
          </w:tcPr>
          <w:p>
            <w:pPr>
              <w:pStyle w:val="TableContents"/>
              <w:bidi w:val="0"/>
              <w:spacing w:before="0" w:after="283"/>
              <w:jc w:val="left"/>
              <w:rPr/>
            </w:pPr>
            <w:r>
              <w:rPr/>
              <w:t> </w:t>
            </w:r>
          </w:p>
        </w:tc>
      </w:tr>
      <w:tr>
        <w:trPr/>
        <w:tc>
          <w:tcPr>
            <w:tcW w:w="824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Mortgage payable - $22,635 - EURIBOR rate plus 1.5%, 10-year term, repayable in monthly installments of $57 to $69, due in October 2030</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18,480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18,669</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24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Term loan - $90,000 - SOFR plus an applicable margin, 5-year term, repayable in quarterly installments of $875 to $2,250 due in June 2028</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62,000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63,688</w:t>
            </w:r>
          </w:p>
        </w:tc>
        <w:tc>
          <w:tcPr>
            <w:tcW w:w="81" w:type="dxa"/>
            <w:tcBorders/>
            <w:shd w:fill="FFFFFF" w:val="clear"/>
            <w:vAlign w:val="center"/>
          </w:tcPr>
          <w:p>
            <w:pPr>
              <w:pStyle w:val="TableContents"/>
              <w:bidi w:val="0"/>
              <w:spacing w:before="0" w:after="0"/>
              <w:jc w:val="left"/>
              <w:rPr/>
            </w:pPr>
            <w:r>
              <w:rPr/>
              <w:t> </w:t>
            </w:r>
          </w:p>
        </w:tc>
      </w:tr>
      <w:tr>
        <w:trPr/>
        <w:tc>
          <w:tcPr>
            <w:tcW w:w="824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Carrying amount of long-term debt</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134,301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139,178</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24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Unamortized financing fees</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(798</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(593</w:t>
            </w:r>
          </w:p>
        </w:tc>
        <w:tc>
          <w:tcPr>
            <w:tcW w:w="8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824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carrying amount</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133,503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138,585</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24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principal portion included in 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(15,457</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(18,160</w:t>
            </w:r>
          </w:p>
        </w:tc>
        <w:tc>
          <w:tcPr>
            <w:tcW w:w="8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824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non-current portion of long-term debt</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118,046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120,425</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24, 2026, </w:t>
      </w:r>
      <w:r>
        <w:rPr>
          <w:rFonts w:ascii="Times New Roman" w:hAnsi="Times New Roman"/>
          <w:caps w:val="false"/>
          <w:smallCaps w:val="false"/>
          <w:sz w:val="20"/>
        </w:rPr>
        <w:t xml:space="preserve">ABC Group entered into the Sixth Amendment with Bank of America, and the lenders which are a party thereto. The Sixth Amendment amends the Credit Agreement and, among other things, reflects revisions to the Company’s credit facilities, including a reduction in the revolving commitments from $25,000 to $15,000 and modifications to certain of the financial covenants. The Sixth Amendment also acknowledges a voluntary prepayment of $10,000, which was made on </w:t>
      </w:r>
      <w:r>
        <w:rPr>
          <w:rStyle w:val="Emphasis"/>
          <w:rFonts w:ascii="Times New Roman" w:hAnsi="Times New Roman"/>
          <w:caps w:val="false"/>
          <w:smallCaps w:val="false"/>
          <w:sz w:val="20"/>
        </w:rPr>
        <w:t xml:space="preserve">May 29, 2026, </w:t>
      </w:r>
      <w:r>
        <w:rPr>
          <w:rFonts w:ascii="Times New Roman" w:hAnsi="Times New Roman"/>
          <w:caps w:val="false"/>
          <w:smallCaps w:val="false"/>
          <w:sz w:val="20"/>
        </w:rPr>
        <w:t>and includes various amendments, consents and other provisions relating to certain corporate and financing transactions.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26</w:t>
      </w:r>
      <w:r>
        <w:rPr>
          <w:rFonts w:ascii="Times New Roman" w:hAnsi="Times New Roman"/>
          <w:caps w:val="false"/>
          <w:smallCaps w:val="false"/>
          <w:sz w:val="20"/>
        </w:rPr>
        <w:t xml:space="preserve"> (Subsequent events) for additional details after the period, with respect to the Seventh Amendment.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500" w:right="0" w:hanging="50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Convertible debentures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net carrying amount of the convertible debentures payable:</w:t>
      </w:r>
    </w:p>
    <w:p>
      <w:pPr>
        <w:pStyle w:val="TextBody"/>
        <w:bidi w:val="0"/>
        <w:spacing w:before="0" w:after="0"/>
        <w:ind w:left="0" w:right="0" w:hanging="0"/>
        <w:jc w:val="left"/>
        <w:rPr>
          <w:caps w:val="false"/>
          <w:smallCaps w:val="false"/>
        </w:rPr>
      </w:pPr>
      <w:r>
        <w:rPr>
          <w:caps w:val="false"/>
          <w:smallCaps w:val="false"/>
        </w:rPr>
        <w:t> </w:t>
      </w:r>
    </w:p>
    <w:tbl>
      <w:tblPr>
        <w:tblW w:w="7234" w:type="dxa"/>
        <w:jc w:val="left"/>
        <w:tblInd w:w="0" w:type="dxa"/>
        <w:tblLayout w:type="fixed"/>
        <w:tblCellMar>
          <w:top w:w="0" w:type="dxa"/>
          <w:left w:w="0" w:type="dxa"/>
          <w:bottom w:w="0" w:type="dxa"/>
          <w:right w:w="0" w:type="dxa"/>
        </w:tblCellMar>
      </w:tblPr>
      <w:tblGrid>
        <w:gridCol w:w="5375"/>
        <w:gridCol w:w="60"/>
        <w:gridCol w:w="158"/>
        <w:gridCol w:w="746"/>
        <w:gridCol w:w="60"/>
        <w:gridCol w:w="60"/>
        <w:gridCol w:w="125"/>
        <w:gridCol w:w="590"/>
        <w:gridCol w:w="60"/>
      </w:tblGrid>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August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53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5.20% Convertible Notes (“TLRY 27 Notes”), current portion</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4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59,224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53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5.20% Convertible Notes (“TLRY 27 Notes”), non-current portion</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79,529</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53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convertible debentures payable</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59,224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79,529</w:t>
            </w:r>
          </w:p>
        </w:tc>
        <w:tc>
          <w:tcPr>
            <w:tcW w:w="6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ind w:left="500" w:right="0" w:hanging="0"/>
        <w:jc w:val="left"/>
        <w:rPr/>
      </w:pPr>
      <w:r>
        <w:rPr>
          <w:rFonts w:ascii="Times New Roman" w:hAnsi="Times New Roman"/>
          <w:i/>
          <w:caps w:val="false"/>
          <w:smallCaps w:val="false"/>
          <w:sz w:val="20"/>
        </w:rPr>
        <w:t xml:space="preserve">TLRY </w:t>
      </w:r>
      <w:r>
        <w:rPr>
          <w:rStyle w:val="Emphasis"/>
          <w:rFonts w:ascii="Times New Roman" w:hAnsi="Times New Roman"/>
          <w:i/>
          <w:caps w:val="false"/>
          <w:smallCaps w:val="false"/>
          <w:sz w:val="20"/>
        </w:rPr>
        <w:t>27</w:t>
      </w:r>
      <w:r>
        <w:rPr>
          <w:rFonts w:ascii="Times New Roman" w:hAnsi="Times New Roman"/>
          <w:i/>
          <w:caps w:val="false"/>
          <w:smallCaps w:val="false"/>
          <w:sz w:val="20"/>
        </w:rPr>
        <w:t xml:space="preserve"> Notes</w:t>
      </w:r>
    </w:p>
    <w:p>
      <w:pPr>
        <w:pStyle w:val="TextBody"/>
        <w:bidi w:val="0"/>
        <w:spacing w:before="0" w:after="0"/>
        <w:ind w:left="500" w:right="0" w:hanging="0"/>
        <w:jc w:val="left"/>
        <w:rPr>
          <w:caps w:val="false"/>
          <w:smallCaps w:val="false"/>
        </w:rPr>
      </w:pPr>
      <w:r>
        <w:rPr>
          <w:caps w:val="false"/>
          <w:smallCaps w:val="false"/>
        </w:rPr>
        <w:t> </w:t>
      </w:r>
    </w:p>
    <w:tbl>
      <w:tblPr>
        <w:tblW w:w="4409" w:type="dxa"/>
        <w:jc w:val="left"/>
        <w:tblInd w:w="0" w:type="dxa"/>
        <w:tblLayout w:type="fixed"/>
        <w:tblCellMar>
          <w:top w:w="0" w:type="dxa"/>
          <w:left w:w="0" w:type="dxa"/>
          <w:bottom w:w="0" w:type="dxa"/>
          <w:right w:w="0" w:type="dxa"/>
        </w:tblCellMar>
      </w:tblPr>
      <w:tblGrid>
        <w:gridCol w:w="2405"/>
        <w:gridCol w:w="60"/>
        <w:gridCol w:w="128"/>
        <w:gridCol w:w="776"/>
        <w:gridCol w:w="80"/>
        <w:gridCol w:w="60"/>
        <w:gridCol w:w="125"/>
        <w:gridCol w:w="695"/>
        <w:gridCol w:w="80"/>
      </w:tblGrid>
      <w:tr>
        <w:trPr/>
        <w:tc>
          <w:tcPr>
            <w:tcW w:w="2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August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5.20% Contractual debenture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172,500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172,500</w:t>
            </w:r>
          </w:p>
        </w:tc>
        <w:tc>
          <w:tcPr>
            <w:tcW w:w="8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Debt settlement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(108,500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(84,500</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4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Unamortized discount</w:t>
            </w:r>
          </w:p>
        </w:tc>
        <w:tc>
          <w:tcPr>
            <w:tcW w:w="60" w:type="dxa"/>
            <w:tcBorders/>
            <w:shd w:fill="CCEEFF" w:val="clear"/>
            <w:vAlign w:val="center"/>
          </w:tcPr>
          <w:p>
            <w:pPr>
              <w:pStyle w:val="TableContents"/>
              <w:bidi w:val="0"/>
              <w:spacing w:before="0" w:after="0"/>
              <w:ind w:left="0" w:right="0" w:hanging="0"/>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(4,776</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(8,471</w:t>
            </w:r>
          </w:p>
        </w:tc>
        <w:tc>
          <w:tcPr>
            <w:tcW w:w="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4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carrying amount</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79,529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50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TLRY </w:t>
      </w:r>
      <w:r>
        <w:rPr>
          <w:rStyle w:val="Emphasis"/>
          <w:rFonts w:ascii="Times New Roman" w:hAnsi="Times New Roman"/>
          <w:caps w:val="false"/>
          <w:smallCaps w:val="false"/>
          <w:sz w:val="20"/>
        </w:rPr>
        <w:t>27</w:t>
      </w:r>
      <w:r>
        <w:rPr>
          <w:rFonts w:ascii="Times New Roman" w:hAnsi="Times New Roman"/>
          <w:caps w:val="false"/>
          <w:smallCaps w:val="false"/>
          <w:sz w:val="20"/>
        </w:rPr>
        <w:t> convertible debentures were issued on </w:t>
      </w:r>
      <w:r>
        <w:rPr>
          <w:rStyle w:val="Emphasis"/>
          <w:rFonts w:ascii="Times New Roman" w:hAnsi="Times New Roman"/>
          <w:caps w:val="false"/>
          <w:smallCaps w:val="false"/>
          <w:sz w:val="20"/>
        </w:rPr>
        <w:t xml:space="preserve"> May 30, 2023 </w:t>
      </w:r>
      <w:r>
        <w:rPr>
          <w:rFonts w:ascii="Times New Roman" w:hAnsi="Times New Roman"/>
          <w:caps w:val="false"/>
          <w:smallCaps w:val="false"/>
          <w:sz w:val="20"/>
        </w:rPr>
        <w:t xml:space="preserve">and on </w:t>
      </w:r>
      <w:r>
        <w:rPr>
          <w:rStyle w:val="Emphasis"/>
          <w:rFonts w:ascii="Times New Roman" w:hAnsi="Times New Roman"/>
          <w:caps w:val="false"/>
          <w:smallCaps w:val="false"/>
          <w:sz w:val="20"/>
        </w:rPr>
        <w:t xml:space="preserve">June 9, 2023 </w:t>
      </w:r>
      <w:r>
        <w:rPr>
          <w:rFonts w:ascii="Times New Roman" w:hAnsi="Times New Roman"/>
          <w:caps w:val="false"/>
          <w:smallCaps w:val="false"/>
          <w:sz w:val="20"/>
        </w:rPr>
        <w:t xml:space="preserve">by way of overallotment, in the principal amount of $172,500 (the “TLRY </w:t>
      </w:r>
      <w:r>
        <w:rPr>
          <w:rStyle w:val="Emphasis"/>
          <w:rFonts w:ascii="Times New Roman" w:hAnsi="Times New Roman"/>
          <w:caps w:val="false"/>
          <w:smallCaps w:val="false"/>
          <w:sz w:val="20"/>
        </w:rPr>
        <w:t>27</w:t>
      </w:r>
      <w:r>
        <w:rPr>
          <w:rFonts w:ascii="Times New Roman" w:hAnsi="Times New Roman"/>
          <w:caps w:val="false"/>
          <w:smallCaps w:val="false"/>
          <w:sz w:val="20"/>
        </w:rPr>
        <w:t xml:space="preserve"> Notes”). The TLRY </w:t>
      </w:r>
      <w:r>
        <w:rPr>
          <w:rStyle w:val="Emphasis"/>
          <w:rFonts w:ascii="Times New Roman" w:hAnsi="Times New Roman"/>
          <w:caps w:val="false"/>
          <w:smallCaps w:val="false"/>
          <w:sz w:val="20"/>
        </w:rPr>
        <w:t>27</w:t>
      </w:r>
      <w:r>
        <w:rPr>
          <w:rFonts w:ascii="Times New Roman" w:hAnsi="Times New Roman"/>
          <w:caps w:val="false"/>
          <w:smallCaps w:val="false"/>
          <w:sz w:val="20"/>
        </w:rPr>
        <w:t xml:space="preserve"> Notes bear interest at a rate of 5.20% per annum, payable semi-annually in arrears on </w:t>
      </w:r>
      <w:r>
        <w:rPr>
          <w:rStyle w:val="Emphasis"/>
          <w:rFonts w:ascii="Times New Roman" w:hAnsi="Times New Roman"/>
          <w:caps w:val="false"/>
          <w:smallCaps w:val="false"/>
          <w:sz w:val="20"/>
        </w:rPr>
        <w:t xml:space="preserve"> June 15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15 </w:t>
      </w:r>
      <w:r>
        <w:rPr>
          <w:rFonts w:ascii="Times New Roman" w:hAnsi="Times New Roman"/>
          <w:caps w:val="false"/>
          <w:smallCaps w:val="false"/>
          <w:sz w:val="20"/>
        </w:rPr>
        <w:t>of each year, and mature on </w:t>
      </w:r>
      <w:r>
        <w:rPr>
          <w:rStyle w:val="Emphasis"/>
          <w:rFonts w:ascii="Times New Roman" w:hAnsi="Times New Roman"/>
          <w:caps w:val="false"/>
          <w:smallCaps w:val="false"/>
          <w:sz w:val="20"/>
        </w:rPr>
        <w:t xml:space="preserve"> June 15, 2027, </w:t>
      </w:r>
      <w:r>
        <w:rPr>
          <w:rFonts w:ascii="Times New Roman" w:hAnsi="Times New Roman"/>
          <w:caps w:val="false"/>
          <w:smallCaps w:val="false"/>
          <w:sz w:val="20"/>
        </w:rPr>
        <w:t xml:space="preserve">unless earlier converted. The TLRY </w:t>
      </w:r>
      <w:r>
        <w:rPr>
          <w:rStyle w:val="Emphasis"/>
          <w:rFonts w:ascii="Times New Roman" w:hAnsi="Times New Roman"/>
          <w:caps w:val="false"/>
          <w:smallCaps w:val="false"/>
          <w:sz w:val="20"/>
        </w:rPr>
        <w:t>27</w:t>
      </w:r>
      <w:r>
        <w:rPr>
          <w:rFonts w:ascii="Times New Roman" w:hAnsi="Times New Roman"/>
          <w:caps w:val="false"/>
          <w:smallCaps w:val="false"/>
          <w:sz w:val="20"/>
        </w:rPr>
        <w:t xml:space="preserve"> Notes are Tilray’s general unsecured obligations and rank senior in right of payment to all of Tilray’s indebtedness that is expressly subordinated in right of payment to the notes; equal in right of payment with any of Tilray’s unsecured indebtedness that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so subordinated, effectively junior in right of payment to any of Tilray’s secured indebtedness to the extent of the value of the assets securing such indebtedness; and structurally junior to all indebtedness and other liabilities (including trade payables but excluding intercompany obligations) of Tilray’s current or future subsidiaries. Noteholders have the right to convert their TLRY </w:t>
      </w:r>
      <w:r>
        <w:rPr>
          <w:rStyle w:val="Emphasis"/>
          <w:rFonts w:ascii="Times New Roman" w:hAnsi="Times New Roman"/>
          <w:caps w:val="false"/>
          <w:smallCaps w:val="false"/>
          <w:sz w:val="20"/>
        </w:rPr>
        <w:t>27</w:t>
      </w:r>
      <w:r>
        <w:rPr>
          <w:rFonts w:ascii="Times New Roman" w:hAnsi="Times New Roman"/>
          <w:caps w:val="false"/>
          <w:smallCaps w:val="false"/>
          <w:sz w:val="20"/>
        </w:rPr>
        <w:t> Notes into shares of Tilray’s Common Stock at their option, at any time, until the close of business on the </w:t>
      </w:r>
      <w:r>
        <w:rPr>
          <w:rStyle w:val="Emphasis"/>
          <w:rFonts w:ascii="Times New Roman" w:hAnsi="Times New Roman"/>
          <w:caps w:val="false"/>
          <w:smallCaps w:val="false"/>
          <w:sz w:val="20"/>
        </w:rPr>
        <w:t>second</w:t>
      </w:r>
      <w:r>
        <w:rPr>
          <w:rFonts w:ascii="Times New Roman" w:hAnsi="Times New Roman"/>
          <w:caps w:val="false"/>
          <w:smallCaps w:val="false"/>
          <w:sz w:val="20"/>
        </w:rPr>
        <w:t> scheduled trading day immediately before </w:t>
      </w:r>
      <w:r>
        <w:rPr>
          <w:rStyle w:val="Emphasis"/>
          <w:rFonts w:ascii="Times New Roman" w:hAnsi="Times New Roman"/>
          <w:caps w:val="false"/>
          <w:smallCaps w:val="false"/>
          <w:sz w:val="20"/>
        </w:rPr>
        <w:t xml:space="preserve"> June 15, 2027. </w:t>
      </w:r>
      <w:r>
        <w:rPr>
          <w:rFonts w:ascii="Times New Roman" w:hAnsi="Times New Roman"/>
          <w:caps w:val="false"/>
          <w:smallCaps w:val="false"/>
          <w:sz w:val="20"/>
        </w:rPr>
        <w:t>The initial conversion rate is approximately 37.66 shares per $1,000 principal amount of TLRY </w:t>
      </w:r>
      <w:r>
        <w:rPr>
          <w:rStyle w:val="Emphasis"/>
          <w:rFonts w:ascii="Times New Roman" w:hAnsi="Times New Roman"/>
          <w:caps w:val="false"/>
          <w:smallCaps w:val="false"/>
          <w:sz w:val="20"/>
        </w:rPr>
        <w:t>27</w:t>
      </w:r>
      <w:r>
        <w:rPr>
          <w:rFonts w:ascii="Times New Roman" w:hAnsi="Times New Roman"/>
          <w:caps w:val="false"/>
          <w:smallCaps w:val="false"/>
          <w:sz w:val="20"/>
        </w:rPr>
        <w:t> Notes, which represents a conversion price of approximately $26.55 per share. The conversion rate and conversion price is subject to adjustment upon the occurrence of certain events.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TLRY </w:t>
      </w:r>
      <w:r>
        <w:rPr>
          <w:rStyle w:val="Emphasis"/>
          <w:rFonts w:ascii="Times New Roman" w:hAnsi="Times New Roman"/>
          <w:caps w:val="false"/>
          <w:smallCaps w:val="false"/>
          <w:sz w:val="20"/>
        </w:rPr>
        <w:t>27</w:t>
      </w:r>
      <w:r>
        <w:rPr>
          <w:rFonts w:ascii="Times New Roman" w:hAnsi="Times New Roman"/>
          <w:caps w:val="false"/>
          <w:smallCaps w:val="false"/>
          <w:sz w:val="20"/>
        </w:rPr>
        <w:t> Notes are now redeemable, in whole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part, at Tilray’s option at a cash redemption price equal to the principal amount of the notes to be redeemed, plus accrued and unpaid interest, if any, to, but excluding, the redemption date, but only if the last reported sale price of Tilray’s Common Stock exceeds 130% of the conversion price for a specified period of time, which threshold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met. If certain corporate events that constitute a fundamental change occur, then, subject to a limited exception, noteholders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require Tilray to repurchase their TLRY </w:t>
      </w:r>
      <w:r>
        <w:rPr>
          <w:rStyle w:val="Emphasis"/>
          <w:rFonts w:ascii="Times New Roman" w:hAnsi="Times New Roman"/>
          <w:caps w:val="false"/>
          <w:smallCaps w:val="false"/>
          <w:sz w:val="20"/>
        </w:rPr>
        <w:t>27</w:t>
      </w:r>
      <w:r>
        <w:rPr>
          <w:rFonts w:ascii="Times New Roman" w:hAnsi="Times New Roman"/>
          <w:caps w:val="false"/>
          <w:smallCaps w:val="false"/>
          <w:sz w:val="20"/>
        </w:rPr>
        <w:t> Notes for cash. The repurchase price will be equal to the principal amount of the notes to be repurchased, plus accrued and unpaid interest, if any, up to, but excluding, the applicable repurchase date. In connection with the Company’s offering of the TLRY </w:t>
      </w:r>
      <w:r>
        <w:rPr>
          <w:rStyle w:val="Emphasis"/>
          <w:rFonts w:ascii="Times New Roman" w:hAnsi="Times New Roman"/>
          <w:caps w:val="false"/>
          <w:smallCaps w:val="false"/>
          <w:sz w:val="20"/>
        </w:rPr>
        <w:t>27</w:t>
      </w:r>
      <w:r>
        <w:rPr>
          <w:rFonts w:ascii="Times New Roman" w:hAnsi="Times New Roman"/>
          <w:caps w:val="false"/>
          <w:smallCaps w:val="false"/>
          <w:sz w:val="20"/>
        </w:rPr>
        <w:t xml:space="preserve"> Notes, the Company entered into a share lending agreement with an affiliate of Jefferies LLC (the “Share Borrower”), pursuant to which it lent 3,850,000 shares of the Company’s Common Stock to the Share Borrower (the “Borrowed Shares”). At the time of issuance, the Borrowed Shares were newly-issued shares, and are held as treasury shares until the expiration or early termination of the share lending agreement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used by purchasers of the TLRY </w:t>
      </w:r>
      <w:r>
        <w:rPr>
          <w:rStyle w:val="Emphasis"/>
          <w:rFonts w:ascii="Times New Roman" w:hAnsi="Times New Roman"/>
          <w:caps w:val="false"/>
          <w:smallCaps w:val="false"/>
          <w:sz w:val="20"/>
        </w:rPr>
        <w:t>27</w:t>
      </w:r>
      <w:r>
        <w:rPr>
          <w:rFonts w:ascii="Times New Roman" w:hAnsi="Times New Roman"/>
          <w:caps w:val="false"/>
          <w:smallCaps w:val="false"/>
          <w:sz w:val="20"/>
        </w:rPr>
        <w:t> Notes to sell up to 3,850,000 shares of the Company’s Common Stock. The fair value of the Borrowed Shares have been recorded as part of the unamortized discount on the debenture. The Company expects that the selling stockholders will use their position created by such sales to establish their initial hedge with respect to their investments in the TLRY </w:t>
      </w:r>
      <w:r>
        <w:rPr>
          <w:rStyle w:val="Emphasis"/>
          <w:rFonts w:ascii="Times New Roman" w:hAnsi="Times New Roman"/>
          <w:caps w:val="false"/>
          <w:smallCaps w:val="false"/>
          <w:sz w:val="20"/>
        </w:rPr>
        <w:t>27</w:t>
      </w:r>
      <w:r>
        <w:rPr>
          <w:rFonts w:ascii="Times New Roman" w:hAnsi="Times New Roman"/>
          <w:caps w:val="false"/>
          <w:smallCaps w:val="false"/>
          <w:sz w:val="20"/>
        </w:rPr>
        <w:t> Notes.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receive any proceeds from the sale of the Borrowed Shares.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 2026</w:t>
      </w:r>
      <w:r>
        <w:rPr>
          <w:rFonts w:ascii="Times New Roman" w:hAnsi="Times New Roman"/>
          <w:caps w:val="false"/>
          <w:smallCaps w:val="false"/>
          <w:sz w:val="20"/>
        </w:rPr>
        <w:t>, the Company exchanged an aggregate $24,000 of its TLRY </w:t>
      </w:r>
      <w:r>
        <w:rPr>
          <w:rStyle w:val="Emphasis"/>
          <w:rFonts w:ascii="Times New Roman" w:hAnsi="Times New Roman"/>
          <w:caps w:val="false"/>
          <w:smallCaps w:val="false"/>
          <w:sz w:val="20"/>
        </w:rPr>
        <w:t>27</w:t>
      </w:r>
      <w:r>
        <w:rPr>
          <w:rFonts w:ascii="Times New Roman" w:hAnsi="Times New Roman"/>
          <w:caps w:val="false"/>
          <w:smallCaps w:val="false"/>
          <w:sz w:val="20"/>
        </w:rPr>
        <w:t> Notes for cancellation, by issuing 5,229,861 shares of Common Stock and paying $218 in cash to settle accrued interest. Upon exchanging the TLRY </w:t>
      </w:r>
      <w:r>
        <w:rPr>
          <w:rStyle w:val="Emphasis"/>
          <w:rFonts w:ascii="Times New Roman" w:hAnsi="Times New Roman"/>
          <w:caps w:val="false"/>
          <w:smallCaps w:val="false"/>
          <w:sz w:val="20"/>
        </w:rPr>
        <w:t>27</w:t>
      </w:r>
      <w:r>
        <w:rPr>
          <w:rFonts w:ascii="Times New Roman" w:hAnsi="Times New Roman"/>
          <w:caps w:val="false"/>
          <w:smallCaps w:val="false"/>
          <w:sz w:val="20"/>
        </w:rPr>
        <w:t> Notes, a portion of the settlement consideration was allocated to the equity component of the instrument and was recognized as a $6,358 reduction of additional paid-in capital in the Consolidated Statements of Stockholders’ Equity. Additionally, this repurchase resulted in a gain of $3,495, which was recorded in other non-operating (losses) gains, net as shown in Note </w:t>
      </w:r>
      <w:r>
        <w:rPr>
          <w:rStyle w:val="Emphasis"/>
          <w:rFonts w:ascii="Times New Roman" w:hAnsi="Times New Roman"/>
          <w:caps w:val="false"/>
          <w:smallCaps w:val="false"/>
          <w:sz w:val="20"/>
        </w:rPr>
        <w:t>23</w:t>
      </w:r>
      <w:r>
        <w:rPr>
          <w:rFonts w:ascii="Times New Roman" w:hAnsi="Times New Roman"/>
          <w:caps w:val="false"/>
          <w:smallCaps w:val="false"/>
          <w:sz w:val="20"/>
        </w:rPr>
        <w:t> (Non-operating income (expense)). Following consummation of the exchange, the number of outstanding Borrowed Shares of Common Stock was reduced by 535,652 shares, which were returned as Treasury Stock (as defined below). As of </w:t>
      </w:r>
      <w:r>
        <w:rPr>
          <w:rStyle w:val="Emphasis"/>
          <w:rFonts w:ascii="Times New Roman" w:hAnsi="Times New Roman"/>
          <w:caps w:val="false"/>
          <w:smallCaps w:val="false"/>
          <w:sz w:val="20"/>
        </w:rPr>
        <w:t xml:space="preserve"> August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May 31, 2026</w:t>
      </w:r>
      <w:r>
        <w:rPr>
          <w:rFonts w:ascii="Times New Roman" w:hAnsi="Times New Roman"/>
          <w:caps w:val="false"/>
          <w:smallCaps w:val="false"/>
          <w:sz w:val="20"/>
        </w:rPr>
        <w:t xml:space="preserve">, a total of 1,428,406 and 1,964,058 shares remained outstanding under the share lending arrangement, respectively. Prior year share amounts have been retrospectively adjusted to reflect the Reverse Stock Split, which became effective on </w:t>
      </w:r>
      <w:r>
        <w:rPr>
          <w:rStyle w:val="Emphasis"/>
          <w:rFonts w:ascii="Times New Roman" w:hAnsi="Times New Roman"/>
          <w:caps w:val="false"/>
          <w:smallCaps w:val="false"/>
          <w:sz w:val="20"/>
        </w:rPr>
        <w:t>December 2, 2025.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 2026</w:t>
      </w:r>
      <w:r>
        <w:rPr>
          <w:rFonts w:ascii="Times New Roman" w:hAnsi="Times New Roman"/>
          <w:caps w:val="false"/>
          <w:smallCaps w:val="false"/>
          <w:sz w:val="20"/>
        </w:rPr>
        <w:t xml:space="preserve">, the Company recognized interest expense of $958 and accretion of amortized discount interest of $1,465.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 the Company recognized interest expense of $1,367 and accretion of amortized discount interest of $1,976.</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August 31, 2026</w:t>
      </w:r>
      <w:r>
        <w:rPr>
          <w:rFonts w:ascii="Times New Roman" w:hAnsi="Times New Roman"/>
          <w:caps w:val="false"/>
          <w:smallCaps w:val="false"/>
          <w:sz w:val="20"/>
        </w:rPr>
        <w:t>, there was $64,000 principal outstanding compared to $88,000 principal outstanding as of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xml:space="preserve"> under the TLRY </w:t>
      </w:r>
      <w:r>
        <w:rPr>
          <w:rStyle w:val="Emphasis"/>
          <w:rFonts w:ascii="Times New Roman" w:hAnsi="Times New Roman"/>
          <w:caps w:val="false"/>
          <w:smallCaps w:val="false"/>
          <w:sz w:val="20"/>
        </w:rPr>
        <w:t>27</w:t>
      </w:r>
      <w:r>
        <w:rPr>
          <w:rFonts w:ascii="Times New Roman" w:hAnsi="Times New Roman"/>
          <w:caps w:val="false"/>
          <w:smallCaps w:val="false"/>
          <w:sz w:val="20"/>
        </w:rPr>
        <w:t xml:space="preserve"> Notes.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500" w:right="0" w:hanging="50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Warrant liability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August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May 31, 2026</w:t>
      </w:r>
      <w:r>
        <w:rPr>
          <w:rFonts w:ascii="Times New Roman" w:hAnsi="Times New Roman"/>
          <w:caps w:val="false"/>
          <w:smallCaps w:val="false"/>
          <w:sz w:val="20"/>
        </w:rPr>
        <w:t>, the Company did not have warrants outstanding. The Company previously issued an aggregate of 620,900 warrants, which were exercised between </w:t>
      </w:r>
      <w:r>
        <w:rPr>
          <w:rStyle w:val="Emphasis"/>
          <w:rFonts w:ascii="Times New Roman" w:hAnsi="Times New Roman"/>
          <w:caps w:val="false"/>
          <w:smallCaps w:val="false"/>
          <w:sz w:val="20"/>
        </w:rPr>
        <w:t xml:space="preserve"> September 5,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September 15, 2025</w:t>
      </w:r>
      <w:r>
        <w:rPr>
          <w:rFonts w:ascii="Times New Roman" w:hAnsi="Times New Roman"/>
          <w:caps w:val="false"/>
          <w:smallCaps w:val="false"/>
          <w:sz w:val="20"/>
        </w:rPr>
        <w:t xml:space="preserve"> in accordance with their terms. In connection with the exercise of such warrants, Tilray received $2,367 of cash consideration and delivered 620,900 shares of the Company’s Common Stock to such holders. Prior year share amounts have been retrospectively adjusted to reflect the Reverse Stock Split, which became effective on </w:t>
      </w:r>
      <w:r>
        <w:rPr>
          <w:rStyle w:val="Emphasis"/>
          <w:rFonts w:ascii="Times New Roman" w:hAnsi="Times New Roman"/>
          <w:caps w:val="false"/>
          <w:smallCaps w:val="false"/>
          <w:sz w:val="20"/>
        </w:rPr>
        <w:t>December 2, 2025.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b/>
          <w:caps w:val="false"/>
          <w:smallCaps w:val="false"/>
          <w:sz w:val="20"/>
        </w:rPr>
        <w:t xml:space="preserve">Note </w:t>
      </w:r>
      <w:r>
        <w:rPr>
          <w:rStyle w:val="Emphasis"/>
          <w:rFonts w:ascii="Times New Roman;Times;serif" w:hAnsi="Times New Roman;Times;serif"/>
          <w:b/>
          <w:caps w:val="false"/>
          <w:smallCaps w:val="false"/>
          <w:sz w:val="20"/>
        </w:rPr>
        <w:t>14.</w:t>
      </w:r>
      <w:r>
        <w:rPr>
          <w:rFonts w:ascii="Times New Roman;Times;serif" w:hAnsi="Times New Roman;Times;serif"/>
          <w:b/>
          <w:caps w:val="false"/>
          <w:smallCaps w:val="false"/>
          <w:sz w:val="20"/>
        </w:rPr>
        <w:t xml:space="preserve"> Stockholders' equity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i/>
          <w:caps w:val="false"/>
          <w:smallCaps w:val="false"/>
          <w:sz w:val="20"/>
        </w:rPr>
      </w:pPr>
      <w:r>
        <w:rPr>
          <w:rFonts w:ascii="Times New Roman;Times;serif" w:hAnsi="Times New Roman;Times;serif"/>
          <w:i/>
          <w:caps w:val="false"/>
          <w:smallCaps w:val="false"/>
          <w:sz w:val="20"/>
        </w:rPr>
        <w:t>Issued and outstanding</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Pursuant to its Fifth Amended and Restated Certificate of Incorporation, the total number of shares that the Company is authorized to issue is 1,426,000,000 shares, of which 1,416,000,000 shares are Common Stock, and 10,000,000 shares of which are Preferred Stock (the “Preferred Stock”). As of </w:t>
      </w:r>
      <w:r>
        <w:rPr>
          <w:rStyle w:val="Emphasis"/>
          <w:rFonts w:ascii="Times New Roman" w:hAnsi="Times New Roman"/>
          <w:caps w:val="false"/>
          <w:smallCaps w:val="false"/>
          <w:sz w:val="20"/>
        </w:rPr>
        <w:t xml:space="preserve"> August 31, 2026</w:t>
      </w:r>
      <w:r>
        <w:rPr>
          <w:rFonts w:ascii="Times New Roman" w:hAnsi="Times New Roman"/>
          <w:caps w:val="false"/>
          <w:smallCaps w:val="false"/>
          <w:sz w:val="20"/>
        </w:rPr>
        <w:t>, the Company had issued and outstanding 144,936,074 shares of Common Stock, 1,124,869 shares of Treasury Stock (the “Treasury Stock”) and no Preferred Stock. Historically, the Company has issued shares of its Common Stock in consideration for acquisitions and other strategic transactions, settlement of convertible notes, settlement of litigation claims, in connection with public offerings and as payment of dividends to non-controlling interests for profit distributions.</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Times;serif" w:hAnsi="Times New Roman;Times;serif"/>
          <w:caps w:val="false"/>
          <w:smallCaps w:val="false"/>
          <w:sz w:val="20"/>
        </w:rPr>
        <w:t xml:space="preserve">During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August 31, 2026</w:t>
      </w:r>
      <w:r>
        <w:rPr>
          <w:rFonts w:ascii="Times New Roman;Times;serif" w:hAnsi="Times New Roman;Times;serif"/>
          <w:caps w:val="false"/>
          <w:smallCaps w:val="false"/>
          <w:sz w:val="20"/>
        </w:rPr>
        <w:t>, the Company had the following changes in shares of Common Stock:</w:t>
      </w:r>
    </w:p>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4,645,344 shares of Common Stock were issued pursuant to its At-the-Market (“ATM”) program, which generated gross proceeds of $22,887 and net proceeds of $22,338, after deducting $549 in commissions and other fees associated with these issuances.</w:t>
            </w:r>
          </w:p>
        </w:tc>
      </w:tr>
    </w:tbl>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10"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5,229,861 shares of Common Stock were issued having a value of $24,634 on the date of issuance in exchange for the cancellation of $24,000 of the TLRY </w:t>
            </w:r>
            <w:r>
              <w:rPr>
                <w:rStyle w:val="Emphasis"/>
                <w:rFonts w:ascii="Times New Roman;Times;serif" w:hAnsi="Times New Roman;Times;serif"/>
                <w:sz w:val="20"/>
              </w:rPr>
              <w:t>27</w:t>
            </w:r>
            <w:r>
              <w:rPr>
                <w:rFonts w:ascii="Times New Roman;Times;serif" w:hAnsi="Times New Roman;Times;serif"/>
                <w:sz w:val="20"/>
              </w:rPr>
              <w:t> Notes. Upon exchanging the TLRY </w:t>
            </w:r>
            <w:r>
              <w:rPr>
                <w:rStyle w:val="Emphasis"/>
                <w:rFonts w:ascii="Times New Roman;Times;serif" w:hAnsi="Times New Roman;Times;serif"/>
                <w:sz w:val="20"/>
              </w:rPr>
              <w:t>27</w:t>
            </w:r>
            <w:r>
              <w:rPr>
                <w:rFonts w:ascii="Times New Roman;Times;serif" w:hAnsi="Times New Roman;Times;serif"/>
                <w:sz w:val="20"/>
              </w:rPr>
              <w:t xml:space="preserve"> Notes, a portion of the settlement consideration was allocated to the equity component of the instrument and was recognized as a $6,358 reduction of additional paid-in capital. Following consummation of the exchange, the number of outstanding Borrowed Shares of Common Stock was reduced by approximately 535,652 shares which were then returned as Treasury Stock, see Note </w:t>
            </w:r>
            <w:r>
              <w:rPr>
                <w:rStyle w:val="Emphasis"/>
                <w:rFonts w:ascii="Times New Roman;Times;serif" w:hAnsi="Times New Roman;Times;serif"/>
                <w:sz w:val="20"/>
              </w:rPr>
              <w:t>12</w:t>
            </w:r>
            <w:r>
              <w:rPr>
                <w:rFonts w:ascii="Times New Roman;Times;serif" w:hAnsi="Times New Roman;Times;serif"/>
                <w:sz w:val="20"/>
              </w:rPr>
              <w:t> (Convertible debentures payable).</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1,990,747 shares of Common Stock were issued in connection with the exercise of previously awarded stock-based compensation awards, net of cancellations.</w:t>
            </w:r>
          </w:p>
        </w:tc>
      </w:tr>
    </w:tbl>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1,387,047 shares of Common Stock were issued upon the achievement of the applicable performance conditions and vesting of the related Performance-Based Elective Settlement Award.</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 2026</w:t>
      </w:r>
      <w:r>
        <w:rPr>
          <w:rFonts w:ascii="Times New Roman" w:hAnsi="Times New Roman"/>
          <w:caps w:val="false"/>
          <w:smallCaps w:val="false"/>
          <w:sz w:val="20"/>
        </w:rPr>
        <w:t xml:space="preserve">, the Company granted 7,379,612 time-based Restricted Stock Units (“RSUs”) pursuant to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Equity Incentive Plan (“EIP”). During the fiscal year ended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the Company granted 4,562,669 time-based RSUs pursuant to the EIP.</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 2026</w:t>
      </w:r>
      <w:r>
        <w:rPr>
          <w:rFonts w:ascii="Times New Roman" w:hAnsi="Times New Roman"/>
          <w:caps w:val="false"/>
          <w:smallCaps w:val="false"/>
          <w:sz w:val="20"/>
        </w:rPr>
        <w:t>, the Company granted nil performance-based RSUs. During the fiscal year ended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the Company granted the following performance-based RSUs: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Beginning in fiscal year ended </w:t>
      </w:r>
      <w:r>
        <w:rPr>
          <w:rStyle w:val="Emphasis"/>
          <w:rFonts w:ascii="Times New Roman" w:hAnsi="Times New Roman"/>
          <w:caps w:val="false"/>
          <w:smallCaps w:val="false"/>
          <w:sz w:val="20"/>
        </w:rPr>
        <w:t xml:space="preserve"> May 31, 2024, </w:t>
      </w:r>
      <w:r>
        <w:rPr>
          <w:rFonts w:ascii="Times New Roman" w:hAnsi="Times New Roman"/>
          <w:caps w:val="false"/>
          <w:smallCaps w:val="false"/>
          <w:sz w:val="20"/>
        </w:rPr>
        <w:t>the Company issued (i) 756,615 performance</w:t>
        <w:noBreakHyphen/>
        <w:t>based restricted stock units (the “Performance</w:t>
        <w:noBreakHyphen/>
        <w:t>Based RSUs”) and (ii) additional performance</w:t>
        <w:noBreakHyphen/>
        <w:t>based awards payable in cash or, at the discretion of the Company’s Compensation Committee, in shares of the Company’s common stock (the “Performance</w:t>
        <w:noBreakHyphen/>
        <w:t>Based Elective Settlement Award,” and together with the Performance</w:t>
        <w:noBreakHyphen/>
        <w:t>Based RSUs, the “Performance</w:t>
        <w:noBreakHyphen/>
        <w:t>Based Awards”). The Performance</w:t>
        <w:noBreakHyphen/>
        <w:t>Based Awards were </w:t>
      </w:r>
      <w:r>
        <w:rPr>
          <w:rStyle w:val="Emphasis"/>
          <w:rFonts w:ascii="Times New Roman" w:hAnsi="Times New Roman"/>
          <w:caps w:val="false"/>
          <w:smallCaps w:val="false"/>
          <w:sz w:val="20"/>
        </w:rPr>
        <w:t>not</w:t>
      </w:r>
      <w:r>
        <w:rPr>
          <w:rFonts w:ascii="Times New Roman" w:hAnsi="Times New Roman"/>
          <w:caps w:val="false"/>
          <w:smallCaps w:val="false"/>
          <w:sz w:val="20"/>
        </w:rPr>
        <w:t> considered granted for accounting purposes at the time of issuance because the applicable performance conditions had </w:t>
      </w:r>
      <w:r>
        <w:rPr>
          <w:rStyle w:val="Emphasis"/>
          <w:rFonts w:ascii="Times New Roman" w:hAnsi="Times New Roman"/>
          <w:caps w:val="false"/>
          <w:smallCaps w:val="false"/>
          <w:sz w:val="20"/>
        </w:rPr>
        <w:t>not</w:t>
      </w:r>
      <w:r>
        <w:rPr>
          <w:rFonts w:ascii="Times New Roman" w:hAnsi="Times New Roman"/>
          <w:caps w:val="false"/>
          <w:smallCaps w:val="false"/>
          <w:sz w:val="20"/>
        </w:rPr>
        <w:t> yet been established or approved. Accordingly, </w:t>
      </w:r>
      <w:r>
        <w:rPr>
          <w:rStyle w:val="Emphasis"/>
          <w:rFonts w:ascii="Times New Roman" w:hAnsi="Times New Roman"/>
          <w:caps w:val="false"/>
          <w:smallCaps w:val="false"/>
          <w:sz w:val="20"/>
        </w:rPr>
        <w:t>no</w:t>
      </w:r>
      <w:r>
        <w:rPr>
          <w:rFonts w:ascii="Times New Roman" w:hAnsi="Times New Roman"/>
          <w:caps w:val="false"/>
          <w:smallCaps w:val="false"/>
          <w:sz w:val="20"/>
        </w:rPr>
        <w:t> compensation expense was recognized within the Consolidated Statements of Loss at that time. During the period from issuance through the fiscal year ended </w:t>
      </w:r>
      <w:r>
        <w:rPr>
          <w:rStyle w:val="Emphasis"/>
          <w:rFonts w:ascii="Times New Roman" w:hAnsi="Times New Roman"/>
          <w:caps w:val="false"/>
          <w:smallCaps w:val="false"/>
          <w:sz w:val="20"/>
        </w:rPr>
        <w:t xml:space="preserve"> May 31, 2026, </w:t>
      </w:r>
      <w:r>
        <w:rPr>
          <w:rFonts w:ascii="Times New Roman" w:hAnsi="Times New Roman"/>
          <w:caps w:val="false"/>
          <w:smallCaps w:val="false"/>
          <w:sz w:val="20"/>
        </w:rPr>
        <w:t>the number of outstanding Performance</w:t>
        <w:noBreakHyphen/>
        <w:t>Based RSUs was reduced from 756,615 to 744,117 as a result of employee attrition, and the Performance</w:t>
        <w:noBreakHyphen/>
        <w:t>Based Elective Settlement Award was also correspondingly reduced.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the Company established and approved the relevant performance conditions for the Performance</w:t>
        <w:noBreakHyphen/>
        <w:t xml:space="preserve">Based Awards and, as a result, the awards were considered granted for accounting purposes. Beginning in the quarter ended </w:t>
      </w:r>
      <w:r>
        <w:rPr>
          <w:rStyle w:val="Emphasis"/>
          <w:rFonts w:ascii="Times New Roman" w:hAnsi="Times New Roman"/>
          <w:caps w:val="false"/>
          <w:smallCaps w:val="false"/>
          <w:sz w:val="20"/>
        </w:rPr>
        <w:t xml:space="preserve">November 30, 2025, </w:t>
      </w:r>
      <w:r>
        <w:rPr>
          <w:rFonts w:ascii="Times New Roman" w:hAnsi="Times New Roman"/>
          <w:caps w:val="false"/>
          <w:smallCaps w:val="false"/>
          <w:sz w:val="20"/>
        </w:rPr>
        <w:t>the Company commenced recognition of stock</w:t>
        <w:noBreakHyphen/>
        <w:t>based compensation expense based on the grant</w:t>
        <w:noBreakHyphen/>
        <w:t>date fair value of the Performance</w:t>
        <w:noBreakHyphen/>
        <w:t>Based Awards, which was recognized over the remaining requisite service period. Because the Performance</w:t>
        <w:noBreakHyphen/>
        <w:t>Based Elective Settlement Award had a fixed monetary value and was settleable in a variable number of shares, it was classified as a liability within the Consolidated Statements of Financial Position. The Performance</w:t>
        <w:noBreakHyphen/>
        <w:t>Based RSUs are classified as equity awards and are reflected within stockholders’ equity.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August 31, 2026, </w:t>
      </w:r>
      <w:r>
        <w:rPr>
          <w:rFonts w:ascii="Times New Roman" w:hAnsi="Times New Roman"/>
          <w:caps w:val="false"/>
          <w:smallCaps w:val="false"/>
          <w:sz w:val="20"/>
        </w:rPr>
        <w:t xml:space="preserve">following the conclusion of the measurement period on </w:t>
      </w:r>
      <w:r>
        <w:rPr>
          <w:rStyle w:val="Emphasis"/>
          <w:rFonts w:ascii="Times New Roman" w:hAnsi="Times New Roman"/>
          <w:caps w:val="false"/>
          <w:smallCaps w:val="false"/>
          <w:sz w:val="20"/>
        </w:rPr>
        <w:t xml:space="preserve">May 31, 2026 </w:t>
      </w:r>
      <w:r>
        <w:rPr>
          <w:rFonts w:ascii="Times New Roman" w:hAnsi="Times New Roman"/>
          <w:caps w:val="false"/>
          <w:smallCaps w:val="false"/>
          <w:sz w:val="20"/>
        </w:rPr>
        <w:t xml:space="preserve">and the determination of the applicable achievement percentage, the Compensation Committee approved settlement of the Performance-Based Elective Settlement Award through a combination of cash and shares. Accordingly, the Company issued 1,387,047 shares of common stock during the period and settled the remaining obligation in cash subsequent to </w:t>
      </w:r>
      <w:r>
        <w:rPr>
          <w:rStyle w:val="Emphasis"/>
          <w:rFonts w:ascii="Times New Roman" w:hAnsi="Times New Roman"/>
          <w:caps w:val="false"/>
          <w:smallCaps w:val="false"/>
          <w:sz w:val="20"/>
        </w:rPr>
        <w:t>August 31, 2026.</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Company’s total stock-based compensation expense incurred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 2026</w:t>
      </w:r>
      <w:r>
        <w:rPr>
          <w:rFonts w:ascii="Times New Roman" w:hAnsi="Times New Roman"/>
          <w:caps w:val="false"/>
          <w:smallCaps w:val="false"/>
          <w:sz w:val="20"/>
        </w:rPr>
        <w:t> was $6,584 compared to $5,052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Prior year share amounts have been retrospectively adjusted to reflect the Reverse Stock Split, which became effective on </w:t>
      </w:r>
      <w:r>
        <w:rPr>
          <w:rStyle w:val="Emphasis"/>
          <w:rFonts w:ascii="Times New Roman" w:hAnsi="Times New Roman"/>
          <w:caps w:val="false"/>
          <w:smallCaps w:val="false"/>
          <w:sz w:val="20"/>
        </w:rPr>
        <w:t>December 2, 2025.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Accumulated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Accumulated other comprehensive income (loss) is comprised of foreign currency translation gain (loss) as follows:</w:t>
      </w:r>
    </w:p>
    <w:p>
      <w:pPr>
        <w:pStyle w:val="TextBody"/>
        <w:bidi w:val="0"/>
        <w:spacing w:before="0" w:after="0"/>
        <w:ind w:left="0" w:right="0" w:hanging="0"/>
        <w:jc w:val="left"/>
        <w:rPr/>
      </w:pPr>
      <w:r>
        <w:rPr/>
        <w:t> </w:t>
      </w:r>
    </w:p>
    <w:tbl>
      <w:tblPr>
        <w:tblW w:w="3945" w:type="dxa"/>
        <w:jc w:val="left"/>
        <w:tblInd w:w="0" w:type="dxa"/>
        <w:tblLayout w:type="fixed"/>
        <w:tblCellMar>
          <w:top w:w="0" w:type="dxa"/>
          <w:left w:w="0" w:type="dxa"/>
          <w:bottom w:w="0" w:type="dxa"/>
          <w:right w:w="0" w:type="dxa"/>
        </w:tblCellMar>
      </w:tblPr>
      <w:tblGrid>
        <w:gridCol w:w="2870"/>
        <w:gridCol w:w="60"/>
        <w:gridCol w:w="150"/>
        <w:gridCol w:w="785"/>
        <w:gridCol w:w="80"/>
      </w:tblGrid>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Foreign</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currency</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translation</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 (loss)</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May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August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May 31, 2026</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(44,233</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4,741</w:t>
            </w:r>
          </w:p>
        </w:tc>
        <w:tc>
          <w:tcPr>
            <w:tcW w:w="80" w:type="dxa"/>
            <w:tcBorders/>
            <w:shd w:fill="FFFFFF" w:val="clear"/>
            <w:vAlign w:val="center"/>
          </w:tcPr>
          <w:p>
            <w:pPr>
              <w:pStyle w:val="TableContents"/>
              <w:bidi w:val="0"/>
              <w:spacing w:before="0" w:after="0"/>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August 31, 2026</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16.</w:t>
      </w:r>
      <w:r>
        <w:rPr>
          <w:rFonts w:ascii="Times New Roman" w:hAnsi="Times New Roman"/>
          <w:b/>
          <w:caps w:val="false"/>
          <w:smallCaps w:val="false"/>
          <w:sz w:val="20"/>
        </w:rPr>
        <w:t xml:space="preserve"> Non-controlling interests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following table provides a summary of certain balance sheet information as of </w:t>
      </w:r>
      <w:r>
        <w:rPr>
          <w:rStyle w:val="Emphasis"/>
          <w:rFonts w:ascii="Times New Roman" w:hAnsi="Times New Roman"/>
          <w:caps w:val="false"/>
          <w:smallCaps w:val="false"/>
          <w:sz w:val="20"/>
        </w:rPr>
        <w:t>August 31, 2026</w:t>
      </w:r>
      <w:r>
        <w:rPr>
          <w:rFonts w:ascii="Times New Roman" w:hAnsi="Times New Roman"/>
          <w:caps w:val="false"/>
          <w:smallCaps w:val="false"/>
          <w:sz w:val="20"/>
        </w:rPr>
        <w:t xml:space="preserve">, before intercompany eliminations, relating to several entities in which the Company maintains a majority ownership with a </w:t>
      </w:r>
      <w:r>
        <w:rPr>
          <w:rStyle w:val="Emphasis"/>
          <w:rFonts w:ascii="Times New Roman" w:hAnsi="Times New Roman"/>
          <w:caps w:val="false"/>
          <w:smallCaps w:val="false"/>
          <w:sz w:val="20"/>
        </w:rPr>
        <w:t>third</w:t>
      </w:r>
      <w:r>
        <w:rPr>
          <w:rFonts w:ascii="Times New Roman" w:hAnsi="Times New Roman"/>
          <w:caps w:val="false"/>
          <w:smallCaps w:val="false"/>
          <w:sz w:val="20"/>
        </w:rPr>
        <w:t>-party non-controlling interest, including Enroot (75% ownership), Aphria Diamond (51% ownership), and Colcanna S.A.S. (90% ownership):</w:t>
      </w:r>
    </w:p>
    <w:p>
      <w:pPr>
        <w:pStyle w:val="TextBody"/>
        <w:bidi w:val="0"/>
        <w:spacing w:before="0" w:after="0"/>
        <w:ind w:left="0" w:right="0" w:firstLine="180"/>
        <w:jc w:val="both"/>
        <w:rPr/>
      </w:pPr>
      <w:r>
        <w:rPr/>
        <w:t> </w:t>
      </w:r>
    </w:p>
    <w:p>
      <w:pPr>
        <w:pStyle w:val="TextBody"/>
        <w:bidi w:val="0"/>
        <w:spacing w:before="0" w:after="0"/>
        <w:ind w:left="0" w:right="0" w:hanging="0"/>
        <w:jc w:val="left"/>
        <w:rPr>
          <w:caps w:val="false"/>
          <w:smallCaps w:val="false"/>
        </w:rPr>
      </w:pPr>
      <w:r>
        <w:rPr>
          <w:caps w:val="false"/>
          <w:smallCaps w:val="false"/>
        </w:rPr>
        <w:t> </w:t>
      </w:r>
    </w:p>
    <w:tbl>
      <w:tblPr>
        <w:tblW w:w="5644" w:type="dxa"/>
        <w:jc w:val="left"/>
        <w:tblInd w:w="0" w:type="dxa"/>
        <w:tblLayout w:type="fixed"/>
        <w:tblCellMar>
          <w:top w:w="0" w:type="dxa"/>
          <w:left w:w="0" w:type="dxa"/>
          <w:bottom w:w="0" w:type="dxa"/>
          <w:right w:w="0" w:type="dxa"/>
        </w:tblCellMar>
      </w:tblPr>
      <w:tblGrid>
        <w:gridCol w:w="1820"/>
        <w:gridCol w:w="60"/>
        <w:gridCol w:w="164"/>
        <w:gridCol w:w="441"/>
        <w:gridCol w:w="80"/>
        <w:gridCol w:w="60"/>
        <w:gridCol w:w="125"/>
        <w:gridCol w:w="755"/>
        <w:gridCol w:w="80"/>
        <w:gridCol w:w="60"/>
        <w:gridCol w:w="163"/>
        <w:gridCol w:w="712"/>
        <w:gridCol w:w="80"/>
        <w:gridCol w:w="60"/>
        <w:gridCol w:w="128"/>
        <w:gridCol w:w="776"/>
        <w:gridCol w:w="80"/>
      </w:tblGrid>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Aphria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ColCanna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31,</w:t>
            </w:r>
          </w:p>
        </w:tc>
        <w:tc>
          <w:tcPr>
            <w:tcW w:w="80" w:type="dxa"/>
            <w:tcBorders/>
            <w:shd w:fill="FFFF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Enroot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Diamond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S.A.S.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114,803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115,023</w:t>
            </w:r>
          </w:p>
        </w:tc>
        <w:tc>
          <w:tcPr>
            <w:tcW w:w="80"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101,375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105,688</w:t>
            </w:r>
          </w:p>
        </w:tc>
        <w:tc>
          <w:tcPr>
            <w:tcW w:w="80"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(126,709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(133,913</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(36,074</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7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(37,516</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49,282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caps w:val="false"/>
          <w:smallCaps w:val="false"/>
          <w:sz w:val="20"/>
        </w:rPr>
        <w:t xml:space="preserve">The following table provides a summary of certain balance sheet information as of </w:t>
      </w:r>
      <w:r>
        <w:rPr>
          <w:rStyle w:val="Emphasis"/>
          <w:rFonts w:ascii="Times New Roman" w:hAnsi="Times New Roman"/>
          <w:caps w:val="false"/>
          <w:smallCaps w:val="false"/>
          <w:sz w:val="20"/>
        </w:rPr>
        <w:t>May 31, 2026</w:t>
      </w:r>
      <w:r>
        <w:rPr>
          <w:rFonts w:ascii="Times New Roman" w:hAnsi="Times New Roman"/>
          <w:caps w:val="false"/>
          <w:smallCaps w:val="false"/>
          <w:sz w:val="20"/>
        </w:rPr>
        <w:t>, before intercompany eliminations, relating to the above-referenced majority-owned subsidiaries of the Company in which there was a non-controlling interest:</w:t>
      </w:r>
    </w:p>
    <w:p>
      <w:pPr>
        <w:pStyle w:val="TextBody"/>
        <w:bidi w:val="0"/>
        <w:spacing w:before="0" w:after="0"/>
        <w:ind w:left="0" w:right="0" w:hanging="0"/>
        <w:jc w:val="left"/>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1820"/>
        <w:gridCol w:w="60"/>
        <w:gridCol w:w="164"/>
        <w:gridCol w:w="441"/>
        <w:gridCol w:w="80"/>
        <w:gridCol w:w="60"/>
        <w:gridCol w:w="125"/>
        <w:gridCol w:w="755"/>
        <w:gridCol w:w="80"/>
        <w:gridCol w:w="60"/>
        <w:gridCol w:w="163"/>
        <w:gridCol w:w="712"/>
        <w:gridCol w:w="80"/>
        <w:gridCol w:w="60"/>
        <w:gridCol w:w="125"/>
        <w:gridCol w:w="755"/>
        <w:gridCol w:w="80"/>
      </w:tblGrid>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Aphria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ColCanna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Enroot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Diamond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S.A.S.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110,664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110,866</w:t>
            </w:r>
          </w:p>
        </w:tc>
        <w:tc>
          <w:tcPr>
            <w:tcW w:w="80"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4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105,278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109,034</w:t>
            </w:r>
          </w:p>
        </w:tc>
        <w:tc>
          <w:tcPr>
            <w:tcW w:w="80"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4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(129,883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(137,034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43,195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 w:hAnsi="Times New Roman"/>
          <w:caps w:val="false"/>
          <w:smallCaps w:val="false"/>
          <w:sz w:val="20"/>
        </w:rPr>
        <w:t xml:space="preserve">The following table provides a summary of certain income statement information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 2026</w:t>
      </w:r>
      <w:r>
        <w:rPr>
          <w:rFonts w:ascii="Times New Roman" w:hAnsi="Times New Roman"/>
          <w:caps w:val="false"/>
          <w:smallCaps w:val="false"/>
          <w:sz w:val="20"/>
        </w:rPr>
        <w:t>, before intercompany eliminations, relating to the above referenced majority-owned subsidiaries of the Company in which there was a non-controlling interest:</w:t>
      </w:r>
    </w:p>
    <w:p>
      <w:pPr>
        <w:pStyle w:val="TextBody"/>
        <w:bidi w:val="0"/>
        <w:spacing w:before="0" w:after="0"/>
        <w:ind w:left="0" w:right="0" w:hanging="0"/>
        <w:jc w:val="left"/>
        <w:rPr>
          <w:caps w:val="false"/>
          <w:smallCaps w:val="false"/>
        </w:rPr>
      </w:pPr>
      <w:r>
        <w:rPr>
          <w:caps w:val="false"/>
          <w:smallCaps w:val="false"/>
        </w:rPr>
        <w:t> </w:t>
      </w:r>
    </w:p>
    <w:tbl>
      <w:tblPr>
        <w:tblW w:w="8324" w:type="dxa"/>
        <w:jc w:val="left"/>
        <w:tblInd w:w="0" w:type="dxa"/>
        <w:tblLayout w:type="fixed"/>
        <w:tblCellMar>
          <w:top w:w="0" w:type="dxa"/>
          <w:left w:w="0" w:type="dxa"/>
          <w:bottom w:w="0" w:type="dxa"/>
          <w:right w:w="0" w:type="dxa"/>
        </w:tblCellMar>
      </w:tblPr>
      <w:tblGrid>
        <w:gridCol w:w="4280"/>
        <w:gridCol w:w="60"/>
        <w:gridCol w:w="196"/>
        <w:gridCol w:w="409"/>
        <w:gridCol w:w="185"/>
        <w:gridCol w:w="60"/>
        <w:gridCol w:w="137"/>
        <w:gridCol w:w="648"/>
        <w:gridCol w:w="185"/>
        <w:gridCol w:w="60"/>
        <w:gridCol w:w="163"/>
        <w:gridCol w:w="712"/>
        <w:gridCol w:w="185"/>
        <w:gridCol w:w="60"/>
        <w:gridCol w:w="158"/>
        <w:gridCol w:w="746"/>
        <w:gridCol w:w="80"/>
      </w:tblGrid>
      <w:tr>
        <w:trPr/>
        <w:tc>
          <w:tcPr>
            <w:tcW w:w="4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Aphria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ColCanna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31,</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Enroot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Diamond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S.A.S.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09"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14,868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14,868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0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8,738</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w:t>
            </w:r>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7,685</w:t>
            </w:r>
          </w:p>
        </w:tc>
        <w:tc>
          <w:tcPr>
            <w:tcW w:w="80" w:type="dxa"/>
            <w:tcBorders/>
            <w:shd w:fill="FFFFFF" w:val="clear"/>
            <w:vAlign w:val="center"/>
          </w:tcPr>
          <w:p>
            <w:pPr>
              <w:pStyle w:val="TableContents"/>
              <w:bidi w:val="0"/>
              <w:spacing w:before="0" w:after="0"/>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409"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7,183</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w:t>
            </w:r>
          </w:p>
        </w:tc>
        <w:tc>
          <w:tcPr>
            <w:tcW w:w="60" w:type="dxa"/>
            <w:tcBorders/>
            <w:shd w:fill="FFFF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0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w:t>
            </w:r>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w:t>
            </w:r>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comprehensive (loss)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6,087</w:t>
            </w:r>
          </w:p>
        </w:tc>
        <w:tc>
          <w:tcPr>
            <w:tcW w:w="8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caps w:val="false"/>
                <w:smallCaps w:val="false"/>
                <w:sz w:val="20"/>
              </w:rPr>
              <w:t>NA</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comprehensive (loss) income attributable to NCI</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following table provides a summary of certain income statement information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 before intercompany eliminations, relating to the above referenced majority-owned subsidiaries of the Company in which there was a non-controlling interest: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pPr>
      <w:r>
        <w:rPr/>
        <w:t> </w:t>
      </w:r>
    </w:p>
    <w:tbl>
      <w:tblPr>
        <w:tblW w:w="7474" w:type="dxa"/>
        <w:jc w:val="left"/>
        <w:tblInd w:w="0" w:type="dxa"/>
        <w:tblLayout w:type="fixed"/>
        <w:tblCellMar>
          <w:top w:w="0" w:type="dxa"/>
          <w:left w:w="0" w:type="dxa"/>
          <w:bottom w:w="0" w:type="dxa"/>
          <w:right w:w="0" w:type="dxa"/>
        </w:tblCellMar>
      </w:tblPr>
      <w:tblGrid>
        <w:gridCol w:w="4280"/>
        <w:gridCol w:w="60"/>
        <w:gridCol w:w="137"/>
        <w:gridCol w:w="648"/>
        <w:gridCol w:w="185"/>
        <w:gridCol w:w="60"/>
        <w:gridCol w:w="210"/>
        <w:gridCol w:w="665"/>
        <w:gridCol w:w="185"/>
        <w:gridCol w:w="60"/>
        <w:gridCol w:w="158"/>
        <w:gridCol w:w="746"/>
        <w:gridCol w:w="80"/>
      </w:tblGrid>
      <w:tr>
        <w:trPr/>
        <w:tc>
          <w:tcPr>
            <w:tcW w:w="4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Aphria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ColCanna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31,</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Diamond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S.A.S.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sz w:val="20"/>
              </w:rPr>
            </w:pPr>
            <w:r>
              <w:rPr>
                <w:sz w:val="20"/>
              </w:rPr>
              <w:t>$</w:t>
            </w:r>
          </w:p>
        </w:tc>
        <w:tc>
          <w:tcPr>
            <w:tcW w:w="648" w:type="dxa"/>
            <w:tcBorders/>
            <w:shd w:fill="CCEEFF" w:val="clear"/>
            <w:vAlign w:val="center"/>
          </w:tcPr>
          <w:p>
            <w:pPr>
              <w:pStyle w:val="TableContents"/>
              <w:bidi w:val="0"/>
              <w:spacing w:before="0" w:after="283"/>
              <w:ind w:left="0" w:right="0" w:hanging="0"/>
              <w:jc w:val="right"/>
              <w:rPr>
                <w:sz w:val="20"/>
              </w:rPr>
            </w:pPr>
            <w:r>
              <w:rPr>
                <w:sz w:val="20"/>
              </w:rPr>
              <w:t>18,102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sz w:val="20"/>
              </w:rPr>
            </w:pPr>
            <w:r>
              <w:rPr>
                <w:sz w:val="20"/>
              </w:rPr>
              <w:t>$</w:t>
            </w:r>
          </w:p>
        </w:tc>
        <w:tc>
          <w:tcPr>
            <w:tcW w:w="665"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sz w:val="20"/>
              </w:rPr>
            </w:pPr>
            <w:r>
              <w:rPr>
                <w:sz w:val="20"/>
              </w:rPr>
              <w:t>$</w:t>
            </w:r>
          </w:p>
        </w:tc>
        <w:tc>
          <w:tcPr>
            <w:tcW w:w="746" w:type="dxa"/>
            <w:tcBorders/>
            <w:shd w:fill="CCEEFF" w:val="clear"/>
            <w:vAlign w:val="center"/>
          </w:tcPr>
          <w:p>
            <w:pPr>
              <w:pStyle w:val="TableContents"/>
              <w:bidi w:val="0"/>
              <w:spacing w:before="0" w:after="283"/>
              <w:ind w:left="0" w:right="0" w:hanging="0"/>
              <w:jc w:val="right"/>
              <w:rPr>
                <w:sz w:val="20"/>
              </w:rPr>
            </w:pPr>
            <w:r>
              <w:rPr>
                <w:sz w:val="20"/>
              </w:rPr>
              <w:t>18,102</w:t>
            </w:r>
          </w:p>
        </w:tc>
        <w:tc>
          <w:tcPr>
            <w:tcW w:w="8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expenses</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13,497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(186</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13,311</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sz w:val="20"/>
              </w:rPr>
            </w:pPr>
            <w:r>
              <w:rPr>
                <w:sz w:val="20"/>
              </w:rPr>
              <w:t>4,605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sz w:val="20"/>
              </w:rPr>
            </w:pPr>
            <w:r>
              <w:rPr>
                <w:sz w:val="20"/>
              </w:rPr>
              <w:t>186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sz w:val="20"/>
              </w:rPr>
            </w:pPr>
            <w:r>
              <w:rPr>
                <w:sz w:val="20"/>
              </w:rPr>
              <w:t>4,791</w:t>
            </w:r>
          </w:p>
        </w:tc>
        <w:tc>
          <w:tcPr>
            <w:tcW w:w="8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income</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(911</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(147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(1,058</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comprehensive (loss)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3,694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3,733</w:t>
            </w:r>
          </w:p>
        </w:tc>
        <w:tc>
          <w:tcPr>
            <w:tcW w:w="8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caps w:val="false"/>
                <w:smallCaps w:val="false"/>
                <w:sz w:val="20"/>
              </w:rPr>
              <w:t>NA</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comprehensive (loss) income attributable to NCI</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1,810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7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1,814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17.</w:t>
      </w:r>
      <w:r>
        <w:rPr>
          <w:rFonts w:ascii="Times New Roman" w:hAnsi="Times New Roman"/>
          <w:b/>
          <w:caps w:val="false"/>
          <w:smallCaps w:val="false"/>
          <w:sz w:val="20"/>
        </w:rPr>
        <w:t xml:space="preserve"> 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determination of the Company’s overall effective tax rate requires significant judgment, the use of estimates, and the interpretation and application of complex tax laws. The effective tax rate reflects the income earned and taxed in various United States federal, state, and foreign jurisdictions. Tax law changes, increases, and decreases in temporary and permanent differences between book and tax items, valuation allowances against the deferred tax assets, stock compensation, and the Company’s change in income in each jurisdiction all affect the overall effective tax rate. It is the Company’s practice to recognize interest and penalties related to uncertain tax positions in income tax expense.</w:t>
      </w:r>
    </w:p>
    <w:p>
      <w:pPr>
        <w:pStyle w:val="TextBody"/>
        <w:bidi w:val="0"/>
        <w:spacing w:before="0" w:after="0"/>
        <w:ind w:left="0" w:right="0" w:hanging="0"/>
        <w:jc w:val="left"/>
        <w:rPr/>
      </w:pPr>
      <w:r>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reported income tax expense of $1,725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 2026</w:t>
      </w:r>
      <w:r>
        <w:rPr>
          <w:rFonts w:ascii="Times New Roman" w:hAnsi="Times New Roman"/>
          <w:caps w:val="false"/>
          <w:smallCaps w:val="false"/>
          <w:sz w:val="20"/>
        </w:rPr>
        <w:t xml:space="preserve">, and an income tax recovery of $(2,285)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income tax expense in the current period varies from the Federal statutory income tax rate and prior year period primarily due to the geographical mix of earnings and losses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tax benefit resulting from valuation allowances in certain jurisdictions.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18.</w:t>
      </w:r>
      <w:r>
        <w:rPr>
          <w:rFonts w:ascii="Times New Roman" w:hAnsi="Times New Roman"/>
          <w:b/>
          <w:caps w:val="false"/>
          <w:smallCaps w:val="false"/>
          <w:sz w:val="20"/>
        </w:rPr>
        <w:t xml:space="preserve">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Purchase and other commitments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has financial commitments that are classified as long-term debt, refer to Note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(Long-term debt), as convertible notes, refer to Note </w:t>
      </w:r>
      <w:r>
        <w:rPr>
          <w:rStyle w:val="Emphasis"/>
          <w:rFonts w:ascii="Times New Roman" w:hAnsi="Times New Roman"/>
          <w:caps w:val="false"/>
          <w:smallCaps w:val="false"/>
          <w:sz w:val="20"/>
        </w:rPr>
        <w:t>12</w:t>
      </w:r>
      <w:r>
        <w:rPr>
          <w:rFonts w:ascii="Times New Roman" w:hAnsi="Times New Roman"/>
          <w:caps w:val="false"/>
          <w:smallCaps w:val="false"/>
          <w:sz w:val="20"/>
        </w:rPr>
        <w:t> (Convertible debentures payable), as material purchase commitments, which are inclusive of multi-period sponsorship rights, and as construction commitments as follows:</w:t>
      </w:r>
    </w:p>
    <w:p>
      <w:pPr>
        <w:pStyle w:val="TextBody"/>
        <w:bidi w:val="0"/>
        <w:spacing w:before="0" w:after="0"/>
        <w:ind w:left="0" w:right="0" w:firstLine="500"/>
        <w:jc w:val="both"/>
        <w:rPr>
          <w:caps w:val="false"/>
          <w:smallCaps w:val="false"/>
        </w:rPr>
      </w:pPr>
      <w:r>
        <w:rPr>
          <w:caps w:val="false"/>
          <w:smallCaps w:val="false"/>
        </w:rPr>
        <w:t> </w:t>
      </w:r>
    </w:p>
    <w:tbl>
      <w:tblPr>
        <w:tblW w:w="7800" w:type="dxa"/>
        <w:jc w:val="left"/>
        <w:tblInd w:w="0" w:type="dxa"/>
        <w:tblLayout w:type="fixed"/>
        <w:tblCellMar>
          <w:top w:w="0" w:type="dxa"/>
          <w:left w:w="0" w:type="dxa"/>
          <w:bottom w:w="0" w:type="dxa"/>
          <w:right w:w="0" w:type="dxa"/>
        </w:tblCellMar>
      </w:tblPr>
      <w:tblGrid>
        <w:gridCol w:w="2615"/>
        <w:gridCol w:w="60"/>
        <w:gridCol w:w="125"/>
        <w:gridCol w:w="695"/>
        <w:gridCol w:w="60"/>
        <w:gridCol w:w="60"/>
        <w:gridCol w:w="125"/>
        <w:gridCol w:w="695"/>
        <w:gridCol w:w="60"/>
        <w:gridCol w:w="60"/>
        <w:gridCol w:w="125"/>
        <w:gridCol w:w="590"/>
        <w:gridCol w:w="60"/>
        <w:gridCol w:w="60"/>
        <w:gridCol w:w="125"/>
        <w:gridCol w:w="485"/>
        <w:gridCol w:w="60"/>
        <w:gridCol w:w="60"/>
        <w:gridCol w:w="125"/>
        <w:gridCol w:w="485"/>
        <w:gridCol w:w="60"/>
        <w:gridCol w:w="60"/>
        <w:gridCol w:w="155"/>
        <w:gridCol w:w="735"/>
        <w:gridCol w:w="60"/>
      </w:tblGrid>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Long-term debt repayment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134,301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86,454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25,198</w:t>
            </w:r>
          </w:p>
        </w:tc>
        <w:tc>
          <w:tcPr>
            <w:tcW w:w="6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Convertible debentures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Material purchase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67,974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2,498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Construction commitments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27,696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50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amounts presented in the above table represent contractual commitments which are expected to be settled within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from </w:t>
      </w:r>
      <w:r>
        <w:rPr>
          <w:rStyle w:val="Emphasis"/>
          <w:rFonts w:ascii="Times New Roman" w:hAnsi="Times New Roman"/>
          <w:caps w:val="false"/>
          <w:smallCaps w:val="false"/>
          <w:sz w:val="20"/>
        </w:rPr>
        <w:t xml:space="preserve">August 31, 2026, </w:t>
      </w:r>
      <w:r>
        <w:rPr>
          <w:rFonts w:ascii="Times New Roman" w:hAnsi="Times New Roman"/>
          <w:caps w:val="false"/>
          <w:smallCaps w:val="false"/>
          <w:sz w:val="20"/>
        </w:rPr>
        <w:t xml:space="preserve">with each subsequent column representing the succeeding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 period.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i/>
          <w:caps w:val="false"/>
          <w:smallCaps w:val="false"/>
          <w:sz w:val="20"/>
        </w:rPr>
      </w:pPr>
      <w:r>
        <w:rPr>
          <w:rFonts w:ascii="Times New Roman" w:hAnsi="Times New Roman"/>
          <w:i/>
          <w:caps w:val="false"/>
          <w:smallCaps w:val="false"/>
          <w:sz w:val="20"/>
        </w:rPr>
        <w:t>Legal proceedings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the ordinary course of business, we are at times subject to various legal proceedings and disputes, including the proceedings specifically discussed below. We assess our liabilities and contingencies in connection with outstanding legal proceedings utilizing the latest information available. Where it is probable that we will incur a loss and the amount of the loss can be reasonably estimated, we record a liability in our Financial Statements. These legal reserves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increased or decreased to reflect any relevant developments on a quarterly basis. In circumstances where a loss is </w:t>
      </w:r>
      <w:r>
        <w:rPr>
          <w:rStyle w:val="Emphasis"/>
          <w:rFonts w:ascii="Times New Roman" w:hAnsi="Times New Roman"/>
          <w:caps w:val="false"/>
          <w:smallCaps w:val="false"/>
          <w:sz w:val="20"/>
        </w:rPr>
        <w:t>not</w:t>
      </w:r>
      <w:r>
        <w:rPr>
          <w:rFonts w:ascii="Times New Roman" w:hAnsi="Times New Roman"/>
          <w:caps w:val="false"/>
          <w:smallCaps w:val="false"/>
          <w:sz w:val="20"/>
        </w:rPr>
        <w:t> probable or the amount of loss is </w:t>
      </w:r>
      <w:r>
        <w:rPr>
          <w:rStyle w:val="Emphasis"/>
          <w:rFonts w:ascii="Times New Roman" w:hAnsi="Times New Roman"/>
          <w:caps w:val="false"/>
          <w:smallCaps w:val="false"/>
          <w:sz w:val="20"/>
        </w:rPr>
        <w:t>not</w:t>
      </w:r>
      <w:r>
        <w:rPr>
          <w:rFonts w:ascii="Times New Roman" w:hAnsi="Times New Roman"/>
          <w:caps w:val="false"/>
          <w:smallCaps w:val="false"/>
          <w:sz w:val="20"/>
        </w:rPr>
        <w:t> estimable, we do </w:t>
      </w:r>
      <w:r>
        <w:rPr>
          <w:rStyle w:val="Emphasis"/>
          <w:rFonts w:ascii="Times New Roman" w:hAnsi="Times New Roman"/>
          <w:caps w:val="false"/>
          <w:smallCaps w:val="false"/>
          <w:sz w:val="20"/>
        </w:rPr>
        <w:t>not</w:t>
      </w:r>
      <w:r>
        <w:rPr>
          <w:rFonts w:ascii="Times New Roman" w:hAnsi="Times New Roman"/>
          <w:caps w:val="false"/>
          <w:smallCaps w:val="false"/>
          <w:sz w:val="20"/>
        </w:rPr>
        <w:t> accrue legal reserves. While the outcome of legal proceedings carry an inherent degree of uncertainty, our management believes that it has established appropriate legal reserves based on the information currently available and available insurance coverage. Any incremental liabilities arising from pending legal proceedings are </w:t>
      </w:r>
      <w:r>
        <w:rPr>
          <w:rStyle w:val="Emphasis"/>
          <w:rFonts w:ascii="Times New Roman" w:hAnsi="Times New Roman"/>
          <w:caps w:val="false"/>
          <w:smallCaps w:val="false"/>
          <w:sz w:val="20"/>
        </w:rPr>
        <w:t>not</w:t>
      </w:r>
      <w:r>
        <w:rPr>
          <w:rFonts w:ascii="Times New Roman" w:hAnsi="Times New Roman"/>
          <w:caps w:val="false"/>
          <w:smallCaps w:val="false"/>
          <w:sz w:val="20"/>
        </w:rPr>
        <w:t> expected to have a material adverse effect on our consolidated financial position, consolidated results of operations, or consolidated cash flows. However, it is possible that the ultimate resolution of these matters, if unfavorable,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material to our consolidated financial position, consolidated results of operations, or consolidated cash flows.</w:t>
      </w:r>
    </w:p>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changes in the legal proceedings since our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for the fiscal year ended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of litigation accruals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As described in Note </w:t>
      </w:r>
      <w:r>
        <w:rPr>
          <w:rStyle w:val="Emphasis"/>
          <w:rFonts w:ascii="Times New Roman" w:hAnsi="Times New Roman"/>
          <w:caps w:val="false"/>
          <w:smallCaps w:val="false"/>
          <w:sz w:val="20"/>
        </w:rPr>
        <w:t>10</w:t>
      </w:r>
      <w:r>
        <w:rPr>
          <w:rFonts w:ascii="Times New Roman" w:hAnsi="Times New Roman"/>
          <w:caps w:val="false"/>
          <w:smallCaps w:val="false"/>
          <w:sz w:val="20"/>
        </w:rPr>
        <w:t> (Accounts payable and accrued liabilities), the total estimated litigation expense accrual included in accrued liabilities as of </w:t>
      </w:r>
      <w:r>
        <w:rPr>
          <w:rStyle w:val="Emphasis"/>
          <w:rFonts w:ascii="Times New Roman" w:hAnsi="Times New Roman"/>
          <w:caps w:val="false"/>
          <w:smallCaps w:val="false"/>
          <w:sz w:val="20"/>
        </w:rPr>
        <w:t xml:space="preserve"> August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May 31, 2026</w:t>
      </w:r>
      <w:r>
        <w:rPr>
          <w:rFonts w:ascii="Times New Roman" w:hAnsi="Times New Roman"/>
          <w:caps w:val="false"/>
          <w:smallCaps w:val="false"/>
          <w:sz w:val="20"/>
        </w:rPr>
        <w:t xml:space="preserve"> was $11,923 and $11,931, respectively.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 2026</w:t>
      </w:r>
      <w:r>
        <w:rPr>
          <w:rFonts w:ascii="Times New Roman" w:hAnsi="Times New Roman"/>
          <w:caps w:val="false"/>
          <w:smallCaps w:val="false"/>
          <w:sz w:val="20"/>
        </w:rPr>
        <w:t>, the accrual decreased as a result of foreign exchange effects. As described above, this accrual reflects reserves established for various ongoing litigation matters with probable losses that can be reasonably estimated.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b/>
          <w:sz w:val="20"/>
        </w:rPr>
        <w:t xml:space="preserve">Note </w:t>
      </w:r>
      <w:r>
        <w:rPr>
          <w:rStyle w:val="Emphasis"/>
          <w:rFonts w:ascii="Times New Roman;Times;serif" w:hAnsi="Times New Roman;Times;serif"/>
          <w:b/>
          <w:sz w:val="20"/>
        </w:rPr>
        <w:t>19.</w:t>
      </w:r>
      <w:r>
        <w:rPr>
          <w:rFonts w:ascii="Times New Roman;Times;serif" w:hAnsi="Times New Roman;Times;serif"/>
          <w:b/>
          <w:sz w:val="20"/>
        </w:rPr>
        <w:t xml:space="preserve"> Net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The Company reports Net revenue in </w:t>
      </w:r>
      <w:r>
        <w:rPr>
          <w:rStyle w:val="Emphasis"/>
          <w:rFonts w:ascii="Times New Roman" w:hAnsi="Times New Roman"/>
          <w:caps w:val="false"/>
          <w:smallCaps w:val="false"/>
          <w:sz w:val="20"/>
        </w:rPr>
        <w:t>four</w:t>
      </w:r>
      <w:r>
        <w:rPr>
          <w:rFonts w:ascii="Times New Roman" w:hAnsi="Times New Roman"/>
          <w:caps w:val="false"/>
          <w:smallCaps w:val="false"/>
          <w:sz w:val="20"/>
        </w:rPr>
        <w:t> reporting segments: beverage, cannabis, distribution, and wellness. Net revenue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 were as follows:</w:t>
      </w:r>
    </w:p>
    <w:p>
      <w:pPr>
        <w:pStyle w:val="TextBody"/>
        <w:bidi w:val="0"/>
        <w:spacing w:before="0" w:after="0"/>
        <w:ind w:left="0" w:right="0" w:hanging="0"/>
        <w:jc w:val="both"/>
        <w:rPr>
          <w:caps w:val="false"/>
          <w:smallCaps w:val="false"/>
        </w:rPr>
      </w:pPr>
      <w:r>
        <w:rPr>
          <w:caps w:val="false"/>
          <w:smallCaps w:val="false"/>
        </w:rPr>
        <w:t> </w:t>
      </w:r>
    </w:p>
    <w:tbl>
      <w:tblPr>
        <w:tblW w:w="4257" w:type="dxa"/>
        <w:jc w:val="left"/>
        <w:tblInd w:w="0" w:type="dxa"/>
        <w:tblLayout w:type="fixed"/>
        <w:tblCellMar>
          <w:top w:w="0" w:type="dxa"/>
          <w:left w:w="0" w:type="dxa"/>
          <w:bottom w:w="0" w:type="dxa"/>
          <w:right w:w="0" w:type="dxa"/>
        </w:tblCellMar>
      </w:tblPr>
      <w:tblGrid>
        <w:gridCol w:w="1805"/>
        <w:gridCol w:w="60"/>
        <w:gridCol w:w="162"/>
        <w:gridCol w:w="903"/>
        <w:gridCol w:w="104"/>
        <w:gridCol w:w="78"/>
        <w:gridCol w:w="162"/>
        <w:gridCol w:w="903"/>
        <w:gridCol w:w="8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12"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8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10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8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104,237</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58,512</w:t>
            </w:r>
          </w:p>
        </w:tc>
        <w:tc>
          <w:tcPr>
            <w:tcW w:w="8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excise taxes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(2,741</w:t>
            </w:r>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beverage revenue</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101,496</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55,739</w:t>
            </w:r>
          </w:p>
        </w:tc>
        <w:tc>
          <w:tcPr>
            <w:tcW w:w="8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revenue</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75,191</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87,735</w:t>
            </w:r>
          </w:p>
        </w:tc>
        <w:tc>
          <w:tcPr>
            <w:tcW w:w="8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excise taxes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(19,082</w:t>
            </w:r>
          </w:p>
        </w:tc>
        <w:tc>
          <w:tcPr>
            <w:tcW w:w="1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cannabis revenue</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56,109</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64,511</w:t>
            </w:r>
          </w:p>
        </w:tc>
        <w:tc>
          <w:tcPr>
            <w:tcW w:w="8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revenue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84,266</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74,007</w:t>
            </w:r>
          </w:p>
        </w:tc>
        <w:tc>
          <w:tcPr>
            <w:tcW w:w="8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revenue</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15,276</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15,244</w:t>
            </w:r>
          </w:p>
        </w:tc>
        <w:tc>
          <w:tcPr>
            <w:tcW w:w="8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257,147</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209,501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20.</w:t>
      </w:r>
      <w:r>
        <w:rPr>
          <w:rFonts w:ascii="Times New Roman" w:hAnsi="Times New Roman"/>
          <w:b/>
          <w:caps w:val="false"/>
          <w:smallCaps w:val="false"/>
          <w:sz w:val="20"/>
        </w:rPr>
        <w:t xml:space="preserve"> 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Company reports Cost of goods sold in </w:t>
      </w:r>
      <w:r>
        <w:rPr>
          <w:rStyle w:val="Emphasis"/>
          <w:rFonts w:ascii="Times New Roman" w:hAnsi="Times New Roman"/>
          <w:caps w:val="false"/>
          <w:smallCaps w:val="false"/>
          <w:sz w:val="20"/>
        </w:rPr>
        <w:t>four</w:t>
      </w:r>
      <w:r>
        <w:rPr>
          <w:rFonts w:ascii="Times New Roman" w:hAnsi="Times New Roman"/>
          <w:caps w:val="false"/>
          <w:smallCaps w:val="false"/>
          <w:sz w:val="20"/>
        </w:rPr>
        <w:t> reporting segments: beverage, cannabis, distribution, and wellness. Cost of goods sold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 were as follows:</w:t>
      </w:r>
    </w:p>
    <w:p>
      <w:pPr>
        <w:pStyle w:val="TextBody"/>
        <w:bidi w:val="0"/>
        <w:spacing w:before="0" w:after="0"/>
        <w:ind w:left="0" w:right="0" w:hanging="0"/>
        <w:jc w:val="left"/>
        <w:rPr/>
      </w:pPr>
      <w:r>
        <w:rPr/>
        <w:t> </w:t>
      </w:r>
    </w:p>
    <w:tbl>
      <w:tblPr>
        <w:tblW w:w="3862" w:type="dxa"/>
        <w:jc w:val="left"/>
        <w:tblInd w:w="0" w:type="dxa"/>
        <w:tblLayout w:type="fixed"/>
        <w:tblCellMar>
          <w:top w:w="0" w:type="dxa"/>
          <w:left w:w="0" w:type="dxa"/>
          <w:bottom w:w="0" w:type="dxa"/>
          <w:right w:w="0" w:type="dxa"/>
        </w:tblCellMar>
      </w:tblPr>
      <w:tblGrid>
        <w:gridCol w:w="1460"/>
        <w:gridCol w:w="60"/>
        <w:gridCol w:w="162"/>
        <w:gridCol w:w="902"/>
        <w:gridCol w:w="77"/>
        <w:gridCol w:w="77"/>
        <w:gridCol w:w="162"/>
        <w:gridCol w:w="902"/>
        <w:gridCol w:w="60"/>
      </w:tblGrid>
      <w:tr>
        <w:trPr/>
        <w:tc>
          <w:tcPr>
            <w:tcW w:w="1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w:t>
            </w:r>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31,</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0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31,</w:t>
            </w:r>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0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costs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59,489</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34,413</w:t>
            </w:r>
          </w:p>
        </w:tc>
        <w:tc>
          <w:tcPr>
            <w:tcW w:w="6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costs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34,087</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41,241</w:t>
            </w:r>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costs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75,143</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66,008</w:t>
            </w:r>
          </w:p>
        </w:tc>
        <w:tc>
          <w:tcPr>
            <w:tcW w:w="6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costs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10,919</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10,370</w:t>
            </w:r>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179,638</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152,032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21.</w:t>
      </w:r>
      <w:r>
        <w:rPr>
          <w:rFonts w:ascii="Times New Roman" w:hAnsi="Times New Roman"/>
          <w:b/>
          <w:caps w:val="false"/>
          <w:smallCaps w:val="false"/>
          <w:sz w:val="20"/>
        </w:rPr>
        <w:t xml:space="preserve">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General and administrative expenses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 were as follows:</w:t>
      </w:r>
    </w:p>
    <w:p>
      <w:pPr>
        <w:pStyle w:val="TextBody"/>
        <w:bidi w:val="0"/>
        <w:spacing w:before="0" w:after="0"/>
        <w:ind w:left="0" w:right="0" w:hanging="0"/>
        <w:jc w:val="left"/>
        <w:rPr>
          <w:caps w:val="false"/>
          <w:smallCaps w:val="false"/>
        </w:rPr>
      </w:pPr>
      <w:r>
        <w:rPr>
          <w:caps w:val="false"/>
          <w:smallCaps w:val="false"/>
        </w:rPr>
        <w:t> </w:t>
      </w:r>
    </w:p>
    <w:tbl>
      <w:tblPr>
        <w:tblW w:w="4766" w:type="dxa"/>
        <w:jc w:val="left"/>
        <w:tblInd w:w="0" w:type="dxa"/>
        <w:tblLayout w:type="fixed"/>
        <w:tblCellMar>
          <w:top w:w="0" w:type="dxa"/>
          <w:left w:w="0" w:type="dxa"/>
          <w:bottom w:w="0" w:type="dxa"/>
          <w:right w:w="0" w:type="dxa"/>
        </w:tblCellMar>
      </w:tblPr>
      <w:tblGrid>
        <w:gridCol w:w="2345"/>
        <w:gridCol w:w="60"/>
        <w:gridCol w:w="181"/>
        <w:gridCol w:w="858"/>
        <w:gridCol w:w="116"/>
        <w:gridCol w:w="87"/>
        <w:gridCol w:w="181"/>
        <w:gridCol w:w="858"/>
        <w:gridCol w:w="80"/>
      </w:tblGrid>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1"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31,</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31,</w:t>
            </w:r>
          </w:p>
        </w:tc>
        <w:tc>
          <w:tcPr>
            <w:tcW w:w="80" w:type="dxa"/>
            <w:tcBorders/>
            <w:shd w:fill="FFFF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Salaries and wages</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26,108</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21,736</w:t>
            </w:r>
          </w:p>
        </w:tc>
        <w:tc>
          <w:tcPr>
            <w:tcW w:w="8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 and general</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16,942</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8,697</w:t>
            </w:r>
          </w:p>
        </w:tc>
        <w:tc>
          <w:tcPr>
            <w:tcW w:w="8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6,584</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5,052</w:t>
            </w:r>
          </w:p>
        </w:tc>
        <w:tc>
          <w:tcPr>
            <w:tcW w:w="8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2,910</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2,393</w:t>
            </w:r>
          </w:p>
        </w:tc>
        <w:tc>
          <w:tcPr>
            <w:tcW w:w="8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1,218</w:t>
            </w:r>
          </w:p>
        </w:tc>
        <w:tc>
          <w:tcPr>
            <w:tcW w:w="8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capital assets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11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Travel and accommodation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2,305</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1,312</w:t>
            </w:r>
          </w:p>
        </w:tc>
        <w:tc>
          <w:tcPr>
            <w:tcW w:w="8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Rent</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2,228</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w:t>
            </w:r>
          </w:p>
        </w:tc>
        <w:tc>
          <w:tcPr>
            <w:tcW w:w="8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57,608</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41,053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b/>
          <w:sz w:val="20"/>
        </w:rPr>
        <w:t xml:space="preserve">Note </w:t>
      </w:r>
      <w:r>
        <w:rPr>
          <w:rStyle w:val="Emphasis"/>
          <w:rFonts w:ascii="Times New Roman;Times;serif" w:hAnsi="Times New Roman;Times;serif"/>
          <w:b/>
          <w:sz w:val="20"/>
        </w:rPr>
        <w:t>22.</w:t>
      </w:r>
      <w:r>
        <w:rPr>
          <w:rFonts w:ascii="Times New Roman;Times;serif" w:hAnsi="Times New Roman;Times;serif"/>
          <w:b/>
          <w:sz w:val="20"/>
        </w:rPr>
        <w:t xml:space="preserve"> Restructuring charges</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 w:hAnsi="Times New Roman"/>
          <w:caps w:val="false"/>
          <w:smallCaps w:val="false"/>
          <w:sz w:val="20"/>
        </w:rPr>
        <w:t xml:space="preserve">In connection with the integration of certain acquisitions and strategic transactions, the Company has incurred restructuring and exit costs in the amount of $2,447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 2026</w:t>
      </w:r>
      <w:r>
        <w:rPr>
          <w:rFonts w:ascii="Times New Roman" w:hAnsi="Times New Roman"/>
          <w:caps w:val="false"/>
          <w:smallCaps w:val="false"/>
          <w:sz w:val="20"/>
        </w:rPr>
        <w:t>, compared to $869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 All restructuring plans are approved at the executive level, and their associated expenses are recognized in the period in which the plan is committed or otherwise incurred.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Within the Beverage segment, restructuring activities primarily related to a business optimization plan designed to consolidate production, streamline and simplify operations, and improve the Beverage cost structure. Activities implemented under the plan included the closure of and the consolidation of volumes into certain brewery and related facilities.  More specifically, in connection with our business optimization plan, we made decisions to cease production at our Terrapin facility in Athens, GA and our Hop Valley facility located in Eugene, OR, as well as executing an agreement to divest our Atwater business. Restructuring charges primarily consisted of employee termination severance and benefits, facility closure and exit costs, contract and other termination costs, costs associated with SKU rationalization activities, and other costs directly associated with the execution of the plan. As a result,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 2026</w:t>
      </w:r>
      <w:r>
        <w:rPr>
          <w:rFonts w:ascii="Times New Roman" w:hAnsi="Times New Roman"/>
          <w:caps w:val="false"/>
          <w:smallCaps w:val="false"/>
          <w:sz w:val="20"/>
        </w:rPr>
        <w:t xml:space="preserve">, the Company incurred $2,258 of restructuring related expenses associated with these efforts. The Company expects these specific initiatives to be substantially completed by the end of fiscal </w:t>
      </w:r>
      <w:r>
        <w:rPr>
          <w:rStyle w:val="Emphasis"/>
          <w:rFonts w:ascii="Times New Roman" w:hAnsi="Times New Roman"/>
          <w:caps w:val="false"/>
          <w:smallCaps w:val="false"/>
          <w:sz w:val="20"/>
        </w:rPr>
        <w:t>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23.</w:t>
      </w:r>
      <w:r>
        <w:rPr>
          <w:rFonts w:ascii="Times New Roman" w:hAnsi="Times New Roman"/>
          <w:b/>
          <w:caps w:val="false"/>
          <w:smallCaps w:val="false"/>
          <w:sz w:val="20"/>
        </w:rPr>
        <w:t xml:space="preserve"> Non-operating income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Non-operating income (expense), net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 are as follows:</w:t>
      </w:r>
    </w:p>
    <w:p>
      <w:pPr>
        <w:pStyle w:val="TextBody"/>
        <w:bidi w:val="0"/>
        <w:spacing w:before="0" w:after="0"/>
        <w:ind w:left="0" w:right="0" w:hanging="0"/>
        <w:jc w:val="left"/>
        <w:rPr>
          <w:caps w:val="false"/>
          <w:smallCaps w:val="false"/>
        </w:rPr>
      </w:pPr>
      <w:r>
        <w:rPr>
          <w:caps w:val="false"/>
          <w:smallCaps w:val="false"/>
        </w:rPr>
        <w:t> </w:t>
      </w:r>
    </w:p>
    <w:tbl>
      <w:tblPr>
        <w:tblW w:w="5653" w:type="dxa"/>
        <w:jc w:val="left"/>
        <w:tblInd w:w="0" w:type="dxa"/>
        <w:tblLayout w:type="fixed"/>
        <w:tblCellMar>
          <w:top w:w="0" w:type="dxa"/>
          <w:left w:w="0" w:type="dxa"/>
          <w:bottom w:w="0" w:type="dxa"/>
          <w:right w:w="0" w:type="dxa"/>
        </w:tblCellMar>
      </w:tblPr>
      <w:tblGrid>
        <w:gridCol w:w="3230"/>
        <w:gridCol w:w="60"/>
        <w:gridCol w:w="180"/>
        <w:gridCol w:w="937"/>
        <w:gridCol w:w="115"/>
        <w:gridCol w:w="86"/>
        <w:gridCol w:w="180"/>
        <w:gridCol w:w="785"/>
        <w:gridCol w:w="80"/>
      </w:tblGrid>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31,</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31,</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283"/>
              <w:ind w:left="0" w:right="0" w:hanging="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gain (loss)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(11,234</w:t>
            </w:r>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6,928</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gain on long-term investments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 (loss) on digital assets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non-operating (losses) gains, net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3,442</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(7,773</w:t>
            </w:r>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caps w:val="false"/>
          <w:smallCaps w:val="false"/>
          <w:sz w:val="20"/>
        </w:rPr>
        <w:t>The other non-operating (losses) gains, net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 2026</w:t>
      </w:r>
      <w:r>
        <w:rPr>
          <w:rFonts w:ascii="Times New Roman" w:hAnsi="Times New Roman"/>
          <w:caps w:val="false"/>
          <w:smallCaps w:val="false"/>
          <w:sz w:val="20"/>
        </w:rPr>
        <w:t>, were gains of $3,442, which were mainly comprised of a gain of $3,495 resulting from the exchange transaction of the TLRY </w:t>
      </w:r>
      <w:r>
        <w:rPr>
          <w:rStyle w:val="Emphasis"/>
          <w:rFonts w:ascii="Times New Roman" w:hAnsi="Times New Roman"/>
          <w:caps w:val="false"/>
          <w:smallCaps w:val="false"/>
          <w:sz w:val="20"/>
        </w:rPr>
        <w:t>27</w:t>
      </w:r>
      <w:r>
        <w:rPr>
          <w:rFonts w:ascii="Times New Roman" w:hAnsi="Times New Roman"/>
          <w:caps w:val="false"/>
          <w:smallCaps w:val="false"/>
          <w:sz w:val="20"/>
        </w:rPr>
        <w:t xml:space="preserve"> Note, as described in Note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(Convertible debentures payable). </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caps w:val="false"/>
          <w:smallCaps w:val="false"/>
          <w:sz w:val="20"/>
        </w:rPr>
        <w:t>The other non-operating (losses) gains, net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 were gains of $543, which were mainly comprised of the gain of $495 resulting from the exchange transaction of the TLRY </w:t>
      </w:r>
      <w:r>
        <w:rPr>
          <w:rStyle w:val="Emphasis"/>
          <w:rFonts w:ascii="Times New Roman" w:hAnsi="Times New Roman"/>
          <w:caps w:val="false"/>
          <w:smallCaps w:val="false"/>
          <w:sz w:val="20"/>
        </w:rPr>
        <w:t>27</w:t>
      </w:r>
      <w:r>
        <w:rPr>
          <w:rFonts w:ascii="Times New Roman" w:hAnsi="Times New Roman"/>
          <w:caps w:val="false"/>
          <w:smallCaps w:val="false"/>
          <w:sz w:val="20"/>
        </w:rPr>
        <w:t> Note.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500" w:right="0" w:hanging="50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24.</w:t>
      </w:r>
      <w:r>
        <w:rPr>
          <w:rFonts w:ascii="Times New Roman" w:hAnsi="Times New Roman"/>
          <w:b/>
          <w:caps w:val="false"/>
          <w:smallCaps w:val="false"/>
          <w:sz w:val="20"/>
        </w:rPr>
        <w:t xml:space="preserve"> Financial risk management and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Company's classification of its financial instruments is described in Note </w:t>
      </w:r>
      <w:r>
        <w:rPr>
          <w:rStyle w:val="Emphasis"/>
          <w:rFonts w:ascii="Times New Roman" w:hAnsi="Times New Roman"/>
          <w:caps w:val="false"/>
          <w:smallCaps w:val="false"/>
          <w:sz w:val="20"/>
        </w:rPr>
        <w:t>3</w:t>
      </w:r>
      <w:r>
        <w:rPr>
          <w:rFonts w:ascii="Times New Roman" w:hAnsi="Times New Roman"/>
          <w:caps w:val="false"/>
          <w:smallCaps w:val="false"/>
          <w:sz w:val="20"/>
        </w:rPr>
        <w:t> (Significant accounting policies) in the Notes to our Annual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carrying values of marketable securities, accounts receivable, bank indebtedness and accounts payable and accrued liabilities approximate their fair values due to their short periods to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August 31,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the Company had long-term debt of $1,613 and $1,822, respectively, and the principal portion of convertible debentures payable of $64,000 and $88,000, respectively, subject to fixed interest rates. The Company’s long-term debt is valued based on discounting the future cash outflows associated with the long-term debt. The discount rate is based on the incremental premium above market rates for the securities issued by U.S. Department of the Treasury with similar duration. In each period thereafter, the incremental premium is held constant while the U.S. Department of the Treasury security is based on the then current market value to derive the discount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500"/>
        <w:jc w:val="both"/>
        <w:rPr/>
      </w:pPr>
      <w:r>
        <w:rPr>
          <w:rFonts w:ascii="Times New Roman" w:hAnsi="Times New Roman"/>
          <w:caps w:val="false"/>
          <w:smallCaps w:val="false"/>
          <w:sz w:val="20"/>
        </w:rPr>
        <w:t xml:space="preserve">The following tables present information about the Company’s assets and liabilities as of </w:t>
      </w:r>
      <w:r>
        <w:rPr>
          <w:rStyle w:val="Emphasis"/>
          <w:rFonts w:ascii="Times New Roman" w:hAnsi="Times New Roman"/>
          <w:caps w:val="false"/>
          <w:smallCaps w:val="false"/>
          <w:sz w:val="20"/>
        </w:rPr>
        <w:t>August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that are measured at fair value on a recurring basis, and indicates the fair value hierarchy of the valuation techniques the Company utilized to determine such fair value:</w:t>
      </w:r>
    </w:p>
    <w:p>
      <w:pPr>
        <w:pStyle w:val="TextBody"/>
        <w:bidi w:val="0"/>
        <w:spacing w:before="0" w:after="0"/>
        <w:ind w:left="0" w:right="0" w:hanging="0"/>
        <w:jc w:val="left"/>
        <w:rPr>
          <w:caps w:val="false"/>
          <w:smallCaps w:val="false"/>
        </w:rPr>
      </w:pPr>
      <w:r>
        <w:rPr>
          <w:caps w:val="false"/>
          <w:smallCaps w:val="false"/>
        </w:rPr>
        <w:t> </w:t>
      </w:r>
    </w:p>
    <w:tbl>
      <w:tblPr>
        <w:tblW w:w="6672" w:type="dxa"/>
        <w:jc w:val="left"/>
        <w:tblInd w:w="0" w:type="dxa"/>
        <w:tblLayout w:type="fixed"/>
        <w:tblCellMar>
          <w:top w:w="0" w:type="dxa"/>
          <w:left w:w="0" w:type="dxa"/>
          <w:bottom w:w="0" w:type="dxa"/>
          <w:right w:w="0" w:type="dxa"/>
        </w:tblCellMar>
      </w:tblPr>
      <w:tblGrid>
        <w:gridCol w:w="3230"/>
        <w:gridCol w:w="60"/>
        <w:gridCol w:w="125"/>
        <w:gridCol w:w="695"/>
        <w:gridCol w:w="60"/>
        <w:gridCol w:w="60"/>
        <w:gridCol w:w="167"/>
        <w:gridCol w:w="452"/>
        <w:gridCol w:w="60"/>
        <w:gridCol w:w="60"/>
        <w:gridCol w:w="127"/>
        <w:gridCol w:w="492"/>
        <w:gridCol w:w="60"/>
        <w:gridCol w:w="60"/>
        <w:gridCol w:w="137"/>
        <w:gridCol w:w="767"/>
        <w:gridCol w:w="60"/>
      </w:tblGrid>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August 31,</w:t>
            </w:r>
          </w:p>
        </w:tc>
        <w:tc>
          <w:tcPr>
            <w:tcW w:w="60" w:type="dxa"/>
            <w:tcBorders/>
            <w:shd w:fill="FFFF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20"/>
              </w:rPr>
              <w:t>2026</w:t>
            </w:r>
          </w:p>
        </w:tc>
        <w:tc>
          <w:tcPr>
            <w:tcW w:w="6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5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214,960</w:t>
            </w:r>
          </w:p>
        </w:tc>
        <w:tc>
          <w:tcPr>
            <w:tcW w:w="6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3,383</w:t>
            </w:r>
          </w:p>
        </w:tc>
        <w:tc>
          <w:tcPr>
            <w:tcW w:w="6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Marketable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45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4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3,047</w:t>
            </w:r>
          </w:p>
        </w:tc>
        <w:tc>
          <w:tcPr>
            <w:tcW w:w="6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Long-term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4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6,365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5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720</w:t>
            </w:r>
          </w:p>
        </w:tc>
        <w:tc>
          <w:tcPr>
            <w:tcW w:w="60" w:type="dxa"/>
            <w:tcBorders/>
            <w:shd w:fill="FFFFFF" w:val="clear"/>
            <w:vAlign w:val="center"/>
          </w:tcPr>
          <w:p>
            <w:pPr>
              <w:pStyle w:val="TableContents"/>
              <w:bidi w:val="0"/>
              <w:spacing w:before="0" w:after="0"/>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recurring fair value measurements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228,475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588" w:type="dxa"/>
        <w:jc w:val="left"/>
        <w:tblInd w:w="0" w:type="dxa"/>
        <w:tblLayout w:type="fixed"/>
        <w:tblCellMar>
          <w:top w:w="0" w:type="dxa"/>
          <w:left w:w="0" w:type="dxa"/>
          <w:bottom w:w="0" w:type="dxa"/>
          <w:right w:w="0" w:type="dxa"/>
        </w:tblCellMar>
      </w:tblPr>
      <w:tblGrid>
        <w:gridCol w:w="3230"/>
        <w:gridCol w:w="60"/>
        <w:gridCol w:w="125"/>
        <w:gridCol w:w="695"/>
        <w:gridCol w:w="60"/>
        <w:gridCol w:w="60"/>
        <w:gridCol w:w="167"/>
        <w:gridCol w:w="452"/>
        <w:gridCol w:w="60"/>
        <w:gridCol w:w="60"/>
        <w:gridCol w:w="127"/>
        <w:gridCol w:w="492"/>
        <w:gridCol w:w="60"/>
        <w:gridCol w:w="60"/>
        <w:gridCol w:w="125"/>
        <w:gridCol w:w="695"/>
        <w:gridCol w:w="60"/>
      </w:tblGrid>
      <w:tr>
        <w:trPr/>
        <w:tc>
          <w:tcPr>
            <w:tcW w:w="32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0"/>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452" w:type="dxa"/>
            <w:tcBorders/>
            <w:shd w:fill="FFFFFF" w:val="clear"/>
            <w:vAlign w:val="center"/>
          </w:tcPr>
          <w:p>
            <w:pPr>
              <w:pStyle w:val="TableContents"/>
              <w:bidi w:val="0"/>
              <w:spacing w:before="0" w:after="0"/>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492" w:type="dxa"/>
            <w:tcBorders/>
            <w:shd w:fill="FFFFFF" w:val="clear"/>
            <w:vAlign w:val="center"/>
          </w:tcPr>
          <w:p>
            <w:pPr>
              <w:pStyle w:val="TableContents"/>
              <w:bidi w:val="0"/>
              <w:spacing w:before="0" w:after="0"/>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jc w:val="center"/>
              <w:rPr/>
            </w:pPr>
            <w:r>
              <w:rPr>
                <w:rStyle w:val="Emphasis"/>
                <w:rFonts w:ascii="Times New Roman" w:hAnsi="Times New Roman"/>
                <w:b/>
                <w:sz w:val="20"/>
              </w:rPr>
              <w:t>May 31,</w:t>
            </w:r>
          </w:p>
        </w:tc>
        <w:tc>
          <w:tcPr>
            <w:tcW w:w="60" w:type="dxa"/>
            <w:tcBorders/>
            <w:shd w:fill="FFFF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20"/>
              </w:rPr>
              <w:t>2026</w:t>
            </w:r>
          </w:p>
        </w:tc>
        <w:tc>
          <w:tcPr>
            <w:tcW w:w="6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225,977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5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225,977</w:t>
            </w:r>
          </w:p>
        </w:tc>
        <w:tc>
          <w:tcPr>
            <w:tcW w:w="6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5,289</w:t>
            </w:r>
          </w:p>
        </w:tc>
        <w:tc>
          <w:tcPr>
            <w:tcW w:w="6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Long-term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6,551</w:t>
            </w:r>
          </w:p>
        </w:tc>
        <w:tc>
          <w:tcPr>
            <w:tcW w:w="6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recurring fair value measurements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237,817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Company’s financial assets and liabilities required to be measured on a recurring basis are its equity investments measured at fair value, digital assets, acquisition-related contingent consideration, and warrant liability.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 2026</w:t>
      </w:r>
      <w:r>
        <w:rPr>
          <w:rFonts w:ascii="Times New Roman" w:hAnsi="Times New Roman"/>
          <w:caps w:val="false"/>
          <w:smallCaps w:val="false"/>
          <w:sz w:val="20"/>
        </w:rPr>
        <w:t xml:space="preserve">,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purchase any units of Bitcoin or other cryptocurrency. Digital assets recorded at fair value have quoted prices in active markets for identical assets and are classified as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The following table presents the Company’s digital asset holdings as of </w:t>
      </w:r>
      <w:r>
        <w:rPr>
          <w:rStyle w:val="Emphasis"/>
          <w:rFonts w:ascii="Times New Roman" w:hAnsi="Times New Roman"/>
          <w:caps w:val="false"/>
          <w:smallCaps w:val="false"/>
          <w:sz w:val="20"/>
        </w:rPr>
        <w:t>August 31, 2026</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7527" w:type="dxa"/>
        <w:jc w:val="left"/>
        <w:tblInd w:w="0" w:type="dxa"/>
        <w:tblLayout w:type="fixed"/>
        <w:tblCellMar>
          <w:top w:w="0" w:type="dxa"/>
          <w:left w:w="0" w:type="dxa"/>
          <w:bottom w:w="0" w:type="dxa"/>
          <w:right w:w="0" w:type="dxa"/>
        </w:tblCellMar>
      </w:tblPr>
      <w:tblGrid>
        <w:gridCol w:w="1550"/>
        <w:gridCol w:w="60"/>
        <w:gridCol w:w="100"/>
        <w:gridCol w:w="640"/>
        <w:gridCol w:w="60"/>
        <w:gridCol w:w="60"/>
        <w:gridCol w:w="182"/>
        <w:gridCol w:w="707"/>
        <w:gridCol w:w="60"/>
        <w:gridCol w:w="60"/>
        <w:gridCol w:w="252"/>
        <w:gridCol w:w="682"/>
        <w:gridCol w:w="60"/>
        <w:gridCol w:w="60"/>
        <w:gridCol w:w="699"/>
        <w:gridCol w:w="2215"/>
        <w:gridCol w:w="80"/>
      </w:tblGrid>
      <w:tr>
        <w:trPr/>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Quantity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Cost Basis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Cumulative Unrealized Gain (Loss)</w:t>
            </w:r>
          </w:p>
        </w:tc>
        <w:tc>
          <w:tcPr>
            <w:tcW w:w="80" w:type="dxa"/>
            <w:tcBorders/>
            <w:shd w:fill="FFFFFF" w:val="clear"/>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Bitcoin</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digital assets</w:t>
            </w:r>
          </w:p>
        </w:tc>
        <w:tc>
          <w:tcPr>
            <w:tcW w:w="60" w:type="dxa"/>
            <w:tcBorders/>
            <w:shd w:fill="FFFFFF" w:val="clear"/>
            <w:vAlign w:val="center"/>
          </w:tcPr>
          <w:p>
            <w:pPr>
              <w:pStyle w:val="TableContents"/>
              <w:bidi w:val="0"/>
              <w:spacing w:before="0" w:after="283"/>
              <w:jc w:val="left"/>
              <w:rPr/>
            </w:pPr>
            <w:r>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Certain equity investments recorded at fair value have quoted prices in active markets for identical assets and are classified as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The Company classified securities with observable inputs as Level </w:t>
      </w:r>
      <w:r>
        <w:rPr>
          <w:rStyle w:val="Emphasis"/>
          <w:rFonts w:ascii="Times New Roman" w:hAnsi="Times New Roman"/>
          <w:caps w:val="false"/>
          <w:smallCaps w:val="false"/>
          <w:sz w:val="20"/>
        </w:rPr>
        <w:t>2</w:t>
      </w:r>
      <w:r>
        <w:rPr>
          <w:rFonts w:ascii="Times New Roman" w:hAnsi="Times New Roman"/>
          <w:caps w:val="false"/>
          <w:smallCaps w:val="false"/>
          <w:sz w:val="20"/>
        </w:rPr>
        <w:t> and without a quoted market price as Level </w:t>
      </w:r>
      <w:r>
        <w:rPr>
          <w:rStyle w:val="Emphasis"/>
          <w:rFonts w:ascii="Times New Roman" w:hAnsi="Times New Roman"/>
          <w:caps w:val="false"/>
          <w:smallCaps w:val="false"/>
          <w:sz w:val="20"/>
        </w:rPr>
        <w:t>3.</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August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May 31, 2026</w:t>
      </w:r>
      <w:r>
        <w:rPr>
          <w:rFonts w:ascii="Times New Roman" w:hAnsi="Times New Roman"/>
          <w:caps w:val="false"/>
          <w:smallCaps w:val="false"/>
          <w:sz w:val="20"/>
        </w:rPr>
        <w:t xml:space="preserve">, included within Equity investment under measurement alternative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is an option to acquire a 68% membership interest in SH Acquisition for $1.00 upon U.S. federal cannabis legalization, which was valued at $4,364 and $4,364, respectively. The valuation continues to assume a </w:t>
      </w:r>
      <w:r>
        <w:rPr>
          <w:rStyle w:val="Emphasis"/>
          <w:rFonts w:ascii="Times New Roman" w:hAnsi="Times New Roman"/>
          <w:caps w:val="false"/>
          <w:smallCaps w:val="false"/>
          <w:sz w:val="20"/>
        </w:rPr>
        <w:t>70%</w:t>
      </w:r>
      <w:r>
        <w:rPr>
          <w:rFonts w:ascii="Times New Roman" w:hAnsi="Times New Roman"/>
          <w:caps w:val="false"/>
          <w:smallCaps w:val="false"/>
          <w:sz w:val="20"/>
        </w:rPr>
        <w:t xml:space="preserve"> probability of U.S. federal cannabis legalization, which is required for the option to become exercisable, as further described below.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 portion of the total consideration to be paid in connection with the Company’s acquisition of Montauk Brewing Company (“Montauk”) was contingent upon the achievement by Montauk of certain financial measures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In the event that Montauk achieved either the pre-determined sales volume target or EBITDA target, then $15,000 of contingent consideration would be deemed earned and payable. If both the sales volume target and the EBITDA target were achieved, an additional $3,000 would be deemed earned and payable for a total contingent consideration payment of $18,000.</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August 31, 2026, </w:t>
      </w:r>
      <w:r>
        <w:rPr>
          <w:rFonts w:ascii="Times New Roman" w:hAnsi="Times New Roman"/>
          <w:caps w:val="false"/>
          <w:smallCaps w:val="false"/>
          <w:sz w:val="20"/>
        </w:rPr>
        <w:t xml:space="preserve">there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 in the fair value of contingent consideration, as the applicable measurement period concluded during the prior fiscal year and as a result no contingent consideration obligation was payable.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fair value measurement was based on significant unobservable inputs related to projected operating performance and expected cash outflows and was therefore classified as a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fair value measurement.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balances of assets and liabilities categorized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of the fair value hierarchy, including equity investments accounted for under the measurement alternative, are reconciled as follows for the period ended </w:t>
      </w:r>
      <w:r>
        <w:rPr>
          <w:rStyle w:val="Emphasis"/>
          <w:rFonts w:ascii="Times New Roman" w:hAnsi="Times New Roman"/>
          <w:caps w:val="false"/>
          <w:smallCaps w:val="false"/>
          <w:sz w:val="20"/>
        </w:rPr>
        <w:t xml:space="preserve"> August 31, 2026</w:t>
      </w:r>
      <w:r>
        <w:rPr>
          <w:rFonts w:ascii="Times New Roman" w:hAnsi="Times New Roman"/>
          <w:caps w:val="false"/>
          <w:smallCaps w:val="false"/>
          <w:sz w:val="20"/>
        </w:rPr>
        <w: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970" w:type="dxa"/>
        <w:jc w:val="left"/>
        <w:tblInd w:w="0" w:type="dxa"/>
        <w:tblLayout w:type="fixed"/>
        <w:tblCellMar>
          <w:top w:w="0" w:type="dxa"/>
          <w:left w:w="0" w:type="dxa"/>
          <w:bottom w:w="0" w:type="dxa"/>
          <w:right w:w="0" w:type="dxa"/>
        </w:tblCellMar>
      </w:tblPr>
      <w:tblGrid>
        <w:gridCol w:w="2855"/>
        <w:gridCol w:w="60"/>
        <w:gridCol w:w="203"/>
        <w:gridCol w:w="792"/>
        <w:gridCol w:w="60"/>
      </w:tblGrid>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Investments</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May 31, 2026</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4,364</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 (loss) on fair value</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August 31, 2026</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August 31, 2025, </w:t>
      </w:r>
      <w:r>
        <w:rPr>
          <w:rFonts w:ascii="Times New Roman" w:hAnsi="Times New Roman"/>
          <w:caps w:val="false"/>
          <w:smallCaps w:val="false"/>
          <w:sz w:val="20"/>
        </w:rPr>
        <w:t>the Company reassessed the estimated fair value of the contingent consideration liability as $nil, based on subsequent information regarding Montauk’s operating results and revised expectations for the remainder of the earn</w:t>
        <w:noBreakHyphen/>
        <w:t>out period. As a result of lower</w:t>
        <w:noBreakHyphen/>
        <w:t>than</w:t>
        <w:noBreakHyphen/>
        <w:t xml:space="preserve">anticipated sales volumes during the peak selling periods of </w:t>
      </w:r>
      <w:r>
        <w:rPr>
          <w:rStyle w:val="Emphasis"/>
          <w:rFonts w:ascii="Times New Roman" w:hAnsi="Times New Roman"/>
          <w:caps w:val="false"/>
          <w:smallCaps w:val="false"/>
          <w:sz w:val="20"/>
        </w:rPr>
        <w:t xml:space="preserve">June, July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and the loss of certain national retail programs, management concluded that Montauk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had a viable path to achieving the sales volume target or the EBITDA target within the earn</w:t>
        <w:noBreakHyphen/>
        <w:t xml:space="preserve">out period. Accordingly, the Company applied a probability of achievement of 0% to the sales volume target and 0% to the remaining criteria. The resulting $15,000 change in fair value of the contingent consideration liability was recorded within the Consolidated Statements of Income (Loss) and Comprehensive Income (Loss) and contributed to the Company’s net income generated during the period ended </w:t>
      </w:r>
      <w:r>
        <w:rPr>
          <w:rStyle w:val="Emphasis"/>
          <w:rFonts w:ascii="Times New Roman" w:hAnsi="Times New Roman"/>
          <w:caps w:val="false"/>
          <w:smallCaps w:val="false"/>
          <w:sz w:val="20"/>
        </w:rPr>
        <w:t xml:space="preserve">August 31, 2025, </w:t>
      </w:r>
      <w:r>
        <w:rPr>
          <w:rFonts w:ascii="Times New Roman" w:hAnsi="Times New Roman"/>
          <w:caps w:val="false"/>
          <w:smallCaps w:val="false"/>
          <w:sz w:val="20"/>
        </w:rPr>
        <w:t>despite historically reporting a loss.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earn-out period concluded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neither financial measure was achieved. Accordingly, no further changes to the fair value of the contingent consideration liability were recognized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-months ended </w:t>
      </w:r>
      <w:r>
        <w:rPr>
          <w:rStyle w:val="Emphasis"/>
          <w:rFonts w:ascii="Times New Roman" w:hAnsi="Times New Roman"/>
          <w:caps w:val="false"/>
          <w:smallCaps w:val="false"/>
          <w:sz w:val="20"/>
        </w:rPr>
        <w:t xml:space="preserve">August 31, 2026 </w:t>
      </w:r>
      <w:r>
        <w:rPr>
          <w:rFonts w:ascii="Times New Roman" w:hAnsi="Times New Roman"/>
          <w:caps w:val="false"/>
          <w:smallCaps w:val="false"/>
          <w:sz w:val="20"/>
        </w:rPr>
        <w:t xml:space="preserve">or during the year ended </w:t>
      </w:r>
      <w:r>
        <w:rPr>
          <w:rStyle w:val="Emphasis"/>
          <w:rFonts w:ascii="Times New Roman" w:hAnsi="Times New Roman"/>
          <w:caps w:val="false"/>
          <w:smallCaps w:val="false"/>
          <w:sz w:val="20"/>
        </w:rPr>
        <w:t>May 31, 2026, </w:t>
      </w:r>
      <w:r>
        <w:rPr>
          <w:rFonts w:ascii="Times New Roman" w:hAnsi="Times New Roman"/>
          <w:caps w:val="false"/>
          <w:smallCaps w:val="false"/>
          <w:sz w:val="20"/>
        </w:rPr>
        <w:t>as no contingent consideration obligation was payable.</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The balances of assets and liabilities categorized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of the fair value hierarchy, including equity investments accounted for under the measurement alternative, are reconciled as follows for the period ended </w:t>
      </w:r>
      <w:r>
        <w:rPr>
          <w:rStyle w:val="Emphasis"/>
          <w:rFonts w:ascii="Times New Roman" w:hAnsi="Times New Roman"/>
          <w:caps w:val="false"/>
          <w:smallCaps w:val="false"/>
          <w:sz w:val="20"/>
        </w:rPr>
        <w:t xml:space="preserve"> August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314" w:type="dxa"/>
        <w:jc w:val="left"/>
        <w:tblInd w:w="0" w:type="dxa"/>
        <w:tblLayout w:type="fixed"/>
        <w:tblCellMar>
          <w:top w:w="0" w:type="dxa"/>
          <w:left w:w="0" w:type="dxa"/>
          <w:bottom w:w="0" w:type="dxa"/>
          <w:right w:w="0" w:type="dxa"/>
        </w:tblCellMar>
      </w:tblPr>
      <w:tblGrid>
        <w:gridCol w:w="2855"/>
        <w:gridCol w:w="60"/>
        <w:gridCol w:w="210"/>
        <w:gridCol w:w="815"/>
        <w:gridCol w:w="60"/>
        <w:gridCol w:w="60"/>
        <w:gridCol w:w="151"/>
        <w:gridCol w:w="663"/>
        <w:gridCol w:w="80"/>
        <w:gridCol w:w="60"/>
        <w:gridCol w:w="196"/>
        <w:gridCol w:w="1024"/>
        <w:gridCol w:w="80"/>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Warrant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Contingent</w:t>
            </w:r>
          </w:p>
        </w:tc>
        <w:tc>
          <w:tcPr>
            <w:tcW w:w="8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Consideration</w:t>
            </w:r>
          </w:p>
        </w:tc>
        <w:tc>
          <w:tcPr>
            <w:tcW w:w="8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May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 (loss) on fair value</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August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The unrealized gain (loss) on assets and liabilities categorized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of the fair value hierarchy are recognized in the Consolidated Statements of Income (Loss) and Comprehensive Income (Loss) using the following inputs:</w:t>
      </w:r>
    </w:p>
    <w:p>
      <w:pPr>
        <w:pStyle w:val="TextBody"/>
        <w:bidi w:val="0"/>
        <w:spacing w:before="0" w:after="0"/>
        <w:ind w:left="0" w:right="0" w:hanging="0"/>
        <w:jc w:val="left"/>
        <w:rPr>
          <w:caps w:val="false"/>
          <w:smallCaps w:val="false"/>
        </w:rPr>
      </w:pPr>
      <w:r>
        <w:rPr>
          <w:caps w:val="false"/>
          <w:smallCaps w:val="false"/>
        </w:rPr>
        <w:t> </w:t>
      </w:r>
    </w:p>
    <w:tbl>
      <w:tblPr>
        <w:tblW w:w="7775" w:type="dxa"/>
        <w:jc w:val="left"/>
        <w:tblInd w:w="0" w:type="dxa"/>
        <w:tblLayout w:type="fixed"/>
        <w:tblCellMar>
          <w:top w:w="0" w:type="dxa"/>
          <w:left w:w="0" w:type="dxa"/>
          <w:bottom w:w="0" w:type="dxa"/>
          <w:right w:w="0" w:type="dxa"/>
        </w:tblCellMar>
      </w:tblPr>
      <w:tblGrid>
        <w:gridCol w:w="2900"/>
        <w:gridCol w:w="60"/>
        <w:gridCol w:w="1850"/>
        <w:gridCol w:w="60"/>
        <w:gridCol w:w="2240"/>
        <w:gridCol w:w="60"/>
        <w:gridCol w:w="545"/>
        <w:gridCol w:w="60"/>
      </w:tblGrid>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224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Valuation</w:t>
            </w:r>
          </w:p>
        </w:tc>
        <w:tc>
          <w:tcPr>
            <w:tcW w:w="60" w:type="dxa"/>
            <w:tcBorders/>
            <w:shd w:fill="FFFFFF" w:val="clear"/>
            <w:vAlign w:val="center"/>
          </w:tcPr>
          <w:p>
            <w:pPr>
              <w:pStyle w:val="TableContents"/>
              <w:bidi w:val="0"/>
              <w:spacing w:before="0" w:after="283"/>
              <w:jc w:val="left"/>
              <w:rPr/>
            </w:pPr>
            <w:r>
              <w:rPr/>
              <w:t> </w:t>
            </w:r>
          </w:p>
        </w:tc>
        <w:tc>
          <w:tcPr>
            <w:tcW w:w="224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unobservable</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asset / financial liability</w:t>
            </w:r>
          </w:p>
        </w:tc>
        <w:tc>
          <w:tcPr>
            <w:tcW w:w="60" w:type="dxa"/>
            <w:tcBorders/>
            <w:shd w:fill="FFFFFF" w:val="clear"/>
            <w:vAlign w:val="center"/>
          </w:tcPr>
          <w:p>
            <w:pPr>
              <w:pStyle w:val="TableContents"/>
              <w:bidi w:val="0"/>
              <w:spacing w:before="0" w:after="283"/>
              <w:ind w:left="0" w:right="0" w:hanging="0"/>
              <w:jc w:val="left"/>
              <w:rPr/>
            </w:pPr>
            <w:r>
              <w:rPr/>
              <w:t> </w:t>
            </w:r>
          </w:p>
        </w:tc>
        <w:tc>
          <w:tcPr>
            <w:tcW w:w="185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technique</w:t>
            </w:r>
          </w:p>
        </w:tc>
        <w:tc>
          <w:tcPr>
            <w:tcW w:w="60" w:type="dxa"/>
            <w:tcBorders/>
            <w:shd w:fill="FFFFFF" w:val="clear"/>
            <w:vAlign w:val="center"/>
          </w:tcPr>
          <w:p>
            <w:pPr>
              <w:pStyle w:val="TableContents"/>
              <w:bidi w:val="0"/>
              <w:spacing w:before="0" w:after="283"/>
              <w:ind w:left="0" w:right="0" w:hanging="0"/>
              <w:jc w:val="left"/>
              <w:rPr/>
            </w:pPr>
            <w:r>
              <w:rPr/>
              <w:t> </w:t>
            </w:r>
          </w:p>
        </w:tc>
        <w:tc>
          <w:tcPr>
            <w:tcW w:w="224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input</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Inputs</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Equity investments</w:t>
            </w:r>
          </w:p>
        </w:tc>
        <w:tc>
          <w:tcPr>
            <w:tcW w:w="60" w:type="dxa"/>
            <w:tcBorders/>
            <w:shd w:fill="CCEEFF" w:val="clear"/>
            <w:vAlign w:val="center"/>
          </w:tcPr>
          <w:p>
            <w:pPr>
              <w:pStyle w:val="TableContents"/>
              <w:bidi w:val="0"/>
              <w:spacing w:before="0" w:after="283"/>
              <w:jc w:val="left"/>
              <w:rPr/>
            </w:pPr>
            <w:r>
              <w:rPr/>
              <w:t> </w:t>
            </w:r>
          </w:p>
        </w:tc>
        <w:tc>
          <w:tcPr>
            <w:tcW w:w="185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sz w:val="20"/>
              </w:rPr>
              <w:t>Discounted cash flows</w:t>
            </w:r>
          </w:p>
        </w:tc>
        <w:tc>
          <w:tcPr>
            <w:tcW w:w="60" w:type="dxa"/>
            <w:tcBorders/>
            <w:shd w:fill="CCEEFF" w:val="clear"/>
            <w:vAlign w:val="center"/>
          </w:tcPr>
          <w:p>
            <w:pPr>
              <w:pStyle w:val="TableContents"/>
              <w:bidi w:val="0"/>
              <w:spacing w:before="0" w:after="283"/>
              <w:jc w:val="left"/>
              <w:rPr/>
            </w:pPr>
            <w:r>
              <w:rPr/>
              <w:t> </w:t>
            </w:r>
          </w:p>
        </w:tc>
        <w:tc>
          <w:tcPr>
            <w:tcW w:w="224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sz w:val="20"/>
              </w:rPr>
              <w:t>Probability of achievement</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70%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Items measured at fair value on a non-recurring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Company’s prepaids and other current assets, long lived assets, including property and equipment, assets held for sale, goodwill and intangible assets are measured at fair value when there is an indicator of impairment and are recorded at fair value only when an impairment charge is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u w:val="single"/>
        </w:rPr>
      </w:pPr>
      <w:r>
        <w:rPr>
          <w:rFonts w:ascii="Times New Roman" w:hAnsi="Times New Roman"/>
          <w:i/>
          <w:caps w:val="false"/>
          <w:smallCaps w:val="false"/>
          <w:sz w:val="20"/>
          <w:u w:val="single"/>
        </w:rPr>
        <w:t>Capital and liquidity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Management reviews its capital management approach on an ongoing basis and believes that this approach, given the relative size of the Company, is reasonable. 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changes to the Company’s capital management approach in the period. The Company considers its cash and cash equivalents and marketable securities as capital.</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As part of its capital and liquidity management strategy,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when appropriate, engage with its lenders to amend the terms of its debt arrangements, obtain waivers, or otherwise modify financing terms. Separately, the Company continues to evaluate alternatives to address the maturity of its TLRY </w:t>
      </w:r>
      <w:r>
        <w:rPr>
          <w:rStyle w:val="Emphasis"/>
          <w:rFonts w:ascii="Times New Roman" w:hAnsi="Times New Roman"/>
          <w:caps w:val="false"/>
          <w:smallCaps w:val="false"/>
          <w:sz w:val="20"/>
        </w:rPr>
        <w:t>27</w:t>
      </w:r>
      <w:r>
        <w:rPr>
          <w:rFonts w:ascii="Times New Roman" w:hAnsi="Times New Roman"/>
          <w:caps w:val="false"/>
          <w:smallCaps w:val="false"/>
          <w:sz w:val="20"/>
        </w:rPr>
        <w:t xml:space="preserve"> Notes on </w:t>
      </w:r>
      <w:r>
        <w:rPr>
          <w:rStyle w:val="Emphasis"/>
          <w:rFonts w:ascii="Times New Roman" w:hAnsi="Times New Roman"/>
          <w:caps w:val="false"/>
          <w:smallCaps w:val="false"/>
          <w:sz w:val="20"/>
        </w:rPr>
        <w:t xml:space="preserve">June 15, 2027, </w:t>
      </w:r>
      <w:r>
        <w:rPr>
          <w:rFonts w:ascii="Times New Roman" w:hAnsi="Times New Roman"/>
          <w:caps w:val="false"/>
          <w:smallCaps w:val="false"/>
          <w:sz w:val="20"/>
        </w:rPr>
        <w:t>including pursuing opportunistic exchanges prior to maturity.</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500" w:right="0" w:hanging="50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25.</w:t>
      </w:r>
      <w:r>
        <w:rPr>
          <w:rFonts w:ascii="Times New Roman" w:hAnsi="Times New Roman"/>
          <w:caps w:val="false"/>
          <w:smallCaps w:val="false"/>
          <w:sz w:val="20"/>
        </w:rPr>
        <w:t xml:space="preserve"> </w:t>
      </w:r>
      <w:r>
        <w:rPr>
          <w:rFonts w:ascii="Times New Roman" w:hAnsi="Times New Roman"/>
          <w:b/>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Our Company’s Chief Operating Decision Maker (“CODM”) is the Chairman of the Board of Directors and Chief Executive Officer. The CODM uses segment gross profit for the purpose of resource allocation, assessment of segment performance against determined targets, and in deciding whether to implement cost saving targets. The Company operates in four segments. </w:t>
      </w:r>
      <w:r>
        <w:rPr>
          <w:rStyle w:val="Emphasis"/>
          <w:rFonts w:ascii="Times New Roman" w:hAnsi="Times New Roman"/>
          <w:caps w:val="false"/>
          <w:smallCaps w:val="false"/>
          <w:sz w:val="20"/>
        </w:rPr>
        <w:t>1</w:t>
      </w:r>
      <w:r>
        <w:rPr>
          <w:rFonts w:ascii="Times New Roman" w:hAnsi="Times New Roman"/>
          <w:caps w:val="false"/>
          <w:smallCaps w:val="false"/>
          <w:sz w:val="20"/>
        </w:rPr>
        <w:t>) cannabis operations, which encompasses the production, distribution, sale, co-manufacturing and advisory services of both medical and adult-use cannabis, </w:t>
      </w:r>
      <w:r>
        <w:rPr>
          <w:rStyle w:val="Emphasis"/>
          <w:rFonts w:ascii="Times New Roman" w:hAnsi="Times New Roman"/>
          <w:caps w:val="false"/>
          <w:smallCaps w:val="false"/>
          <w:sz w:val="20"/>
        </w:rPr>
        <w:t>2</w:t>
      </w:r>
      <w:r>
        <w:rPr>
          <w:rFonts w:ascii="Times New Roman" w:hAnsi="Times New Roman"/>
          <w:caps w:val="false"/>
          <w:smallCaps w:val="false"/>
          <w:sz w:val="20"/>
        </w:rPr>
        <w:t>) beverage operations, which encompasses the production, marketing and sale of beverage products, </w:t>
      </w:r>
      <w:r>
        <w:rPr>
          <w:rStyle w:val="Emphasis"/>
          <w:rFonts w:ascii="Times New Roman" w:hAnsi="Times New Roman"/>
          <w:caps w:val="false"/>
          <w:smallCaps w:val="false"/>
          <w:sz w:val="20"/>
        </w:rPr>
        <w:t>3</w:t>
      </w:r>
      <w:r>
        <w:rPr>
          <w:rFonts w:ascii="Times New Roman" w:hAnsi="Times New Roman"/>
          <w:caps w:val="false"/>
          <w:smallCaps w:val="false"/>
          <w:sz w:val="20"/>
        </w:rPr>
        <w:t>) distribution operations, which encompasses the purchase and resale of pharmaceuticals products to customers, and </w:t>
      </w:r>
      <w:r>
        <w:rPr>
          <w:rStyle w:val="Emphasis"/>
          <w:rFonts w:ascii="Times New Roman" w:hAnsi="Times New Roman"/>
          <w:caps w:val="false"/>
          <w:smallCaps w:val="false"/>
          <w:sz w:val="20"/>
        </w:rPr>
        <w:t>4</w:t>
      </w:r>
      <w:r>
        <w:rPr>
          <w:rFonts w:ascii="Times New Roman" w:hAnsi="Times New Roman"/>
          <w:caps w:val="false"/>
          <w:smallCaps w:val="false"/>
          <w:sz w:val="20"/>
        </w:rPr>
        <w:t>) wellness products, which encompasses wellness and better-for-you foods and beverages. This structure is in line with how our CODM assesses our performance and allocates resources.</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caps w:val="false"/>
          <w:smallCaps w:val="false"/>
          <w:sz w:val="20"/>
        </w:rPr>
        <w:t>Operating segments have </w:t>
      </w:r>
      <w:r>
        <w:rPr>
          <w:rStyle w:val="Emphasis"/>
          <w:rFonts w:ascii="Times New Roman" w:hAnsi="Times New Roman"/>
          <w:caps w:val="false"/>
          <w:smallCaps w:val="false"/>
          <w:sz w:val="20"/>
        </w:rPr>
        <w:t>not</w:t>
      </w:r>
      <w:r>
        <w:rPr>
          <w:rFonts w:ascii="Times New Roman" w:hAnsi="Times New Roman"/>
          <w:caps w:val="false"/>
          <w:smallCaps w:val="false"/>
          <w:sz w:val="20"/>
        </w:rPr>
        <w:t> been aggregated and </w:t>
      </w:r>
      <w:r>
        <w:rPr>
          <w:rStyle w:val="Emphasis"/>
          <w:rFonts w:ascii="Times New Roman" w:hAnsi="Times New Roman"/>
          <w:caps w:val="false"/>
          <w:smallCaps w:val="false"/>
          <w:sz w:val="20"/>
        </w:rPr>
        <w:t>no</w:t>
      </w:r>
      <w:r>
        <w:rPr>
          <w:rFonts w:ascii="Times New Roman" w:hAnsi="Times New Roman"/>
          <w:caps w:val="false"/>
          <w:smallCaps w:val="false"/>
          <w:sz w:val="20"/>
        </w:rPr>
        <w:t> asset information is provided for the segments because the Company’s CODM does </w:t>
      </w:r>
      <w:r>
        <w:rPr>
          <w:rStyle w:val="Emphasis"/>
          <w:rFonts w:ascii="Times New Roman" w:hAnsi="Times New Roman"/>
          <w:caps w:val="false"/>
          <w:smallCaps w:val="false"/>
          <w:sz w:val="20"/>
        </w:rPr>
        <w:t>not</w:t>
      </w:r>
      <w:r>
        <w:rPr>
          <w:rFonts w:ascii="Times New Roman" w:hAnsi="Times New Roman"/>
          <w:caps w:val="false"/>
          <w:smallCaps w:val="false"/>
          <w:sz w:val="20"/>
        </w:rPr>
        <w:t> receive asset information by segment on a regular basis.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tables reconcile the Company’s segment gross profit to consolidated U.S. GAAP results: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4372" w:type="dxa"/>
        <w:jc w:val="left"/>
        <w:tblInd w:w="0" w:type="dxa"/>
        <w:tblLayout w:type="fixed"/>
        <w:tblCellMar>
          <w:top w:w="0" w:type="dxa"/>
          <w:left w:w="0" w:type="dxa"/>
          <w:bottom w:w="0" w:type="dxa"/>
          <w:right w:w="0" w:type="dxa"/>
        </w:tblCellMar>
      </w:tblPr>
      <w:tblGrid>
        <w:gridCol w:w="1970"/>
        <w:gridCol w:w="60"/>
        <w:gridCol w:w="162"/>
        <w:gridCol w:w="902"/>
        <w:gridCol w:w="77"/>
        <w:gridCol w:w="77"/>
        <w:gridCol w:w="162"/>
        <w:gridCol w:w="902"/>
        <w:gridCol w:w="60"/>
      </w:tblGrid>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31,</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0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31,</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0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Beverage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beverage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101,496</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55,739</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costs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59,489</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34,413</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gross profit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42,007</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21,326</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Cannabis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cannabis revenue</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56,109</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64,511</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costs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34,087</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41,241</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gross profit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22,022</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23,270</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Distribution</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revenue</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84,266</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74,007</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costs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75,143</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66,008</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gross profit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9,123</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7,999</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Wellness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revenue</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15,276</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15,244</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costs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10,919</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10,370</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gross profit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4,357</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4,874</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257,147</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209,501</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179,638</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152,032</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gross profit</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77,509</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57,469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Segment costs are comprised of cost of goods sold, which include product costs, production-related salaries and an allocation of overhead costs.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reconciles the total segment gross profit to the Company’s consolidated totals:</w:t>
      </w:r>
    </w:p>
    <w:p>
      <w:pPr>
        <w:pStyle w:val="TextBody"/>
        <w:bidi w:val="0"/>
        <w:spacing w:before="0" w:after="0"/>
        <w:ind w:left="0" w:right="0" w:hanging="0"/>
        <w:jc w:val="left"/>
        <w:rPr/>
      </w:pPr>
      <w:r>
        <w:rPr/>
        <w:t> </w:t>
      </w:r>
    </w:p>
    <w:tbl>
      <w:tblPr>
        <w:tblW w:w="6388" w:type="dxa"/>
        <w:jc w:val="left"/>
        <w:tblInd w:w="0" w:type="dxa"/>
        <w:tblLayout w:type="fixed"/>
        <w:tblCellMar>
          <w:top w:w="0" w:type="dxa"/>
          <w:left w:w="0" w:type="dxa"/>
          <w:bottom w:w="0" w:type="dxa"/>
          <w:right w:w="0" w:type="dxa"/>
        </w:tblCellMar>
      </w:tblPr>
      <w:tblGrid>
        <w:gridCol w:w="3965"/>
        <w:gridCol w:w="60"/>
        <w:gridCol w:w="164"/>
        <w:gridCol w:w="915"/>
        <w:gridCol w:w="105"/>
        <w:gridCol w:w="79"/>
        <w:gridCol w:w="164"/>
        <w:gridCol w:w="856"/>
        <w:gridCol w:w="80"/>
      </w:tblGrid>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31,</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0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31,</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0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77,509</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57,469</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57,608</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41,053</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13,593</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12,923</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3,929</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and promotion</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15,736</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10,155</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pPr>
            <w:r>
              <w:rPr/>
              <w:t>—</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Litigation costs, net of recoveries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costs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2,447</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costs, net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4,802</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101,562</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55,377</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(24,053</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2,092</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(6,480</w:t>
            </w:r>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Non-operating income (expense), net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(7,773</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3,832</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(38,306</w:t>
            </w:r>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(recovery), net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1,725</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(40,031</w:t>
            </w:r>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Channels of Cannabis revenue were as follows:</w:t>
      </w:r>
    </w:p>
    <w:p>
      <w:pPr>
        <w:pStyle w:val="TextBody"/>
        <w:bidi w:val="0"/>
        <w:spacing w:before="0" w:after="0"/>
        <w:ind w:left="0" w:right="0" w:hanging="0"/>
        <w:jc w:val="left"/>
        <w:rPr/>
      </w:pPr>
      <w:r>
        <w:rPr/>
        <w:t> </w:t>
      </w:r>
    </w:p>
    <w:tbl>
      <w:tblPr>
        <w:tblW w:w="5968" w:type="dxa"/>
        <w:jc w:val="left"/>
        <w:tblInd w:w="0" w:type="dxa"/>
        <w:tblLayout w:type="fixed"/>
        <w:tblCellMar>
          <w:top w:w="0" w:type="dxa"/>
          <w:left w:w="0" w:type="dxa"/>
          <w:bottom w:w="0" w:type="dxa"/>
          <w:right w:w="0" w:type="dxa"/>
        </w:tblCellMar>
      </w:tblPr>
      <w:tblGrid>
        <w:gridCol w:w="3545"/>
        <w:gridCol w:w="60"/>
        <w:gridCol w:w="169"/>
        <w:gridCol w:w="878"/>
        <w:gridCol w:w="108"/>
        <w:gridCol w:w="81"/>
        <w:gridCol w:w="169"/>
        <w:gridCol w:w="878"/>
        <w:gridCol w:w="80"/>
      </w:tblGrid>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31,</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04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31,</w:t>
            </w:r>
          </w:p>
        </w:tc>
        <w:tc>
          <w:tcPr>
            <w:tcW w:w="80" w:type="dxa"/>
            <w:tcBorders/>
            <w:shd w:fill="FFFF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medical cannabis</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4,717</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6,146</w:t>
            </w:r>
          </w:p>
        </w:tc>
        <w:tc>
          <w:tcPr>
            <w:tcW w:w="8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adult-use cannabis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53,564</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64,067</w:t>
            </w:r>
          </w:p>
        </w:tc>
        <w:tc>
          <w:tcPr>
            <w:tcW w:w="8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wholesale cannabis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4,155</w:t>
            </w:r>
          </w:p>
        </w:tc>
        <w:tc>
          <w:tcPr>
            <w:tcW w:w="8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international cannabis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16,237</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13,367</w:t>
            </w:r>
          </w:p>
        </w:tc>
        <w:tc>
          <w:tcPr>
            <w:tcW w:w="8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excise taxes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(19,082</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56,109</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64,511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Geographic net revenue:</w:t>
      </w:r>
    </w:p>
    <w:p>
      <w:pPr>
        <w:pStyle w:val="TextBody"/>
        <w:bidi w:val="0"/>
        <w:spacing w:before="0" w:after="0"/>
        <w:ind w:left="0" w:right="0" w:hanging="0"/>
        <w:jc w:val="left"/>
        <w:rPr/>
      </w:pPr>
      <w:r>
        <w:rPr/>
        <w:t> </w:t>
      </w:r>
    </w:p>
    <w:tbl>
      <w:tblPr>
        <w:tblW w:w="3547" w:type="dxa"/>
        <w:jc w:val="left"/>
        <w:tblInd w:w="0" w:type="dxa"/>
        <w:tblLayout w:type="fixed"/>
        <w:tblCellMar>
          <w:top w:w="0" w:type="dxa"/>
          <w:left w:w="0" w:type="dxa"/>
          <w:bottom w:w="0" w:type="dxa"/>
          <w:right w:w="0" w:type="dxa"/>
        </w:tblCellMar>
      </w:tblPr>
      <w:tblGrid>
        <w:gridCol w:w="1145"/>
        <w:gridCol w:w="60"/>
        <w:gridCol w:w="162"/>
        <w:gridCol w:w="902"/>
        <w:gridCol w:w="77"/>
        <w:gridCol w:w="77"/>
        <w:gridCol w:w="162"/>
        <w:gridCol w:w="902"/>
        <w:gridCol w:w="60"/>
      </w:tblGrid>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31,</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0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31,</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0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58,326</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63,961</w:t>
            </w:r>
          </w:p>
        </w:tc>
        <w:tc>
          <w:tcPr>
            <w:tcW w:w="6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48,432</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58,167</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EMEA</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145,522</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85,253</w:t>
            </w:r>
          </w:p>
        </w:tc>
        <w:tc>
          <w:tcPr>
            <w:tcW w:w="6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 of World</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4,867</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2,120</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257,147</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209,501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Geographic capital assets:</w:t>
      </w:r>
    </w:p>
    <w:p>
      <w:pPr>
        <w:pStyle w:val="TextBody"/>
        <w:bidi w:val="0"/>
        <w:spacing w:before="0" w:after="0"/>
        <w:ind w:left="0" w:right="0" w:hanging="0"/>
        <w:jc w:val="left"/>
        <w:rPr>
          <w:caps w:val="false"/>
          <w:smallCaps w:val="false"/>
        </w:rPr>
      </w:pPr>
      <w:r>
        <w:rPr>
          <w:caps w:val="false"/>
          <w:smallCaps w:val="false"/>
        </w:rPr>
        <w:t> </w:t>
      </w:r>
    </w:p>
    <w:tbl>
      <w:tblPr>
        <w:tblW w:w="3109" w:type="dxa"/>
        <w:jc w:val="left"/>
        <w:tblInd w:w="0" w:type="dxa"/>
        <w:tblLayout w:type="fixed"/>
        <w:tblCellMar>
          <w:top w:w="0" w:type="dxa"/>
          <w:left w:w="0" w:type="dxa"/>
          <w:bottom w:w="0" w:type="dxa"/>
          <w:right w:w="0" w:type="dxa"/>
        </w:tblCellMar>
      </w:tblPr>
      <w:tblGrid>
        <w:gridCol w:w="1145"/>
        <w:gridCol w:w="60"/>
        <w:gridCol w:w="137"/>
        <w:gridCol w:w="767"/>
        <w:gridCol w:w="60"/>
        <w:gridCol w:w="60"/>
        <w:gridCol w:w="125"/>
        <w:gridCol w:w="695"/>
        <w:gridCol w:w="60"/>
      </w:tblGrid>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August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May 31,</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1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2026</w:t>
            </w:r>
          </w:p>
        </w:tc>
        <w:tc>
          <w:tcPr>
            <w:tcW w:w="60" w:type="dxa"/>
            <w:tcBorders/>
            <w:shd w:fill="FFFFFF" w:val="clear"/>
            <w:vAlign w:val="center"/>
          </w:tcPr>
          <w:p>
            <w:pPr>
              <w:pStyle w:val="TableContents"/>
              <w:bidi w:val="0"/>
              <w:spacing w:before="0" w:after="0"/>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USA</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205,546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207,592</w:t>
            </w:r>
          </w:p>
        </w:tc>
        <w:tc>
          <w:tcPr>
            <w:tcW w:w="6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Canada</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237,582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245,799</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EMEA</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202,598</w:t>
            </w:r>
          </w:p>
        </w:tc>
        <w:tc>
          <w:tcPr>
            <w:tcW w:w="6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 of World</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24,236</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665,923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680,225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Major customers are defined as customers that are materially significant to the Company’s annual revenues.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August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there were no major customers representing a material contribution to our quarterly revenues.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500" w:right="0" w:hanging="50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26.</w:t>
      </w:r>
      <w:r>
        <w:rPr>
          <w:rFonts w:ascii="Times New Roman" w:hAnsi="Times New Roman"/>
          <w:caps w:val="false"/>
          <w:smallCaps w:val="false"/>
          <w:sz w:val="20"/>
        </w:rPr>
        <w:t xml:space="preserve"> </w:t>
      </w:r>
      <w:r>
        <w:rPr>
          <w:rFonts w:ascii="Times New Roman" w:hAnsi="Times New Roman"/>
          <w:b/>
          <w:caps w:val="false"/>
          <w:smallCaps w:val="false"/>
          <w:sz w:val="20"/>
        </w:rPr>
        <w:t>Subsequent Events</w:t>
      </w:r>
    </w:p>
    <w:p>
      <w:pPr>
        <w:pStyle w:val="TextBody"/>
        <w:bidi w:val="0"/>
        <w:spacing w:before="0" w:after="0"/>
        <w:ind w:left="500" w:right="0" w:hanging="50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September 2026,</w:t>
      </w:r>
      <w:r>
        <w:rPr>
          <w:rFonts w:ascii="Times New Roman" w:hAnsi="Times New Roman"/>
          <w:caps w:val="false"/>
          <w:smallCaps w:val="false"/>
          <w:sz w:val="20"/>
        </w:rPr>
        <w:t xml:space="preserve"> the Company completed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private debt-for-equity Exchange Transactions with unrelated parties. Pursuant to the Exchange Transactions, the Company issued an aggregate of 2,841,650 shares of Common Stock in exchange for $12,000 aggregate principal amount of the TLRY </w:t>
      </w:r>
      <w:r>
        <w:rPr>
          <w:rStyle w:val="Emphasis"/>
          <w:rFonts w:ascii="Times New Roman" w:hAnsi="Times New Roman"/>
          <w:caps w:val="false"/>
          <w:smallCaps w:val="false"/>
          <w:sz w:val="20"/>
        </w:rPr>
        <w:t>27</w:t>
      </w:r>
      <w:r>
        <w:rPr>
          <w:rFonts w:ascii="Times New Roman" w:hAnsi="Times New Roman"/>
          <w:caps w:val="false"/>
          <w:smallCaps w:val="false"/>
          <w:sz w:val="20"/>
        </w:rPr>
        <w:t xml:space="preserve"> Notes due </w:t>
      </w:r>
      <w:r>
        <w:rPr>
          <w:rStyle w:val="Emphasis"/>
          <w:rFonts w:ascii="Times New Roman" w:hAnsi="Times New Roman"/>
          <w:caps w:val="false"/>
          <w:smallCaps w:val="false"/>
          <w:sz w:val="20"/>
        </w:rPr>
        <w:t xml:space="preserve">June 15, 2027. </w:t>
      </w:r>
      <w:r>
        <w:rPr>
          <w:rFonts w:ascii="Times New Roman" w:hAnsi="Times New Roman"/>
          <w:caps w:val="false"/>
          <w:smallCaps w:val="false"/>
          <w:sz w:val="20"/>
        </w:rPr>
        <w:t xml:space="preserve">As a result, $52,000 of principal remains outstanding on the Company’s TLRY </w:t>
      </w:r>
      <w:r>
        <w:rPr>
          <w:rStyle w:val="Emphasis"/>
          <w:rFonts w:ascii="Times New Roman" w:hAnsi="Times New Roman"/>
          <w:caps w:val="false"/>
          <w:smallCaps w:val="false"/>
          <w:sz w:val="20"/>
        </w:rPr>
        <w:t>27</w:t>
      </w:r>
      <w:r>
        <w:rPr>
          <w:rFonts w:ascii="Times New Roman" w:hAnsi="Times New Roman"/>
          <w:caps w:val="false"/>
          <w:smallCaps w:val="false"/>
          <w:sz w:val="20"/>
        </w:rPr>
        <w:t xml:space="preserve"> Notes as of the date of this filing on </w:t>
      </w:r>
      <w:r>
        <w:rPr>
          <w:rStyle w:val="Emphasis"/>
          <w:rFonts w:ascii="Times New Roman" w:hAnsi="Times New Roman"/>
          <w:caps w:val="false"/>
          <w:smallCaps w:val="false"/>
          <w:sz w:val="20"/>
        </w:rPr>
        <w:t>October 8, 2026.</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September 2026,</w:t>
      </w:r>
      <w:r>
        <w:rPr>
          <w:rFonts w:ascii="Times New Roman" w:hAnsi="Times New Roman"/>
          <w:caps w:val="false"/>
          <w:smallCaps w:val="false"/>
          <w:sz w:val="20"/>
        </w:rPr>
        <w:t xml:space="preserve"> the Company completed the sale of its 90% ownership interest in Colcanna S.A.S. en Liquidación. The Company received nominal cash consideration and the purchaser assumed all liabilities of the subsidiary.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7, 2026, </w:t>
      </w:r>
      <w:r>
        <w:rPr>
          <w:rFonts w:ascii="Times New Roman" w:hAnsi="Times New Roman"/>
          <w:caps w:val="false"/>
          <w:smallCaps w:val="false"/>
          <w:sz w:val="20"/>
        </w:rPr>
        <w:t xml:space="preserve">ABC Group entered into a Seventh Amendment to Credit Agreement (the “Seventh Amendment”) with Bank of America, N.A., in its capacity as Administrative Agent, and certain other guarantors and lenders which are a party thereto. Specifically, the Seventh Amendment amends the Credit Agreement dated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among other things, provides that the financial covenants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tested for the fiscal quarter ended </w:t>
      </w:r>
      <w:r>
        <w:rPr>
          <w:rStyle w:val="Emphasis"/>
          <w:rFonts w:ascii="Times New Roman" w:hAnsi="Times New Roman"/>
          <w:caps w:val="false"/>
          <w:smallCaps w:val="false"/>
          <w:sz w:val="20"/>
        </w:rPr>
        <w:t xml:space="preserve">August 31, 2026 </w:t>
      </w:r>
      <w:r>
        <w:rPr>
          <w:rFonts w:ascii="Times New Roman" w:hAnsi="Times New Roman"/>
          <w:caps w:val="false"/>
          <w:smallCaps w:val="false"/>
          <w:sz w:val="20"/>
        </w:rPr>
        <w:t>and revises certain financial covenants for subsequent periods. The Seventh Amendment also limits borrowing availability under the revolving facility in future periods until the covenant tests are once again tested. </w:t>
      </w:r>
    </w:p>
    <w:p>
      <w:pPr>
        <w:pStyle w:val="TextBody"/>
        <w:bidi w:val="0"/>
        <w:spacing w:before="0" w:after="0"/>
        <w:ind w:left="500" w:right="0" w:hanging="5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8" w:name="mda"/>
      <w:bookmarkEnd w:id="8"/>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i/>
          <w:caps w:val="false"/>
          <w:smallCaps w:val="false"/>
          <w:sz w:val="20"/>
        </w:rPr>
        <w:t>This 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 should be read in conjunction with the Unaudited Interim Consolidated Financial Statements and the related Notes thereto for the three month period ended August 31, 2026 contained in this Quarterly Report on Form 10-Q (</w:t>
      </w:r>
      <w:r>
        <w:rPr>
          <w:rFonts w:ascii="Times New Roman" w:hAnsi="Times New Roman"/>
          <w:caps w:val="false"/>
          <w:smallCaps w:val="false"/>
          <w:sz w:val="20"/>
        </w:rPr>
        <w:t>“</w:t>
      </w:r>
      <w:r>
        <w:rPr>
          <w:rFonts w:ascii="Times New Roman" w:hAnsi="Times New Roman"/>
          <w:i/>
          <w:caps w:val="false"/>
          <w:smallCaps w:val="false"/>
          <w:sz w:val="20"/>
        </w:rPr>
        <w:t>Form 10-Q</w:t>
      </w:r>
      <w:r>
        <w:rPr>
          <w:rFonts w:ascii="Times New Roman" w:hAnsi="Times New Roman"/>
          <w:caps w:val="false"/>
          <w:smallCaps w:val="false"/>
          <w:sz w:val="20"/>
        </w:rPr>
        <w:t>”</w:t>
      </w:r>
      <w:r>
        <w:rPr>
          <w:rFonts w:ascii="Times New Roman" w:hAnsi="Times New Roman"/>
          <w:i/>
          <w:caps w:val="false"/>
          <w:smallCaps w:val="false"/>
          <w:sz w:val="20"/>
        </w:rPr>
        <w:t xml:space="preserve">) and the Audited Consolidated Financial Statements and the related Notes thereto contained in our Annual Report on Form 10-K for the fiscal year ended May 31, 2026, as well as in conjunction with the sections entitled </w:t>
      </w:r>
      <w:r>
        <w:rPr>
          <w:rFonts w:ascii="Times New Roman" w:hAnsi="Times New Roman"/>
          <w:caps w:val="false"/>
          <w:smallCaps w:val="false"/>
          <w:sz w:val="20"/>
        </w:rPr>
        <w:t>“</w:t>
      </w:r>
      <w:r>
        <w:rPr>
          <w:rFonts w:ascii="Times New Roman" w:hAnsi="Times New Roman"/>
          <w:i/>
          <w:caps w:val="false"/>
          <w:smallCaps w:val="false"/>
          <w:sz w:val="20"/>
        </w:rPr>
        <w:t>Item 1A. 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Item 7. 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 xml:space="preserve">” </w:t>
      </w:r>
      <w:r>
        <w:rPr>
          <w:rFonts w:ascii="Times New Roman" w:hAnsi="Times New Roman"/>
          <w:i/>
          <w:caps w:val="false"/>
          <w:smallCaps w:val="false"/>
          <w:sz w:val="20"/>
        </w:rPr>
        <w:t>in our Annual Report on Form 10-K</w:t>
      </w:r>
      <w:r>
        <w:rPr>
          <w:rFonts w:ascii="Times New Roman" w:hAnsi="Times New Roman"/>
          <w:caps w:val="false"/>
          <w:smallCaps w:val="false"/>
          <w:sz w:val="20"/>
        </w:rPr>
        <w:t> </w:t>
      </w:r>
      <w:r>
        <w:rPr>
          <w:rFonts w:ascii="Times New Roman" w:hAnsi="Times New Roman"/>
          <w:i/>
          <w:caps w:val="false"/>
          <w:smallCaps w:val="false"/>
          <w:sz w:val="20"/>
        </w:rPr>
        <w:t xml:space="preserve">for the fiscal year ended May 31, 2026 and in the section entitled “Item 1A. Risk Factors” in this Form 10-Q. Forward looking statements in this Form 10-Q are qualified by the cautionary statement included in this Form 10-Q under the sub-heading </w:t>
      </w:r>
      <w:r>
        <w:rPr>
          <w:rFonts w:ascii="Times New Roman" w:hAnsi="Times New Roman"/>
          <w:caps w:val="false"/>
          <w:smallCaps w:val="false"/>
          <w:sz w:val="20"/>
        </w:rPr>
        <w:t>“</w:t>
      </w:r>
      <w:r>
        <w:rPr>
          <w:rFonts w:ascii="Times New Roman" w:hAnsi="Times New Roman"/>
          <w:i/>
          <w:caps w:val="false"/>
          <w:smallCaps w:val="false"/>
          <w:sz w:val="20"/>
        </w:rPr>
        <w:t>Cautionary Note Regarding 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 the introduction of this Form 10-Q.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Company 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Tilray Brands, Inc., a Delaware corporation (collectively, along with its subsidiaries, the “Company”, “Tilray”, “we”, “us” and “our”), is a leading global lifestyle consumer products company, which was incorporated on January 24, 2018 and is headquartered in Leamington and New York, with operations in Canada, the United States, Europe, Australia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and wellness, while creating memorable experiences that bring people together.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overall strategy is to leverage our brands, infrastructure, expertise and capabilities to drive revenue growth in the industries and channels in which we compete, achieve industry-leading profitability and build sustainable, long-term shareholder value. In order to ensure the long-term sustainable growth of our Company, we continue to focus on developing strong capabilities in data analytics and consumer insights, drive category management leadership and assess opportunities for the introduction of new categories, products and entries into new geographies. In addition, we are relentlessly focused on managing our cost structure and expenses in order to expand margins and maintain our strong financial position. Finally, our experienced leadership team provides a strong foundation to accelerate our growth. Our management team is complemented by experienced operators, cannabis industry experts, veteran beer and beverage industry leaders and leaders that are well-established in wellness and better-for-you products, all of whom apply an innovative and consumer-centric approach to our businesses.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Trends and Other Factors Affecting Our Business </w:t>
      </w:r>
    </w:p>
    <w:p>
      <w:pPr>
        <w:pStyle w:val="TextBody"/>
        <w:bidi w:val="0"/>
        <w:spacing w:before="0" w:after="0"/>
        <w:ind w:left="0" w:right="0" w:firstLine="500"/>
        <w:jc w:val="both"/>
        <w:rPr/>
      </w:pPr>
      <w:r>
        <w:rPr/>
        <w:t> </w:t>
      </w:r>
    </w:p>
    <w:p>
      <w:pPr>
        <w:pStyle w:val="TextBody"/>
        <w:bidi w:val="0"/>
        <w:spacing w:before="0" w:after="0"/>
        <w:ind w:left="0" w:right="0" w:firstLine="500"/>
        <w:jc w:val="both"/>
        <w:rPr>
          <w:rFonts w:ascii="Times New Roman;Times;serif" w:hAnsi="Times New Roman;Times;serif"/>
          <w:b/>
          <w:i/>
          <w:sz w:val="20"/>
        </w:rPr>
      </w:pPr>
      <w:r>
        <w:rPr>
          <w:rFonts w:ascii="Times New Roman;Times;serif" w:hAnsi="Times New Roman;Times;serif"/>
          <w:b/>
          <w:i/>
          <w:sz w:val="20"/>
        </w:rPr>
        <w:t>U.S. Beverage market trends: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Within the beverage category, we expect the following key trends to continue to shape the near-term outlook in this segment:</w:t>
      </w:r>
    </w:p>
    <w:p>
      <w:pPr>
        <w:pStyle w:val="TextBody"/>
        <w:bidi w:val="0"/>
        <w:spacing w:before="0" w:after="0"/>
        <w:ind w:left="16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r>
              <w:rPr/>
              <w:t>-</w:t>
            </w:r>
          </w:p>
        </w:tc>
        <w:tc>
          <w:tcPr>
            <w:tcW w:w="99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Beverage Distribution</w:t>
            </w:r>
            <w:r>
              <w:rPr>
                <w:rFonts w:ascii="Times New Roman;Times;serif" w:hAnsi="Times New Roman;Times;serif"/>
                <w:sz w:val="20"/>
              </w:rPr>
              <w:t>. In furtherance of our strategic vision, we remain focused on enhancing the relevance of our brands within their home markets with mission critical SKUs, focusing on growing our core brands in their core markets and on driving growth of our highest margin SKUs within these brands. Through targeted efforts, we continue to strategically optimize our price/pack/channel architecture and drive distribution to continue to execute against our craft beer strategy, streamlining our business, enhancing our relevance and focusing resources on our core markets.</w:t>
            </w:r>
          </w:p>
        </w:tc>
      </w:tr>
    </w:tbl>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r>
              <w:rPr/>
              <w:t>-</w:t>
            </w:r>
          </w:p>
        </w:tc>
        <w:tc>
          <w:tcPr>
            <w:tcW w:w="99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Innovation</w:t>
            </w:r>
            <w:r>
              <w:rPr>
                <w:rFonts w:ascii="Times New Roman;Times;serif" w:hAnsi="Times New Roman;Times;serif"/>
                <w:sz w:val="20"/>
              </w:rPr>
              <w:t>. In the United States, we have been closely monitoring consumer beverage trends, which have included consumers drinking less beverage alcohol products for a variety of reasons and, when consuming alcoholic beverages, the increasing demand for ready-to-drink cocktail options. To address these trends, we have engaged in strategic innovation based on category analysis, consumer insights, and portfolio diversification into alternative beverage options. More specifically, we have launched products such as Cruisies and 10 Barrel’s Salty Sips line, a lower</w:t>
              <w:noBreakHyphen/>
              <w:t>sugar vodka-based refresher made with real fruit juice and a pinch of sea salt. For consumers seeking to reduce their beverage alcohol consumption, the portfolio continues to scale across non</w:t>
              <w:noBreakHyphen/>
              <w:t>alcoholic craft beer, clean</w:t>
              <w:noBreakHyphen/>
              <w:t>label energy drinks fortified with vitamins, and 10 Barrel Clean Slate, a functional non</w:t>
              <w:noBreakHyphen/>
              <w:t>alcoholic cocktail offering. Our innovation pipeline also includes flavored malt beverage offerings under the Popsicle brand, developed through a licensing partnership to bring iconic, nostalgic Popsicle flavors to ready</w:t>
              <w:noBreakHyphen/>
              <w:t>to</w:t>
              <w:noBreakHyphen/>
              <w:t>drink adult beverages. Following a successful market launch and strong consumer demand, we continue to expand the Popsicle product portfolio with additional flavor extensions and package formats, further strengthening the brand’s presence within the growing flavored malt beverage category. These strategic innovations underscore our commitment to offering high-quality options across a diverse range of beverage categories, positioning us for sustained growth by meeting consumer demand and differentiation in the competitive beverage segment.</w:t>
            </w:r>
          </w:p>
        </w:tc>
      </w:tr>
    </w:tbl>
    <w:p>
      <w:pPr>
        <w:pStyle w:val="TextBody"/>
        <w:bidi w:val="0"/>
        <w:spacing w:before="0" w:after="0"/>
        <w:ind w:left="0" w:right="0" w:firstLine="54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r>
              <w:rPr/>
              <w:t>-</w:t>
            </w:r>
          </w:p>
        </w:tc>
        <w:tc>
          <w:tcPr>
            <w:tcW w:w="99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Brew Pubs</w:t>
            </w:r>
            <w:r>
              <w:rPr>
                <w:rFonts w:ascii="Times New Roman;Times;serif" w:hAnsi="Times New Roman;Times;serif"/>
                <w:sz w:val="20"/>
              </w:rPr>
              <w:t>. We currently operate 20 brew pubs, including our Breckenridge Distillery restaurant and tasting room, in geographic regions across the U.S. and core markets for the associated craft brands. This includes our four recently acquired BrewDog U.S. brew pubs, including a flagship multi</w:t>
              <w:noBreakHyphen/>
              <w:t>level location on the Las Vegas Strip. During fiscal 2027, we further expanded our experiential retail footprint with the opening of a second Montauk Brewing brewpub in Port Jefferson, New York, extending the brand’s coastal lifestyle experience and creating an additional destination for consumer engagement, brand building and product trial. An important part of our strategic plan for our craft beer business centers on the role that brew pubs and experiential hospitality play in promoting and showcasing the distinct, regional positioning of our various craft beer brands. They provide our consumers with a venue in which to connect with others and have an immersive brand experience which serves to enhance brand loyalty and drive immediate and long-term revenue growth. We also believe that our brew pub strategy fuels trial and innovation by allowing us to curate unique small batch product offerings in targeted test markets.</w:t>
            </w:r>
          </w:p>
        </w:tc>
      </w:tr>
    </w:tbl>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spirits category, Breckenridge Distillery combines premium craftsmanship, award-winning quality, and experiential tourism appeal, reinforcing its positioning as a lifestyle-driven spirits brand. Recently included in Newsweek's “Best Bourbon 2026” list, the distillery has earned multiple prestigious accolades across Whiskey, Gin, and Vodka, including three Icons of Whisky awards, ten Best American Blended Whiskey honors at the World Whiskies Awards, and recognition as Colorado Distillery of the Year. Breckenridge Distillery products are available in all 50 states, with continued planned expansion into other product categories and product innovations. Recent launches include Mock One, a non-alcoholic spirits line, Mountain Shot, flavored whiskey in convenient pouches, and Casa Breck Tequila, all underscoring our commitment to innovation and evolving consumer preferences. Despite prevailing challenges within the overall spirits market, we believe that our award-winning portfolio and innovative product introductions positions Breckenridge Distillery for sustained growth and enhanced market presence.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U.K. Beverage</w:t>
      </w:r>
      <w:r>
        <w:rPr>
          <w:rFonts w:ascii="Times New Roman" w:hAnsi="Times New Roman"/>
          <w:caps w:val="false"/>
          <w:smallCaps w:val="false"/>
          <w:sz w:val="20"/>
        </w:rPr>
        <w:t> </w:t>
      </w:r>
      <w:r>
        <w:rPr>
          <w:rFonts w:ascii="Times New Roman" w:hAnsi="Times New Roman"/>
          <w:b/>
          <w:i/>
          <w:caps w:val="false"/>
          <w:smallCaps w:val="false"/>
          <w:sz w:val="20"/>
        </w:rPr>
        <w:t>market trends: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U.K., the beverage alcohol market remains highly competitive and continues to be impacted by evolving consumer preferences, cost pressures, and moderation trends. Consumers are increasingly seeking premium products, no and low-alcohol alternatives, and differentiated brand experiences across both retail and hospitality channels. Through BrewDog’s established brand portfolio, retail and e-commerce presence, and company-operated bar network, we believe we are well-positioned to compete in the U.K. market while focusing on core brand performance, operational efficiency, and selective innovation. </w:t>
      </w:r>
    </w:p>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i/>
          <w:sz w:val="20"/>
        </w:rPr>
      </w:pPr>
      <w:r>
        <w:rPr>
          <w:rFonts w:ascii="Times New Roman;Times;serif" w:hAnsi="Times New Roman;Times;serif"/>
          <w:b/>
          <w:i/>
          <w:sz w:val="20"/>
        </w:rPr>
        <w:t>Canadian cannabis market trends:</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cannabis industry in Canada continues to evolve given how nascent the industry is with federal legalization of adult-use cannabis occurring approximately eight years ago. Through analysis of the current market conditions, the following key trends have emerged and are anticipated to influence the near-term future in the Canadian cannabis industry:</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Market share</w:t>
            </w:r>
            <w:r>
              <w:rPr>
                <w:rFonts w:ascii="Times New Roman;Times;serif" w:hAnsi="Times New Roman;Times;serif"/>
                <w:sz w:val="20"/>
              </w:rPr>
              <w:t>. During the first fiscal quarter, we experienced a decrease in market share in Canada from 7.9% to 7.4% from the immediately preceding quarter as reported by Hifyre data for all provinces, excluding Quebec where Weedcrawler was deemed more accurate. The 50-basis point decline primarily reflected a 90-basis point decrease in the whole flower category, resulting from a planned cultivation strain rotation that temporarily impacted supply, and a 440-basis point decrease in the straight-edge pre</w:t>
              <w:noBreakHyphen/>
              <w:t>roll category due to an out</w:t>
              <w:noBreakHyphen/>
              <w:t>of</w:t>
              <w:noBreakHyphen/>
              <w:t>stock experienced by a componentry vendor despite maintaining a market leading position within this category. These declines were partially offset by modest increases in the vape, blunt and infused pre-roll categories as the Company continues to scale in these high-growth, ready-to-consume product formats. Despite the decline in flower market share, the Company remains focused on improving profitability within the category by prioritizing higher-margin premium brands, including Broken Coast. The Company continues to enhance its global supply chain and expand its cultivation footprint to support demand across Canadian and international markets. We have successfully optimized our Quebec cultivation facility and expect it to generate meaningful flower output in the second half of the fiscal year, which may be directed to international markets based on potential customer demand. During the fiscal quarter ended August 31, 2026, the Company opportunistically redirected approximately 1.0 Metric Tonnes to international markets, which are expected to generate higher margin sales.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Price compression.</w:t>
            </w:r>
            <w:r>
              <w:rPr>
                <w:rFonts w:ascii="Times New Roman;Times;serif" w:hAnsi="Times New Roman;Times;serif"/>
                <w:sz w:val="20"/>
              </w:rPr>
              <w:t> Licensed producer consolidation has progressed more gradually than anticipated, while retailer consolidation has increased the negotiating leverage of larger retailer accounts. At the same time, consumer preferences continue to evolve. Demand is shifting toward manufactured formats such as infused pre</w:t>
              <w:noBreakHyphen/>
              <w:t>rolls, beverages, edibles, and vapes, reflecting a broader premiumization and convenience trend within the category. Price compression in specific categories is expected to persist in the market, intensified by fierce competition among the approximately 1,000 Licensed Producers in Canada. The fixed impact of excise tax per gram further compounds these challenges, and has promoted ongoing industry lobbying efforts.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International cannabis market trends: </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a global leader in the development, production, distribution, marketing and sale of pharmaceutical-grade medical cannabis products. The cannabis industry in Europe is still in its early stages of development and countries within Europe are at different stages of medical cannabis legalization. Meaningful progress in the legalization and regulation of cannabis for medical purposes, has now taken place in more than 20 countries representing a population of more than 524 million people (Germany, UK, Italy, Poland, Netherlands, Czech Republic, Greece, Portugal, Austria, Switzerland, Denmark, Croatia, Malta, Luxembourg, Ukraine, Sweden, Norway, Türkiye, Ireland and Spain). Beyond this, some countries have expressed a clear political ambition to legalize adult-use cannabis (Portugal and Luxembourg), some are engaging in programs for adult-use legalization (Netherlands and Switzerland) and some are debating regulations for cannabinoid-based medicine (France). In Europe, we believe that, despite continuing recessionary economic conditions, political uncertainty in various countries and the continuing Russian conflict with Ukraine, cannabis legalization (both medicinal and adult-use) will continue to gain traction albeit more slowly than originally expected. This is evidenced by the cannabis regulations in Malta in 2021, in Czech Republic in 2026 and more concretely in Germany in 2024, which we believe will serve as a catalyst for continued changes in drug policy throughout Europe. Outside of Europe and North America, the cannabis industry is also continuing to develop with Australia and Israel representing some of the larger markets and with some Latin American countries also growing their respective medical cannabis markets, such as Argentina, Panama, Colombia and Brazil.</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continue to believe that Tilray remains uniquely well-positioned to maintain and gain significant market share in the markets in which we participate. We benefit from our end-to-end vertically-integrated infrastructure in major markets and well-placed investments, which are comprised of two EU-GMP cultivation facilities located in Portugal and Germany; our fully owned route-to-market encompassing sales, marketing and distribution infrastructure in Germany, Australia and Italy; a network of leading distributors who we work with in the various other countries in which we participate; and, our extensive genetics portfolio and demonstrated commitment and expertise related to the cultivation and production of high-quality, safe cannabis products. Tilray’s International business also benefits from the depth and breadth of knowledge, experience, relationships and infrastructure we have gleaned from our leading participation and investment into the Canadian medical and adult-use markets. Tilray is proudly pioneering the effort to further understand the therapeutic value of cannabis through strategic partnerships with leading research institutions globally where Tilray is currently supporting clinical trials around the world studying the efficacy of cannabis in treating various indications. We believe that these assets and attributes, combined with our ability to navigate complex regulatory environments, will continue to drive our leadership in international medical markets and allow us to successfully enter new markets as they adopt medical cannabis and potentially adult-use regulations and may also serve to support a potential U.S. participation.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i/>
          <w:sz w:val="20"/>
        </w:rPr>
        <w:t>Germany.</w:t>
      </w:r>
      <w:r>
        <w:rPr>
          <w:rFonts w:ascii="Times New Roman;Times;serif" w:hAnsi="Times New Roman;Times;serif"/>
          <w:sz w:val="20"/>
        </w:rPr>
        <w:t> Today, Germany remains the largest medical cannabis market in Europe.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continue to believe that Tilray is well-positioned in Germany, particularly following the enactment of MedCanG and given our domestic cultivation capabilities. Our wholly owned subsidiary, Aphria RX, was awarded the first license for the cultivation of medical cannabis in Germany by the BfArM under the liberalized regime, enhancing our ability to serve patients with high-quality products and improved availability.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Recent changes to Germany’s statutory health insurance framework removed dried medical cannabis flower from the benefit entitlement under §31(6) SGB V. As a result, patients seeking to continue treatment with dried flower through the statutory system will generally be required to cover the cost privately. Standardized cannabis extracts and medicines containing dronabinol or nabilone remain eligible for reimbursement, subject to applicable requirements, including new conditions relating to prior treatment with an approved cannabis-based medicinal product. Certain implementation details and the treatment of previously approved therapies continue to be clarified.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believe the breadth of our portfolio positions us well as these changes are implemented. Our established cannabis extract portfolio allows us to continue serving the reimbursed segment of the market, while our differentiated flower portfolio, which includes the ARX, Good Supply and Tilray Medical brands, provides a range of distinct product propositions for patients in the evolving self-pay market. Across the portfolio, we remain focused on delivering the quality, trust, safety and consistency expected from Tilray.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Poland</w:t>
      </w:r>
      <w:r>
        <w:rPr>
          <w:rFonts w:ascii="Times New Roman" w:hAnsi="Times New Roman"/>
          <w:caps w:val="false"/>
          <w:smallCaps w:val="false"/>
          <w:sz w:val="20"/>
        </w:rPr>
        <w:t>. In Poland, cannabis was legalized for medical use in 2018 and is prescribed to patients by a physician and dispensed by pharmacies. Today, all doctors in Poland are allowed to prescribe medical cannabis and it is a self-pay market as medical cannabis is not refundable by the Polish health service. Tilray is a leading supplier of medical cannabis in Poland through our network of distributor partnerships. We predominantly supply the market with whole flower medical cannabis products.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United Kingdom</w:t>
      </w:r>
      <w:r>
        <w:rPr>
          <w:rFonts w:ascii="Times New Roman" w:hAnsi="Times New Roman"/>
          <w:caps w:val="false"/>
          <w:smallCaps w:val="false"/>
          <w:sz w:val="20"/>
        </w:rPr>
        <w:t>. Since November 2018, doctors in the U.K. have been able to prescribe medical cannabis for medicinal use for patients with medical conditions that had failed to respond to first-line medications. The market today is predominantly all self-pay and prescriptions are facilitated by private clinics. Today, we supply the U.K. market with mainly whole flower products from brands such as Good Supply through our distributor partners with sights on growing our portfolio to extracts and other formats. The Lyphe Acquisition brings deep clinical expertise and a strong patient-first approach that immediately strengthens our capabilities in the U.K.</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Ireland</w:t>
      </w:r>
      <w:r>
        <w:rPr>
          <w:rFonts w:ascii="Times New Roman" w:hAnsi="Times New Roman"/>
          <w:caps w:val="false"/>
          <w:smallCaps w:val="false"/>
          <w:sz w:val="20"/>
        </w:rPr>
        <w:t>. In June 2019, the Minister for Health signed legislation allowing for the operation of the Medical Cannabis Access Programme (“MCAP”) on a pilot basis for five years. The MCAP allows a medical consultant to prescribe a cannabis-based treatment for a narrow set of specified medical conditions, where the patient has failed to respond to standard treatment. Reimbursement is available for products which have received the appropriate approvals. Tilray was one of the first players to enter the Irish market and is one of a few suppliers which has received approval for its products to be prescribed and to have been granted reimbursement status. Today, we supply our approved extract product to Ireland through our distribution partner.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Italy</w:t>
      </w:r>
      <w:r>
        <w:rPr>
          <w:rFonts w:ascii="Times New Roman" w:hAnsi="Times New Roman"/>
          <w:caps w:val="false"/>
          <w:smallCaps w:val="false"/>
          <w:sz w:val="20"/>
        </w:rPr>
        <w:t>. In May 2023, Tilray Medical received authorization from Italy’s Ministry of Health to distribute three new medical cannabis compounds. These medical cannabis compounds are distributed by Tilray Medical Italia to pharmacies across Italy. We have an established broad national pharmaceutical distribution network in Italy, where medical cannabis is prescribed by doctors and reimbursed by the healthcare system to eligible patients. In 2025, Tilray has received additional cannabis flower and extract product authorizations and has formed a strategic partnership with Molteni Farmaceutici with the commitment to broaden the availability of Tilray Medical products for patients across Italy.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Australia</w:t>
      </w:r>
      <w:r>
        <w:rPr>
          <w:rFonts w:ascii="Times New Roman" w:hAnsi="Times New Roman"/>
          <w:caps w:val="false"/>
          <w:smallCaps w:val="false"/>
          <w:sz w:val="20"/>
        </w:rPr>
        <w:t>. In 2016, the Australian Government legalized medicinal cannabis, which is regulated by the Therapeutic Goods Administration. Medical cannabis is prescribed by a doctor but there is no coverage under the Pharmaceutical Benefits Scheme. Tilray Medical supplies the market with a wide portfolio of medical cannabis extracts as well as whole flower products. As the market continues to mature, we have seen increased demands and differentiation specifically with medical cannabis flowers. In response, we launched the Broken Coast, Redecan and Good Supply brands and products, which provides the patient with a segmented portfolio of products while we continue to deliver on the trust, safety and consistency that has become expected from our Tilray Medical brand.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Luxembourg</w:t>
      </w:r>
      <w:r>
        <w:rPr>
          <w:rFonts w:ascii="Times New Roman" w:hAnsi="Times New Roman"/>
          <w:caps w:val="false"/>
          <w:smallCaps w:val="false"/>
          <w:sz w:val="20"/>
        </w:rPr>
        <w:t>. Luxembourg established its medical cannabis framework in 2018, with the national program operational since February 2019. Medical cannabis is tightly regulated, accessible only through trained physicians and dispensed exclusively via hospital pharmacies. Prescriptions are limited to patients with defined, severe medical conditions, and all treatments are covered by public health insurance. In January 2025, Luxembourg updated its regulations to phase-out high-THC flower products, now permitting only balanced or high-CBD flower and oil-based extracts. This shift reflects the government’s commitment to standardized, pharmaceutical-grade cannabis therapies and patient safety. Tilray Deutschland GmbH was awarded the official government tender in 2025 to supply medical cannabis flower, demonstrating our leadership in centralized procurement and compliance with Luxembourg’s rigorous standards.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Portugal</w:t>
      </w:r>
      <w:r>
        <w:rPr>
          <w:rFonts w:ascii="Times New Roman" w:hAnsi="Times New Roman"/>
          <w:caps w:val="false"/>
          <w:smallCaps w:val="false"/>
          <w:sz w:val="20"/>
        </w:rPr>
        <w:t>. Portugal legalized medical cannabis in July 2018. The regulatory framework is overseen by INFARMED, requiring Market Placement Authorization (ACM) for all non-pharmaceutical cannabis products, with strict GACP and GMP compliance. While domestic patient access remains limited due to stringent product approvals and the absence of public reimbursement, Portugal has emerged as a leading European producer and exporter of medical cannabis, supplying high-value markets such as Germany, Poland, and Australia. In 2021, Tilray received the first Authorization for Placement on the Market for dried flower, with additional product approvals in 2024, reinforcing our pioneering role in Portugal’s medical cannabis sector. Our strategic investments in cultivation and manufacturing, combined with robust compliance and documentation standards, enable Tilray to deliver EU-GMP quality products to both domestic and international markets. As Portugal explores adult-use reform, we expect that Tilray’s established reputation and operational excellence position us to capitalize on future regulatory developments and market expansion.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Spain</w:t>
      </w:r>
      <w:r>
        <w:rPr>
          <w:rFonts w:ascii="Times New Roman" w:hAnsi="Times New Roman"/>
          <w:caps w:val="false"/>
          <w:smallCaps w:val="false"/>
          <w:sz w:val="20"/>
        </w:rPr>
        <w:t>. Spain introduced a formal medical cannabis framework in October 2025 (Royal Decree 903/2025), marking the first time cannabis-based treatments are systematically regulated within its healthcare system. The model is highly controlled and built around standardized cannabis preparations (magistral formulas) rather than licensed commercial products, with strict requirements on composition (THC/CBD), manufacturing quality, traceability, and pharmacovigilance under the supervision of the Spanish Medicines Agency (AEMPS).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Ukraine</w:t>
      </w:r>
      <w:r>
        <w:rPr>
          <w:rFonts w:ascii="Times New Roman" w:hAnsi="Times New Roman"/>
          <w:caps w:val="false"/>
          <w:smallCaps w:val="false"/>
          <w:sz w:val="20"/>
        </w:rPr>
        <w:t>. Ukraine established a national medical cannabis framework in 2024, driven largely by the need to treat war</w:t>
        <w:noBreakHyphen/>
        <w:t>related conditions such as chronic pain and post</w:t>
        <w:noBreakHyphen/>
        <w:t>traumatic stress disorder (PTSD). The law (No. 3528</w:t>
        <w:noBreakHyphen/>
        <w:t>IX), signed in February 2024 and effective from August 16, 2024, legalized cannabis for medical, scientific, and educational purposes, removing cannabis extracts from the list of prohibited substances and enabling their cultivation, manufacturing, import/export, and dispensing under strict licensing and quota controls. The regulatory system is highly pharmaceutical in nature: products must be registered as medicines or compounded in pharmacies using approved APIs, with full traceability, security requirements (e.g. controlled cultivation environments and surveillance), and oversight by the Ministry of Health and the State Medicines Service.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Panama</w:t>
      </w:r>
      <w:r>
        <w:rPr>
          <w:rFonts w:ascii="Times New Roman" w:hAnsi="Times New Roman"/>
          <w:caps w:val="false"/>
          <w:smallCaps w:val="false"/>
          <w:sz w:val="20"/>
        </w:rPr>
        <w:t>. Panama established its medical cannabis framework under Law 242 of 2021, with further regulatory advancements in 2026 creating a structured pathway for physician authorization and patient registration. In July 2026, Tilray Medical commercially launched Tilray Oral Solution CBD100, manufactured at our EU-GMP-certified facilities in Portugal and supplied through our joint venture: Solana Life Group. The product is intended to be distributed by prescription through Farmacias Arrocha, expanding patient access to regulated, pharmaceutical-quality cannabinoid medicine through established healthcare channels.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Brazil</w:t>
      </w:r>
      <w:r>
        <w:rPr>
          <w:rFonts w:ascii="Times New Roman" w:hAnsi="Times New Roman"/>
          <w:caps w:val="false"/>
          <w:smallCaps w:val="false"/>
          <w:sz w:val="20"/>
        </w:rPr>
        <w:t>. Brazil has recently implemented a major overhaul of its medical cannabis regulatory framework (2025–2026), transitioning from a temporary, import</w:t>
        <w:noBreakHyphen/>
        <w:t>dependent model (RDC 327/2019) to a more comprehensive, pharmaceutical-grade system covering the entire value chain. The new rules adopted by ANVISA in early 2026 (notably RDC 1.012–1.015/2026) establish for the first time clear provisions for cultivation, manufacturing, research, and commercialization under strict licensing and oversight. Cannabis products are formally defined as industrialized medicinal products based primarily on CBD or CBD-dominant extracts, reinforcing a pharmaceutical approach and excluding non-medical formats (e.g. cosmetics or wellness products). The framework also introduces domestic cultivation (≤0.3% THC) for medical purposes, a regulatory sandbox for controlled pilot activities (including patient associations), and stricter GMP, traceability, and quality standards aligned with international norms.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France</w:t>
      </w:r>
      <w:r>
        <w:rPr>
          <w:rFonts w:ascii="Times New Roman" w:hAnsi="Times New Roman"/>
          <w:caps w:val="false"/>
          <w:smallCaps w:val="false"/>
          <w:sz w:val="20"/>
        </w:rPr>
        <w:t>. France is approaching full approval of a permanent medical cannabis framework, following a multi</w:t>
        <w:noBreakHyphen/>
        <w:t>year pilot (2021–2026) and a prolonged regulatory process. The government has already finalized the core legal architecture, including draft decrees covering prescription, production, and distribution, which have been submitted to the European Commission and reviewed by the Conseil d’État.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forthcoming approval is expected to introduce a highly controlled, evidence-driven model: cannabis will be prescribed only as treatment for defined conditions (e.g. neuropathic pain, epilepsy, multiple sclerosis spasticity, oncology and palliative care), using standardized pharmaceutical products (oils, capsules, possibly vaporized formats) under strict ANSM oversight. Prescription will initially remain specialist-led, with potential gradual involvement of general practitioners, and products will require full pharmaceutical compliance (quality, traceability, GMP). A critical pending step is the HAS (Haute Autorité de Santé) evaluation, expected to determine reimbursement and clinical value in late 2026, which will ultimately define real patient access. If favorable, broad patient access is targeted for 2027, positioning France as a large regulated medical cannabis market.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i/>
          <w:caps w:val="false"/>
          <w:smallCaps w:val="false"/>
          <w:sz w:val="20"/>
        </w:rPr>
        <w:t>U.S.</w:t>
      </w:r>
      <w:r>
        <w:rPr>
          <w:rFonts w:ascii="Times New Roman" w:hAnsi="Times New Roman"/>
          <w:caps w:val="false"/>
          <w:smallCaps w:val="false"/>
          <w:sz w:val="20"/>
        </w:rPr>
        <w:t> </w:t>
      </w:r>
      <w:r>
        <w:rPr>
          <w:rFonts w:ascii="Times New Roman" w:hAnsi="Times New Roman"/>
          <w:b/>
          <w:i/>
          <w:caps w:val="false"/>
          <w:smallCaps w:val="false"/>
          <w:sz w:val="20"/>
        </w:rPr>
        <w:t>cannabis market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April 2026, the U.S. Department of Justice (the “DOJ”) issued an order rescheduling FDA</w:t>
        <w:noBreakHyphen/>
        <w:t>approved cannabis products and state</w:t>
        <w:noBreakHyphen/>
        <w:t>licensed medical cannabis from Schedule I to Schedule III under the Controlled Substances Act. The DEA conducted an expedited administrative hearing to consider broader rescheduling.  While the DOJ rescheduling order is facing legal challenges in the D.C. Circuit Court of Appeals, the only expected additional step in the proceedings was for the DEA Chief Administrative Law Judge (the “ALJ”) to issue his recommendation on rescheduling to the DEA, who would then make a final determination on policy.  Most recently, the ALJ granted a motion for a stay filed by certain parties who claimed that the recent Government Accountability Office (“GAO”) report on drug scheduling should be entered into the record.  Agreeing that it should be allowed in the record, the ALJ has requested briefing of the GAO report to be submitted in the proceedings.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a global leader in medical cannabis, we believe we are well-positioned to participate in a federally compliant U.S. medical cannabis market, but we continue to monitor the regulatory landscape and legal challenges that are ongoing. We continue to believe that these recent efforts to reschedule cannabis from Schedule I to Schedule III under the Controlled Substances Act represent meaningful progress toward broader cannabis reform and have the potential to accelerate clinical research, broaden patient access, and support the development of a regulated, science-driven medical cannabis market in the United States.</w:t>
      </w:r>
    </w:p>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i/>
          <w:sz w:val="20"/>
        </w:rPr>
      </w:pPr>
      <w:r>
        <w:rPr>
          <w:rFonts w:ascii="Times New Roman;Times;serif" w:hAnsi="Times New Roman;Times;serif"/>
          <w:b/>
          <w:i/>
          <w:sz w:val="20"/>
        </w:rPr>
        <w:t>Wellness market trends:</w:t>
      </w:r>
    </w:p>
    <w:p>
      <w:pPr>
        <w:pStyle w:val="TextBody"/>
        <w:bidi w:val="0"/>
        <w:spacing w:before="0" w:after="0"/>
        <w:ind w:left="0" w:right="0" w:firstLine="54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Tilray Wellness’ branded business continues to grow across brick-and-mortar retail as well as e-commerce, which we believe further establishes its leading market share position in better-for-you categories. The Company continues to focus on value-added innovation within natural and organic food and beverages across branded and ingredient sales. We continue to participate in multiple growing categories including super-seeds, better-for-you breakfast, better-for-you snacking, as well as functional beverages and natural energy drinks. Within our Ingredients sales business, we have expanded our range of offerings in hemp protein and hemp oil, helping us further develop our business in North America and Asia.</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Acquisitions, Strategic Transactions and Synergies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strive to continue to expand our business, on a consolidated basis, through a combination of organic growth and acquisition. While we continue to execute against our strategic initiatives that we believe will result in long-term, sustainable growth and value to our stockholders, we continue to evaluate potential acquisitions and other strategic transactions of businesses that we believe complement our existing portfolio, infrastructure and capabilities or provide us with the opportunity to enter attractive new geographic markets and product categories as well as expand our existing capabilities. In addition, we have exited certain businesses and continue to evaluate certain businesses within our portfolio that are dilutive to profitability and cash flow. As a result, we incur transaction costs in connection with identifying and completing acquisitions and strategic transactions, as well as ongoing integration and restructuring costs as we combine acquired companies and continue to achieve synergies, which is offset by income generated in connection with the execution of these transactions. For the three months ended August 31, 2026, we incurred $4.8 million of transaction costs, net. For the three months ended August 31, 2025, we incurred $0.4 million of transaction costs, net. The following strategic transactions completed during the fourth quarter of fiscal year 2026 continue to have a meaningful impact on our business, growth strategy and operating results: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Carlsberg.</w:t>
      </w:r>
      <w:r>
        <w:rPr>
          <w:rFonts w:ascii="Times New Roman" w:hAnsi="Times New Roman"/>
          <w:caps w:val="false"/>
          <w:smallCaps w:val="false"/>
          <w:sz w:val="20"/>
        </w:rPr>
        <w:t> On February 5, 2026, we entered into an exclusive licensing agreement, which commences on January 1, 2027, with the Carlsberg Group, one of the world’s premier brewing organizations and among the largest globally by revenue. Under the terms of the agreement, Tilray has been granted a multi-year license to produce, market, sell and distribute Carlsberg®, Carlsberg Elephant®,1664®, and Kronenbourg 1664 Blanc® branded beers across all channels in the United States, beginning January 1, 2027. The agreement has an initial five-year term, with an automatic renewal for an additional five years subject to performance criteria.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BrewDog.</w:t>
      </w:r>
      <w:r>
        <w:rPr>
          <w:rFonts w:ascii="Times New Roman" w:hAnsi="Times New Roman"/>
          <w:caps w:val="false"/>
          <w:smallCaps w:val="false"/>
          <w:sz w:val="20"/>
        </w:rPr>
        <w:t> Between March and April 2026, Tilray completed the Global BrewDog Acquisitions. See Note 7 (Business acquisitions) for details of the various transactions. As the only global craft beer brand, BrewDog transformed our beverage platform from a U.S. platform into a global platform and provided us with the international presence, team and capabilities to support the broader distribution of our U.S. beverage brands across key international markets, consistent with our previously disclosed ambition. In addition to the acquisition of BrewDog’s global businesses, the acquisition of BrewDog U.S. furthered our regional jewel strategy in the U.S. craft beer market by providing us with a footprint in the Midwest.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Lyphe.</w:t>
      </w:r>
      <w:r>
        <w:rPr>
          <w:rFonts w:ascii="Times New Roman" w:hAnsi="Times New Roman"/>
          <w:caps w:val="false"/>
          <w:smallCaps w:val="false"/>
          <w:sz w:val="20"/>
        </w:rPr>
        <w:t> On April 15, 2026, Tilray acquired Lyphe, a UK-based medical cannabis clinic and digital pharmacy platform. Through the Lyphe Acquisition, the Company seeks to enhance access to medical cannabis in the UK while expanding its capabilities in dispensing traditional prescription medicines, thereby creating a seamless, digitally enabled patient experience.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HelloMD. On July 10, 2026, the Company acquired HelloMD, a direct-to-patient medical cannabis platform. Through the HelloMD Acquisition, the Company expects to expand its direct-to-patient capabilities and create a fully vertically integrated medical cannabis platform in Canada.</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Political and Economic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results of operations may continue to be affected by economic, political, legislative, regulatory, legal actions, global volatility and general market disruption resulting from geopolitical tensions, such as Russia’s continued incursion into Ukraine, the ongoing events in the Middle East, including the conflict involving Iran, and political uncertainty in certain countries in Europe. Escalation of hostilities in the Middle East, including Iran, could further disrupt global energy markets, fuel prices, transportation networks, and supply chains, which may indirectly impact operating costs and consumer demand. Economic conditions, such as recessionary trends, inflation, supply chain disruptions, interest and monetary exchange rates, government fiscal policies, and the recent economic uncertainties resulting from certain changes in U.S. global economic policy, including changes on global trade policies can have a significant effect on operations. More specifically, there are limited expected impacts on revenue from the recently enacted U.S. tariffs and foreign enacted retaliatory tariffs in most reporting segments. The Company is actively monitoring developments related to these tariffs, evaluating potential impacts on its business, and adapting its operations and mitigation strategies as appropriate. From a cost perspective, we believe the recently enacted tariffs have and may continue to have an impact on input materials such as aluminum, hops, barley, malt and vape componentry, which are partially imported. We intend to mitigate these impacts to the extent possible.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the recent U.S. federal regulatory developments regarding cannabis rescheduling represent a significant shift in the political and legislative environment. This evolution is expected to lead to a legitimate regulatory framework for the provision and use of medical cannabis as a therapy for a multitude of conditions and disease states, bringing U.S. drug policy in line with the drug policies of other countries around the world today. We expect that this will also lead to more research, clinical development, and education, aligning closely with Tilray’s established global expertise in regulated medical cannabis markets. During fiscal 2027, the U.S. Drug Enforcement Administration conducted administrative hearings regarding the proposed transfer of marijuana from Schedule I to Schedule III under the Controlled Substances Act and it was expected that the ALJ would issue his recommendation imminently. However, in response to a motion for a stay filed by certain parties who claimed that the recent Government Accountability Office (“GAO”) report on drug scheduling should be entered into the record, the ALJ granted the stay, thereby extending the hearings. We continue to monitor these developments and, with more clarity on the regulatory framework and the outcomes of the legal challenges, we intend to leverage our proven compliance infrastructure, scientific knowledge, and operational scale to expand responsibly in the U.S. market, introducing medical-grade cannabis products in targeted therapeutic formats. While these developments present significant long-term growth opportunities, they also introduce new regulatory complexities and potential risks that we will continue to monitor closely. These developments did not have any immediate impact on our financial results.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Certain of our reporting segments are affected by seasonal factors and, therefore, our results of operations for any interim period, including the three months ended August 31, 2026, are not necessarily indicative of the results that may be expected for the full fiscal year.</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lineRule="auto" w:line="288"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Beverage.</w:t>
      </w:r>
      <w:r>
        <w:rPr>
          <w:rFonts w:ascii="Times New Roman" w:hAnsi="Times New Roman"/>
          <w:caps w:val="false"/>
          <w:smallCaps w:val="false"/>
          <w:sz w:val="20"/>
        </w:rPr>
        <w:t xml:space="preserve"> Net revenue in our U.S. craft beer business has historically been highest in our fiscal fourth quarter, which ends on May 31st. In that quarter, wholesalers and retailers increase their purchases and inventory levels ahead of the summer selling season and new products are introduced in connection with retailer spring shelf resets. Our fiscal third quarter has historically been our lowest quarter for beer net revenue. With respect to spirits, our business has historically benefited from purchases ahead of the winter holiday season in our fiscal second quarter and our third quarter benefits on net revenue after the calendar reset for graduated excise tax rates. We have a limited operating history with BrewDog, which we acquired in fiscal 2026 and which includes hospitality and U.K. retail operations. Its seasonal patterns may differ from those of our U.S. craft beer business.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Distribution.</w:t>
      </w:r>
      <w:r>
        <w:rPr>
          <w:rFonts w:ascii="Times New Roman" w:hAnsi="Times New Roman"/>
          <w:caps w:val="false"/>
          <w:smallCaps w:val="false"/>
          <w:sz w:val="20"/>
        </w:rPr>
        <w:t xml:space="preserve"> Our Distribution segment has historically experienced higher purchasing by wholesalers, distributors and pharmacy customers in our fiscal fourth quarter, ahead of the summer vacation period in Europe.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Cannabis.</w:t>
      </w:r>
      <w:r>
        <w:rPr>
          <w:rFonts w:ascii="Times New Roman" w:hAnsi="Times New Roman"/>
          <w:caps w:val="false"/>
          <w:smallCaps w:val="false"/>
          <w:sz w:val="20"/>
        </w:rPr>
        <w:t xml:space="preserve"> Our Canadian adult-use cannabis business has historically experienced lower net revenue in our fiscal third quarter as the winter weather moves customers away from dried flower and pre-rolls to vapes before reversing in the fourth quarter as the spring and summer months arrive. Similar to our Distribution segment, net revenue from our International medical cannabis business is historically higher due to the increased purchasing by wholesalers, distributors and pharmacy customers in our fiscal fourth quarter, ahead of the summer vacation. However, it can also fluctuate significantly from quarter to quarter due to the timing of the receipt of import and export permits, import quotas, product availability (where our cultivation experiences lower yield during the hot summer months) are impacted and regulatory developments in the jurisdictions in which we operate.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Seasonal patterns in our results may be affected, or obscured, by other factors. These include acquisitions and the integration of acquired brands, the timing of retailer shelf resets and of product launches, our portfolio and SKU rationalization initiatives, the timing of customer orders and shipments, weather, and changes in laws and regulations. As a result, period-to-period comparisons of our results may not be meaningful indicators of future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consolidated results in thousands, except for per share data, are as follows:</w:t>
      </w:r>
    </w:p>
    <w:p>
      <w:pPr>
        <w:pStyle w:val="TextBody"/>
        <w:bidi w:val="0"/>
        <w:spacing w:before="0" w:after="0"/>
        <w:ind w:left="0" w:right="0" w:firstLine="500"/>
        <w:jc w:val="both"/>
        <w:rPr>
          <w:caps w:val="false"/>
          <w:smallCaps w:val="false"/>
        </w:rPr>
      </w:pPr>
      <w:r>
        <w:rPr>
          <w:caps w:val="false"/>
          <w:smallCaps w:val="false"/>
        </w:rPr>
        <w:t> </w:t>
      </w:r>
    </w:p>
    <w:tbl>
      <w:tblPr>
        <w:tblW w:w="8542" w:type="dxa"/>
        <w:jc w:val="left"/>
        <w:tblInd w:w="0" w:type="dxa"/>
        <w:tblLayout w:type="fixed"/>
        <w:tblCellMar>
          <w:top w:w="0" w:type="dxa"/>
          <w:left w:w="0" w:type="dxa"/>
          <w:bottom w:w="0" w:type="dxa"/>
          <w:right w:w="0" w:type="dxa"/>
        </w:tblCellMar>
      </w:tblPr>
      <w:tblGrid>
        <w:gridCol w:w="3965"/>
        <w:gridCol w:w="60"/>
        <w:gridCol w:w="162"/>
        <w:gridCol w:w="903"/>
        <w:gridCol w:w="104"/>
        <w:gridCol w:w="78"/>
        <w:gridCol w:w="162"/>
        <w:gridCol w:w="903"/>
        <w:gridCol w:w="80"/>
        <w:gridCol w:w="60"/>
        <w:gridCol w:w="125"/>
        <w:gridCol w:w="650"/>
        <w:gridCol w:w="80"/>
        <w:gridCol w:w="60"/>
        <w:gridCol w:w="89"/>
        <w:gridCol w:w="816"/>
        <w:gridCol w:w="245"/>
      </w:tblGrid>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2"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06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0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0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 2025</w:t>
            </w:r>
          </w:p>
        </w:tc>
        <w:tc>
          <w:tcPr>
            <w:tcW w:w="24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257,147</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209,501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179,638</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77,509</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57,608</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13,593</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and promotion</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15,736</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pPr>
            <w:r>
              <w:rPr/>
              <w:t>—</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Litigation costs, net of recoveries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costs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2,447</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costs, net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4,802</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101,562</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(24,053</w:t>
            </w:r>
          </w:p>
        </w:tc>
        <w:tc>
          <w:tcPr>
            <w:tcW w:w="1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(6,480</w:t>
            </w:r>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Non-operating (expense) income, net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(7,773</w:t>
            </w:r>
          </w:p>
        </w:tc>
        <w:tc>
          <w:tcPr>
            <w:tcW w:w="1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(38,306</w:t>
            </w:r>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(recovery), net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1,725</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(40,031</w:t>
            </w:r>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Non-GAAP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Throughout this Management's Discussion and Analysis of Financial Condition and Results of Operations in this Quarterly Report on Form 10-Q, we discuss non-GAAP financial measures, including references to:</w:t>
      </w:r>
    </w:p>
    <w:p>
      <w:pPr>
        <w:pStyle w:val="TextBody"/>
        <w:bidi w:val="0"/>
        <w:spacing w:before="0" w:after="0"/>
        <w:ind w:left="0" w:right="0" w:hanging="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75"/>
        <w:gridCol w:w="170"/>
        <w:gridCol w:w="1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5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 </w:t>
            </w:r>
          </w:p>
        </w:tc>
      </w:tr>
    </w:tbl>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70"/>
        <w:gridCol w:w="5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restricted cash and marketable securities, and</w:t>
            </w:r>
          </w:p>
        </w:tc>
      </w:tr>
    </w:tbl>
    <w:p>
      <w:pPr>
        <w:pStyle w:val="TextBody"/>
        <w:bidi w:val="0"/>
        <w:spacing w:before="0" w:after="0"/>
        <w:ind w:left="0" w:right="0" w:hanging="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75"/>
        <w:gridCol w:w="170"/>
        <w:gridCol w:w="68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constant currency presentation of net revenue (on a segment and consolidated basis).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These non-GAAP financial measures should be considered in addition to, and not in lieu of, the financial measures calculated and presented in accordance with generally accepted accounting principles in the United States of America (“GAAP”). These financial measures, which may be different than similarly titled financial measures used by other companies, are presented to help investors’ overall understanding of our financial performance and should not be considered a substitute for, or superior to, the financial information prepared and presented in accordance with GAAP. Please see “Reconciliation of Non-GAAP Financial Measures to GAAP Measures” below for reconciliation of such non-GAAP financial measures to the most directly comparable GAAP financial measures, as well as a discussion of our adjusted EBITDA measure and the calculation of such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i/>
          <w:caps w:val="false"/>
          <w:smallCaps w:val="false"/>
          <w:sz w:val="20"/>
        </w:rPr>
      </w:pPr>
      <w:r>
        <w:rPr>
          <w:rFonts w:ascii="Times New Roman" w:hAnsi="Times New Roman"/>
          <w:i/>
          <w:caps w:val="false"/>
          <w:smallCaps w:val="false"/>
          <w:sz w:val="20"/>
        </w:rPr>
        <w:t>Constant Currency Presentation</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believe that this financial measure provides useful information to investors because it eliminates the effect that foreign currency exchange rate fluctuations may have on period-to-period comparability given the volatility in foreign currency exchange markets and therefore, provides greater transparency to the underlying performance of our consolidated net sales. To present this information for historical periods, current period net sales for entities reporting in currencies other than the U.S. Dollar are translated into U.S. Dollars at the average monthly exchange rate in effect during the corresponding period of the prior fiscal year rather than at the actual average monthly exchange rate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w:t>
      </w:r>
    </w:p>
    <w:p>
      <w:pPr>
        <w:pStyle w:val="TextBody"/>
        <w:bidi w:val="0"/>
        <w:spacing w:before="0" w:after="0"/>
        <w:ind w:left="160" w:right="0" w:firstLine="500"/>
        <w:jc w:val="both"/>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i/>
          <w:caps w:val="false"/>
          <w:smallCaps w:val="false"/>
          <w:sz w:val="20"/>
        </w:rPr>
      </w:pPr>
      <w:r>
        <w:rPr>
          <w:rFonts w:ascii="Times New Roman" w:hAnsi="Times New Roman"/>
          <w:i/>
          <w:caps w:val="false"/>
          <w:smallCaps w:val="false"/>
          <w:sz w:val="20"/>
        </w:rPr>
        <w:t>Cash and cash equivalents, restricted cash and Marketable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combines the Cash and cash equivalents financial statement line item, the restricted cash financial statement line and the Marketable securities financial statement line item as an aggregate total as reconciled in the liquidity and capital resource section below. The Company’s management believes that this presentation provides useful information to management, analysts and investors regarding certain additional financial and business trends relating to its short-term liquidity position by combining these three GAAP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Metrics and Non-GAAP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use the operating metrics and non-GAAP measures set forth in the table below to evaluate our business and operations, measure our performance, identify trends affecting our business, project our future performance, and make strategic decisions. Other companies, including companies in our industry, may calculate operating metrics and non-GAAP measures with similar names differently, which may reduce their usefulness as comparative measures. Certain variances are labeled as not meaningful (“NM”) throughout management's discussion and analysis.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48"/>
        <w:gridCol w:w="60"/>
        <w:gridCol w:w="152"/>
        <w:gridCol w:w="852"/>
        <w:gridCol w:w="226"/>
        <w:gridCol w:w="72"/>
        <w:gridCol w:w="152"/>
        <w:gridCol w:w="852"/>
        <w:gridCol w:w="191"/>
      </w:tblGrid>
      <w:tr>
        <w:trPr/>
        <w:tc>
          <w:tcPr>
            <w:tcW w:w="76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191" w:type="dxa"/>
            <w:tcBorders/>
            <w:shd w:fill="FFFFFF" w:val="clear"/>
            <w:vAlign w:val="center"/>
          </w:tcPr>
          <w:p>
            <w:pPr>
              <w:pStyle w:val="TableContents"/>
              <w:bidi w:val="0"/>
              <w:spacing w:before="0" w:after="283"/>
              <w:jc w:val="left"/>
              <w:rPr/>
            </w:pPr>
            <w:r>
              <w:rPr/>
              <w:t> </w:t>
            </w:r>
          </w:p>
        </w:tc>
      </w:tr>
      <w:tr>
        <w:trPr/>
        <w:tc>
          <w:tcPr>
            <w:tcW w:w="76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22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00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191" w:type="dxa"/>
            <w:tcBorders/>
            <w:shd w:fill="FFFFFF" w:val="clear"/>
            <w:vAlign w:val="center"/>
          </w:tcPr>
          <w:p>
            <w:pPr>
              <w:pStyle w:val="TableContents"/>
              <w:bidi w:val="0"/>
              <w:spacing w:before="0" w:after="283"/>
              <w:jc w:val="left"/>
              <w:rPr/>
            </w:pPr>
            <w:r>
              <w:rPr/>
              <w:t> </w:t>
            </w:r>
          </w:p>
        </w:tc>
      </w:tr>
      <w:tr>
        <w:trPr/>
        <w:tc>
          <w:tcPr>
            <w:tcW w:w="764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0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2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0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91" w:type="dxa"/>
            <w:tcBorders/>
            <w:shd w:fill="FFFFFF" w:val="clear"/>
            <w:vAlign w:val="center"/>
          </w:tcPr>
          <w:p>
            <w:pPr>
              <w:pStyle w:val="TableContents"/>
              <w:bidi w:val="0"/>
              <w:spacing w:before="0" w:after="283"/>
              <w:jc w:val="left"/>
              <w:rPr/>
            </w:pPr>
            <w:r>
              <w:rPr/>
              <w:t> </w:t>
            </w:r>
          </w:p>
        </w:tc>
      </w:tr>
      <w:tr>
        <w:trPr/>
        <w:tc>
          <w:tcPr>
            <w:tcW w:w="76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beverage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101,496</w:t>
            </w:r>
          </w:p>
        </w:tc>
        <w:tc>
          <w:tcPr>
            <w:tcW w:w="22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55,739</w:t>
            </w:r>
          </w:p>
        </w:tc>
        <w:tc>
          <w:tcPr>
            <w:tcW w:w="191" w:type="dxa"/>
            <w:tcBorders/>
            <w:shd w:fill="CCEEFF" w:val="clear"/>
            <w:vAlign w:val="center"/>
          </w:tcPr>
          <w:p>
            <w:pPr>
              <w:pStyle w:val="TableContents"/>
              <w:bidi w:val="0"/>
              <w:spacing w:before="0" w:after="283"/>
              <w:jc w:val="left"/>
              <w:rPr/>
            </w:pPr>
            <w:r>
              <w:rPr/>
              <w:t> </w:t>
            </w:r>
          </w:p>
        </w:tc>
      </w:tr>
      <w:tr>
        <w:trPr/>
        <w:tc>
          <w:tcPr>
            <w:tcW w:w="76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cannabis revenue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56,109</w:t>
            </w:r>
          </w:p>
        </w:tc>
        <w:tc>
          <w:tcPr>
            <w:tcW w:w="22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64,511</w:t>
            </w:r>
          </w:p>
        </w:tc>
        <w:tc>
          <w:tcPr>
            <w:tcW w:w="191" w:type="dxa"/>
            <w:tcBorders/>
            <w:shd w:fill="FFFFFF" w:val="clear"/>
            <w:vAlign w:val="center"/>
          </w:tcPr>
          <w:p>
            <w:pPr>
              <w:pStyle w:val="TableContents"/>
              <w:bidi w:val="0"/>
              <w:spacing w:before="0" w:after="283"/>
              <w:jc w:val="left"/>
              <w:rPr/>
            </w:pPr>
            <w:r>
              <w:rPr/>
              <w:t> </w:t>
            </w:r>
          </w:p>
        </w:tc>
      </w:tr>
      <w:tr>
        <w:trPr/>
        <w:tc>
          <w:tcPr>
            <w:tcW w:w="76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revenue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84,266</w:t>
            </w:r>
          </w:p>
        </w:tc>
        <w:tc>
          <w:tcPr>
            <w:tcW w:w="22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74,007</w:t>
            </w:r>
          </w:p>
        </w:tc>
        <w:tc>
          <w:tcPr>
            <w:tcW w:w="191" w:type="dxa"/>
            <w:tcBorders/>
            <w:shd w:fill="CCEEFF" w:val="clear"/>
            <w:vAlign w:val="center"/>
          </w:tcPr>
          <w:p>
            <w:pPr>
              <w:pStyle w:val="TableContents"/>
              <w:bidi w:val="0"/>
              <w:spacing w:before="0" w:after="283"/>
              <w:jc w:val="left"/>
              <w:rPr/>
            </w:pPr>
            <w:r>
              <w:rPr/>
              <w:t> </w:t>
            </w:r>
          </w:p>
        </w:tc>
      </w:tr>
      <w:tr>
        <w:trPr/>
        <w:tc>
          <w:tcPr>
            <w:tcW w:w="76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revenue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15,276</w:t>
            </w:r>
          </w:p>
        </w:tc>
        <w:tc>
          <w:tcPr>
            <w:tcW w:w="22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15,244</w:t>
            </w:r>
          </w:p>
        </w:tc>
        <w:tc>
          <w:tcPr>
            <w:tcW w:w="191" w:type="dxa"/>
            <w:tcBorders/>
            <w:shd w:fill="FFFFFF" w:val="clear"/>
            <w:vAlign w:val="center"/>
          </w:tcPr>
          <w:p>
            <w:pPr>
              <w:pStyle w:val="TableContents"/>
              <w:bidi w:val="0"/>
              <w:spacing w:before="0" w:after="283"/>
              <w:jc w:val="left"/>
              <w:rPr/>
            </w:pPr>
            <w:r>
              <w:rPr/>
              <w:t> </w:t>
            </w:r>
          </w:p>
        </w:tc>
      </w:tr>
      <w:tr>
        <w:trPr/>
        <w:tc>
          <w:tcPr>
            <w:tcW w:w="76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costs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59,489</w:t>
            </w:r>
          </w:p>
        </w:tc>
        <w:tc>
          <w:tcPr>
            <w:tcW w:w="22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34,413</w:t>
            </w:r>
          </w:p>
        </w:tc>
        <w:tc>
          <w:tcPr>
            <w:tcW w:w="191" w:type="dxa"/>
            <w:tcBorders/>
            <w:shd w:fill="CCEEFF" w:val="clear"/>
            <w:vAlign w:val="center"/>
          </w:tcPr>
          <w:p>
            <w:pPr>
              <w:pStyle w:val="TableContents"/>
              <w:bidi w:val="0"/>
              <w:spacing w:before="0" w:after="283"/>
              <w:jc w:val="left"/>
              <w:rPr/>
            </w:pPr>
            <w:r>
              <w:rPr/>
              <w:t> </w:t>
            </w:r>
          </w:p>
        </w:tc>
      </w:tr>
      <w:tr>
        <w:trPr/>
        <w:tc>
          <w:tcPr>
            <w:tcW w:w="76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costs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34,087</w:t>
            </w:r>
          </w:p>
        </w:tc>
        <w:tc>
          <w:tcPr>
            <w:tcW w:w="22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41,241</w:t>
            </w:r>
          </w:p>
        </w:tc>
        <w:tc>
          <w:tcPr>
            <w:tcW w:w="191" w:type="dxa"/>
            <w:tcBorders/>
            <w:shd w:fill="FFFFFF" w:val="clear"/>
            <w:vAlign w:val="center"/>
          </w:tcPr>
          <w:p>
            <w:pPr>
              <w:pStyle w:val="TableContents"/>
              <w:bidi w:val="0"/>
              <w:spacing w:before="0" w:after="283"/>
              <w:jc w:val="left"/>
              <w:rPr/>
            </w:pPr>
            <w:r>
              <w:rPr/>
              <w:t> </w:t>
            </w:r>
          </w:p>
        </w:tc>
      </w:tr>
      <w:tr>
        <w:trPr/>
        <w:tc>
          <w:tcPr>
            <w:tcW w:w="76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costs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75,143</w:t>
            </w:r>
          </w:p>
        </w:tc>
        <w:tc>
          <w:tcPr>
            <w:tcW w:w="22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66,008</w:t>
            </w:r>
          </w:p>
        </w:tc>
        <w:tc>
          <w:tcPr>
            <w:tcW w:w="191" w:type="dxa"/>
            <w:tcBorders/>
            <w:shd w:fill="CCEEFF" w:val="clear"/>
            <w:vAlign w:val="center"/>
          </w:tcPr>
          <w:p>
            <w:pPr>
              <w:pStyle w:val="TableContents"/>
              <w:bidi w:val="0"/>
              <w:spacing w:before="0" w:after="283"/>
              <w:jc w:val="left"/>
              <w:rPr/>
            </w:pPr>
            <w:r>
              <w:rPr/>
              <w:t> </w:t>
            </w:r>
          </w:p>
        </w:tc>
      </w:tr>
      <w:tr>
        <w:trPr/>
        <w:tc>
          <w:tcPr>
            <w:tcW w:w="76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costs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10,919</w:t>
            </w:r>
          </w:p>
        </w:tc>
        <w:tc>
          <w:tcPr>
            <w:tcW w:w="22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10,370</w:t>
            </w:r>
          </w:p>
        </w:tc>
        <w:tc>
          <w:tcPr>
            <w:tcW w:w="191" w:type="dxa"/>
            <w:tcBorders/>
            <w:shd w:fill="FFFFFF" w:val="clear"/>
            <w:vAlign w:val="center"/>
          </w:tcPr>
          <w:p>
            <w:pPr>
              <w:pStyle w:val="TableContents"/>
              <w:bidi w:val="0"/>
              <w:spacing w:before="0" w:after="283"/>
              <w:jc w:val="left"/>
              <w:rPr/>
            </w:pPr>
            <w:r>
              <w:rPr/>
              <w:t> </w:t>
            </w:r>
          </w:p>
        </w:tc>
      </w:tr>
      <w:tr>
        <w:trPr/>
        <w:tc>
          <w:tcPr>
            <w:tcW w:w="76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77,509</w:t>
            </w:r>
          </w:p>
        </w:tc>
        <w:tc>
          <w:tcPr>
            <w:tcW w:w="22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57,469</w:t>
            </w:r>
          </w:p>
        </w:tc>
        <w:tc>
          <w:tcPr>
            <w:tcW w:w="191" w:type="dxa"/>
            <w:tcBorders/>
            <w:shd w:fill="CCEEFF" w:val="clear"/>
            <w:vAlign w:val="center"/>
          </w:tcPr>
          <w:p>
            <w:pPr>
              <w:pStyle w:val="TableContents"/>
              <w:bidi w:val="0"/>
              <w:spacing w:before="0" w:after="283"/>
              <w:jc w:val="left"/>
              <w:rPr/>
            </w:pPr>
            <w:r>
              <w:rPr/>
              <w:t> </w:t>
            </w:r>
          </w:p>
        </w:tc>
      </w:tr>
      <w:tr>
        <w:trPr/>
        <w:tc>
          <w:tcPr>
            <w:tcW w:w="76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gross margin</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2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gross margin</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2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gross margin</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gross margin</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2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48"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 (1)</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9,205</w:t>
            </w:r>
          </w:p>
        </w:tc>
        <w:tc>
          <w:tcPr>
            <w:tcW w:w="22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10,181</w:t>
            </w:r>
          </w:p>
        </w:tc>
        <w:tc>
          <w:tcPr>
            <w:tcW w:w="191" w:type="dxa"/>
            <w:tcBorders/>
            <w:shd w:fill="FFFFFF" w:val="clear"/>
            <w:vAlign w:val="center"/>
          </w:tcPr>
          <w:p>
            <w:pPr>
              <w:pStyle w:val="TableContents"/>
              <w:bidi w:val="0"/>
              <w:spacing w:before="0" w:after="283"/>
              <w:jc w:val="left"/>
              <w:rPr/>
            </w:pPr>
            <w:r>
              <w:rPr/>
              <w:t> </w:t>
            </w:r>
          </w:p>
        </w:tc>
      </w:tr>
      <w:tr>
        <w:trPr/>
        <w:tc>
          <w:tcPr>
            <w:tcW w:w="7648"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restricted cash and marketable securities (1) as at the period ended:</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221,390</w:t>
            </w:r>
          </w:p>
        </w:tc>
        <w:tc>
          <w:tcPr>
            <w:tcW w:w="22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264,828</w:t>
            </w:r>
          </w:p>
        </w:tc>
        <w:tc>
          <w:tcPr>
            <w:tcW w:w="191" w:type="dxa"/>
            <w:tcBorders/>
            <w:shd w:fill="CCEEFF" w:val="clear"/>
            <w:vAlign w:val="center"/>
          </w:tcPr>
          <w:p>
            <w:pPr>
              <w:pStyle w:val="TableContents"/>
              <w:bidi w:val="0"/>
              <w:spacing w:before="0" w:after="283"/>
              <w:jc w:val="left"/>
              <w:rPr/>
            </w:pPr>
            <w:r>
              <w:rPr/>
              <w:t> </w:t>
            </w:r>
          </w:p>
        </w:tc>
      </w:tr>
      <w:tr>
        <w:trPr/>
        <w:tc>
          <w:tcPr>
            <w:tcW w:w="76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Working capital as at the period ended:</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376,903</w:t>
            </w:r>
          </w:p>
        </w:tc>
        <w:tc>
          <w:tcPr>
            <w:tcW w:w="22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433,508</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(1) Adjusted EBITDA and cash, restricted cash and marketable securities are non-GAAP financial measures. See “Use of Non-GAAP Measures” above for a discussion of these Non-GAAP measures and “Reconciliation of Non-GAAP Financial Measures to GAAP Measures” below for a reconciliation of these Non-GAAP Measures to our most comparable GAAP measure and the discussion above captioned “Cash and Marketable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For the three months ended August 31, 2026 and August 31, 2025, respectively, our reporting segments net revenue was comprised of net revenues from our beverage, cannabis, distribution, and wellness operations as follows:</w:t>
      </w:r>
    </w:p>
    <w:p>
      <w:pPr>
        <w:pStyle w:val="TextBody"/>
        <w:bidi w:val="0"/>
        <w:spacing w:before="0" w:after="0"/>
        <w:ind w:left="0" w:right="0" w:hanging="0"/>
        <w:jc w:val="left"/>
        <w:rPr>
          <w:caps w:val="false"/>
          <w:smallCaps w:val="false"/>
        </w:rPr>
      </w:pPr>
      <w:r>
        <w:rPr>
          <w:caps w:val="false"/>
          <w:smallCaps w:val="false"/>
        </w:rPr>
        <w:t> </w:t>
      </w:r>
    </w:p>
    <w:tbl>
      <w:tblPr>
        <w:tblW w:w="6917" w:type="dxa"/>
        <w:jc w:val="left"/>
        <w:tblInd w:w="0" w:type="dxa"/>
        <w:tblLayout w:type="fixed"/>
        <w:tblCellMar>
          <w:top w:w="0" w:type="dxa"/>
          <w:left w:w="0" w:type="dxa"/>
          <w:bottom w:w="0" w:type="dxa"/>
          <w:right w:w="0" w:type="dxa"/>
        </w:tblCellMar>
      </w:tblPr>
      <w:tblGrid>
        <w:gridCol w:w="2420"/>
        <w:gridCol w:w="60"/>
        <w:gridCol w:w="164"/>
        <w:gridCol w:w="914"/>
        <w:gridCol w:w="78"/>
        <w:gridCol w:w="78"/>
        <w:gridCol w:w="164"/>
        <w:gridCol w:w="914"/>
        <w:gridCol w:w="60"/>
        <w:gridCol w:w="60"/>
        <w:gridCol w:w="125"/>
        <w:gridCol w:w="590"/>
        <w:gridCol w:w="80"/>
        <w:gridCol w:w="60"/>
        <w:gridCol w:w="155"/>
        <w:gridCol w:w="750"/>
        <w:gridCol w:w="245"/>
      </w:tblGrid>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2"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07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0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0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 2025</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business</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101,496</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business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56,109</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business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84,266</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business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15,276</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257,147</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lineRule="auto" w:line="288"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For the three months ended August 31, 2026 and August 31, 2025, respectively, our reporting segment net revenue on a constant currency(1) basis was as follows:</w:t>
      </w:r>
    </w:p>
    <w:p>
      <w:pPr>
        <w:pStyle w:val="TextBody"/>
        <w:bidi w:val="0"/>
        <w:spacing w:before="0" w:after="0"/>
        <w:ind w:left="0" w:right="0" w:firstLine="500"/>
        <w:jc w:val="both"/>
        <w:rPr>
          <w:caps w:val="false"/>
          <w:smallCaps w:val="false"/>
        </w:rPr>
      </w:pPr>
      <w:r>
        <w:rPr>
          <w:caps w:val="false"/>
          <w:smallCaps w:val="false"/>
        </w:rPr>
        <w:t> </w:t>
      </w:r>
    </w:p>
    <w:tbl>
      <w:tblPr>
        <w:tblW w:w="7579" w:type="dxa"/>
        <w:jc w:val="left"/>
        <w:tblInd w:w="0" w:type="dxa"/>
        <w:tblLayout w:type="fixed"/>
        <w:tblCellMar>
          <w:top w:w="0" w:type="dxa"/>
          <w:left w:w="0" w:type="dxa"/>
          <w:bottom w:w="0" w:type="dxa"/>
          <w:right w:w="0" w:type="dxa"/>
        </w:tblCellMar>
      </w:tblPr>
      <w:tblGrid>
        <w:gridCol w:w="2420"/>
        <w:gridCol w:w="60"/>
        <w:gridCol w:w="211"/>
        <w:gridCol w:w="1176"/>
        <w:gridCol w:w="100"/>
        <w:gridCol w:w="100"/>
        <w:gridCol w:w="211"/>
        <w:gridCol w:w="1176"/>
        <w:gridCol w:w="60"/>
        <w:gridCol w:w="60"/>
        <w:gridCol w:w="125"/>
        <w:gridCol w:w="590"/>
        <w:gridCol w:w="80"/>
        <w:gridCol w:w="60"/>
        <w:gridCol w:w="155"/>
        <w:gridCol w:w="750"/>
        <w:gridCol w:w="245"/>
      </w:tblGrid>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4"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4" w:type="dxa"/>
            <w:gridSpan w:val="6"/>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reported in constant currency(1)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138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3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13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 2025</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business</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101,777</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business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1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56,873</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1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business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1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85,188</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1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business</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15,433</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259,271</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(1)</w:t>
            </w:r>
          </w:p>
        </w:tc>
        <w:tc>
          <w:tcPr>
            <w:tcW w:w="993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The constant currency presentation of our net revenue based on reporting segment is a non-GAAP financial measure.</w:t>
            </w:r>
            <w:r>
              <w:rPr>
                <w:rFonts w:ascii="Times New Roman;Times;serif" w:hAnsi="Times New Roman;Times;serif"/>
                <w:sz w:val="20"/>
              </w:rPr>
              <w:t xml:space="preserve"> </w:t>
            </w:r>
            <w:r>
              <w:rPr>
                <w:rFonts w:ascii="Times New Roman;Times;serif" w:hAnsi="Times New Roman;Times;serif"/>
                <w:i/>
                <w:sz w:val="20"/>
              </w:rPr>
              <w:t xml:space="preserve">See </w:t>
            </w:r>
            <w:r>
              <w:rPr>
                <w:rFonts w:ascii="Times New Roman;Times;serif" w:hAnsi="Times New Roman;Times;serif"/>
                <w:sz w:val="20"/>
              </w:rPr>
              <w:t>“</w:t>
            </w:r>
            <w:r>
              <w:rPr>
                <w:rFonts w:ascii="Times New Roman;Times;serif" w:hAnsi="Times New Roman;Times;serif"/>
                <w:i/>
                <w:sz w:val="20"/>
              </w:rPr>
              <w:t xml:space="preserve">Use of Non-GAAP Measures </w:t>
            </w:r>
            <w:r>
              <w:rPr>
                <w:rFonts w:ascii="Times New Roman;Times;serif" w:hAnsi="Times New Roman;Times;serif"/>
                <w:sz w:val="20"/>
              </w:rPr>
              <w:t>–</w:t>
            </w:r>
            <w:r>
              <w:rPr>
                <w:rFonts w:ascii="Times New Roman;Times;serif" w:hAnsi="Times New Roman;Times;serif"/>
                <w:i/>
                <w:sz w:val="20"/>
              </w:rPr>
              <w:t>Constant Currency Presentation</w:t>
            </w:r>
            <w:r>
              <w:rPr>
                <w:rFonts w:ascii="Times New Roman;Times;serif" w:hAnsi="Times New Roman;Times;serif"/>
                <w:sz w:val="20"/>
              </w:rPr>
              <w:t xml:space="preserve">” </w:t>
            </w:r>
            <w:r>
              <w:rPr>
                <w:rFonts w:ascii="Times New Roman;Times;serif" w:hAnsi="Times New Roman;Times;serif"/>
                <w:i/>
                <w:sz w:val="20"/>
              </w:rPr>
              <w:t>above for a discussion of these Non-GAAP Measures.</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For the three months ended August 31, 2026 and August 31, 2025, respectively, our geographic net revenue was as follows:</w:t>
      </w:r>
    </w:p>
    <w:p>
      <w:pPr>
        <w:pStyle w:val="TextBody"/>
        <w:bidi w:val="0"/>
        <w:spacing w:before="0" w:after="0"/>
        <w:ind w:left="0" w:right="0" w:hanging="0"/>
        <w:jc w:val="left"/>
        <w:rPr>
          <w:caps w:val="false"/>
          <w:smallCaps w:val="false"/>
        </w:rPr>
      </w:pPr>
      <w:r>
        <w:rPr>
          <w:caps w:val="false"/>
          <w:smallCaps w:val="false"/>
        </w:rPr>
        <w:t> </w:t>
      </w:r>
    </w:p>
    <w:tbl>
      <w:tblPr>
        <w:tblW w:w="6917" w:type="dxa"/>
        <w:jc w:val="left"/>
        <w:tblInd w:w="0" w:type="dxa"/>
        <w:tblLayout w:type="fixed"/>
        <w:tblCellMar>
          <w:top w:w="0" w:type="dxa"/>
          <w:left w:w="0" w:type="dxa"/>
          <w:bottom w:w="0" w:type="dxa"/>
          <w:right w:w="0" w:type="dxa"/>
        </w:tblCellMar>
      </w:tblPr>
      <w:tblGrid>
        <w:gridCol w:w="2420"/>
        <w:gridCol w:w="60"/>
        <w:gridCol w:w="164"/>
        <w:gridCol w:w="914"/>
        <w:gridCol w:w="78"/>
        <w:gridCol w:w="78"/>
        <w:gridCol w:w="164"/>
        <w:gridCol w:w="914"/>
        <w:gridCol w:w="60"/>
        <w:gridCol w:w="60"/>
        <w:gridCol w:w="125"/>
        <w:gridCol w:w="590"/>
        <w:gridCol w:w="80"/>
        <w:gridCol w:w="60"/>
        <w:gridCol w:w="137"/>
        <w:gridCol w:w="768"/>
        <w:gridCol w:w="245"/>
      </w:tblGrid>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2"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07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0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0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 2025</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58,326</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48,432</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EMEA</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145,522</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 of World</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4,867</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257,147</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lineRule="auto" w:line="288"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For the three months ended August 31, 2026 and August 31, 2025, respectively, our geographic net revenue on a constant currency(1) basis was as follows:</w:t>
      </w:r>
    </w:p>
    <w:p>
      <w:pPr>
        <w:pStyle w:val="TextBody"/>
        <w:bidi w:val="0"/>
        <w:spacing w:before="0" w:after="0"/>
        <w:ind w:left="0" w:right="0" w:firstLine="500"/>
        <w:jc w:val="both"/>
        <w:rPr>
          <w:caps w:val="false"/>
          <w:smallCaps w:val="false"/>
        </w:rPr>
      </w:pPr>
      <w:r>
        <w:rPr>
          <w:caps w:val="false"/>
          <w:smallCaps w:val="false"/>
        </w:rPr>
        <w:t> </w:t>
      </w:r>
    </w:p>
    <w:tbl>
      <w:tblPr>
        <w:tblW w:w="7579" w:type="dxa"/>
        <w:jc w:val="left"/>
        <w:tblInd w:w="0" w:type="dxa"/>
        <w:tblLayout w:type="fixed"/>
        <w:tblCellMar>
          <w:top w:w="0" w:type="dxa"/>
          <w:left w:w="0" w:type="dxa"/>
          <w:bottom w:w="0" w:type="dxa"/>
          <w:right w:w="0" w:type="dxa"/>
        </w:tblCellMar>
      </w:tblPr>
      <w:tblGrid>
        <w:gridCol w:w="2420"/>
        <w:gridCol w:w="60"/>
        <w:gridCol w:w="211"/>
        <w:gridCol w:w="1176"/>
        <w:gridCol w:w="100"/>
        <w:gridCol w:w="100"/>
        <w:gridCol w:w="211"/>
        <w:gridCol w:w="1176"/>
        <w:gridCol w:w="60"/>
        <w:gridCol w:w="60"/>
        <w:gridCol w:w="125"/>
        <w:gridCol w:w="590"/>
        <w:gridCol w:w="80"/>
        <w:gridCol w:w="60"/>
        <w:gridCol w:w="137"/>
        <w:gridCol w:w="768"/>
        <w:gridCol w:w="245"/>
      </w:tblGrid>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4"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4" w:type="dxa"/>
            <w:gridSpan w:val="6"/>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reported in constant currency(1)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138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3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13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 2025</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58,326</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1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49,338</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1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EMEA</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1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146,890</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1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 of World</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4,717</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259,271</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(1)</w:t>
            </w:r>
          </w:p>
        </w:tc>
        <w:tc>
          <w:tcPr>
            <w:tcW w:w="993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The constant currency presentation of our net revenue based on geographic segment is a non-GAAP financial measure.</w:t>
            </w:r>
            <w:r>
              <w:rPr>
                <w:rFonts w:ascii="Times New Roman;Times;serif" w:hAnsi="Times New Roman;Times;serif"/>
                <w:sz w:val="20"/>
              </w:rPr>
              <w:t xml:space="preserve"> </w:t>
            </w:r>
            <w:r>
              <w:rPr>
                <w:rFonts w:ascii="Times New Roman;Times;serif" w:hAnsi="Times New Roman;Times;serif"/>
                <w:i/>
                <w:sz w:val="20"/>
              </w:rPr>
              <w:t xml:space="preserve">See </w:t>
            </w:r>
            <w:r>
              <w:rPr>
                <w:rFonts w:ascii="Times New Roman;Times;serif" w:hAnsi="Times New Roman;Times;serif"/>
                <w:sz w:val="20"/>
              </w:rPr>
              <w:t>“</w:t>
            </w:r>
            <w:r>
              <w:rPr>
                <w:rFonts w:ascii="Times New Roman;Times;serif" w:hAnsi="Times New Roman;Times;serif"/>
                <w:i/>
                <w:sz w:val="20"/>
              </w:rPr>
              <w:t xml:space="preserve">Use of Non-GAAP Measures </w:t>
            </w:r>
            <w:r>
              <w:rPr>
                <w:rFonts w:ascii="Times New Roman;Times;serif" w:hAnsi="Times New Roman;Times;serif"/>
                <w:sz w:val="20"/>
              </w:rPr>
              <w:t>–</w:t>
            </w:r>
            <w:r>
              <w:rPr>
                <w:rFonts w:ascii="Times New Roman;Times;serif" w:hAnsi="Times New Roman;Times;serif"/>
                <w:i/>
                <w:sz w:val="20"/>
              </w:rPr>
              <w:t>Constant Currency Presentation</w:t>
            </w:r>
            <w:r>
              <w:rPr>
                <w:rFonts w:ascii="Times New Roman;Times;serif" w:hAnsi="Times New Roman;Times;serif"/>
                <w:sz w:val="20"/>
              </w:rPr>
              <w:t xml:space="preserve">” </w:t>
            </w:r>
            <w:r>
              <w:rPr>
                <w:rFonts w:ascii="Times New Roman;Times;serif" w:hAnsi="Times New Roman;Times;serif"/>
                <w:i/>
                <w:sz w:val="20"/>
              </w:rPr>
              <w:t>above for a discussion of these Non-GAAP Measures.</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As of August 31, 2026 and May 31, 2026, respectively, our geographic capital assets were as follows:</w:t>
      </w:r>
    </w:p>
    <w:p>
      <w:pPr>
        <w:pStyle w:val="TextBody"/>
        <w:bidi w:val="0"/>
        <w:spacing w:before="0" w:after="0"/>
        <w:ind w:left="0" w:right="0" w:hanging="0"/>
        <w:jc w:val="left"/>
        <w:rPr>
          <w:caps w:val="false"/>
          <w:smallCaps w:val="false"/>
        </w:rPr>
      </w:pPr>
      <w:r>
        <w:rPr>
          <w:caps w:val="false"/>
          <w:smallCaps w:val="false"/>
        </w:rPr>
        <w:t> </w:t>
      </w:r>
    </w:p>
    <w:tbl>
      <w:tblPr>
        <w:tblW w:w="7102" w:type="dxa"/>
        <w:jc w:val="left"/>
        <w:tblInd w:w="0" w:type="dxa"/>
        <w:tblLayout w:type="fixed"/>
        <w:tblCellMar>
          <w:top w:w="0" w:type="dxa"/>
          <w:left w:w="0" w:type="dxa"/>
          <w:bottom w:w="0" w:type="dxa"/>
          <w:right w:w="0" w:type="dxa"/>
        </w:tblCellMar>
      </w:tblPr>
      <w:tblGrid>
        <w:gridCol w:w="2420"/>
        <w:gridCol w:w="60"/>
        <w:gridCol w:w="125"/>
        <w:gridCol w:w="984"/>
        <w:gridCol w:w="84"/>
        <w:gridCol w:w="84"/>
        <w:gridCol w:w="176"/>
        <w:gridCol w:w="984"/>
        <w:gridCol w:w="60"/>
        <w:gridCol w:w="60"/>
        <w:gridCol w:w="125"/>
        <w:gridCol w:w="650"/>
        <w:gridCol w:w="80"/>
        <w:gridCol w:w="60"/>
        <w:gridCol w:w="221"/>
        <w:gridCol w:w="684"/>
        <w:gridCol w:w="245"/>
      </w:tblGrid>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312" w:type="dxa"/>
            <w:gridSpan w:val="5"/>
            <w:tcBorders/>
            <w:shd w:fill="FFFFFF" w:val="cle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 the 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9" w:type="dxa"/>
            <w:gridSpan w:val="2"/>
            <w:tcBorders/>
            <w:shd w:fill="FFFF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31,</w:t>
            </w:r>
          </w:p>
        </w:tc>
        <w:tc>
          <w:tcPr>
            <w:tcW w:w="84" w:type="dxa"/>
            <w:tcBorders/>
            <w:shd w:fill="FFFFFF" w:val="clear"/>
            <w:vAlign w:val="center"/>
          </w:tcPr>
          <w:p>
            <w:pPr>
              <w:pStyle w:val="TableContents"/>
              <w:bidi w:val="0"/>
              <w:spacing w:before="0" w:after="0"/>
              <w:ind w:left="0" w:right="0" w:hanging="0"/>
              <w:jc w:val="center"/>
              <w:rPr/>
            </w:pPr>
            <w:r>
              <w:rPr/>
              <w:t> </w:t>
            </w:r>
          </w:p>
        </w:tc>
        <w:tc>
          <w:tcPr>
            <w:tcW w:w="84" w:type="dxa"/>
            <w:tcBorders/>
            <w:shd w:fill="FFFFFF" w:val="clear"/>
            <w:vAlign w:val="center"/>
          </w:tcPr>
          <w:p>
            <w:pPr>
              <w:pStyle w:val="TableContents"/>
              <w:bidi w:val="0"/>
              <w:spacing w:before="0" w:after="0"/>
              <w:ind w:left="0" w:right="0" w:hanging="0"/>
              <w:jc w:val="center"/>
              <w:rPr/>
            </w:pPr>
            <w:r>
              <w:rPr/>
              <w:t> </w:t>
            </w:r>
          </w:p>
        </w:tc>
        <w:tc>
          <w:tcPr>
            <w:tcW w:w="1160" w:type="dxa"/>
            <w:gridSpan w:val="2"/>
            <w:tcBorders/>
            <w:shd w:fill="FFFF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May 31,</w:t>
            </w:r>
          </w:p>
        </w:tc>
        <w:tc>
          <w:tcPr>
            <w:tcW w:w="60"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center"/>
              <w:rPr/>
            </w:pPr>
            <w:r>
              <w:rPr/>
              <w:t> </w:t>
            </w:r>
          </w:p>
        </w:tc>
        <w:tc>
          <w:tcPr>
            <w:tcW w:w="775" w:type="dxa"/>
            <w:gridSpan w:val="2"/>
            <w:tcBorders/>
            <w:shd w:fill="FFFF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Change</w:t>
            </w:r>
          </w:p>
        </w:tc>
        <w:tc>
          <w:tcPr>
            <w:tcW w:w="80"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center"/>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Change</w:t>
            </w:r>
          </w:p>
        </w:tc>
        <w:tc>
          <w:tcPr>
            <w:tcW w:w="245" w:type="dxa"/>
            <w:tcBorders/>
            <w:shd w:fill="FFFFFF" w:val="clear"/>
            <w:vAlign w:val="center"/>
          </w:tcPr>
          <w:p>
            <w:pPr>
              <w:pStyle w:val="TableContents"/>
              <w:bidi w:val="0"/>
              <w:spacing w:before="0" w:after="0"/>
              <w:jc w:val="center"/>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1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 vs. 2025</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USA</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205,546</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207,592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Canada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237,582</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245,799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197,861</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(4,737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 of World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24,934</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capital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665,923</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680,225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(14,302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Beverage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Net revenue from our Beverage segment increased to $101.5 million for the three months ended August 31, 2026, compared to revenue of $55.7 million for the prior year period. Results for the current fiscal quarter include incremental net revenues of $55.9 million associated with the Global BrewDog Acquisitions completed during the fourth quarter of fiscal 2026. Excluding the impact of the Global BrewDog Acquisitions, the year-over-year decrease was primarily attributable to continued industry-wide challenges across the craft beer, spirits, and brewpub categories and broader competitive pressures, which resulted in lower volumes sold. Notwithstanding the current market challenges, the Global BrewDog Acquisitions significantly advance our long-term beverage strategy by transforming our platform from a predominantly U.S.-focused business into a global beverage platform with established operations and infrastructure, commercial capabilities and consumer reach across key international markets, which we believe positions the segment for future growth and enhanced scale.</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Cannabis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For the three months ended August 31, 2026 and August 31, 2025, respectively, cannabis net revenue based on market channel was as follows:</w:t>
      </w:r>
    </w:p>
    <w:p>
      <w:pPr>
        <w:pStyle w:val="TextBody"/>
        <w:bidi w:val="0"/>
        <w:spacing w:before="0" w:after="0"/>
        <w:ind w:left="0" w:right="0" w:hanging="0"/>
        <w:jc w:val="left"/>
        <w:rPr>
          <w:caps w:val="false"/>
          <w:smallCaps w:val="false"/>
        </w:rPr>
      </w:pPr>
      <w:r>
        <w:rPr>
          <w:caps w:val="false"/>
          <w:smallCaps w:val="false"/>
        </w:rPr>
        <w:t> </w:t>
      </w:r>
    </w:p>
    <w:tbl>
      <w:tblPr>
        <w:tblW w:w="8123" w:type="dxa"/>
        <w:jc w:val="left"/>
        <w:tblInd w:w="0" w:type="dxa"/>
        <w:tblLayout w:type="fixed"/>
        <w:tblCellMar>
          <w:top w:w="0" w:type="dxa"/>
          <w:left w:w="0" w:type="dxa"/>
          <w:bottom w:w="0" w:type="dxa"/>
          <w:right w:w="0" w:type="dxa"/>
        </w:tblCellMar>
      </w:tblPr>
      <w:tblGrid>
        <w:gridCol w:w="3545"/>
        <w:gridCol w:w="60"/>
        <w:gridCol w:w="171"/>
        <w:gridCol w:w="890"/>
        <w:gridCol w:w="109"/>
        <w:gridCol w:w="82"/>
        <w:gridCol w:w="171"/>
        <w:gridCol w:w="890"/>
        <w:gridCol w:w="80"/>
        <w:gridCol w:w="60"/>
        <w:gridCol w:w="125"/>
        <w:gridCol w:w="650"/>
        <w:gridCol w:w="80"/>
        <w:gridCol w:w="60"/>
        <w:gridCol w:w="155"/>
        <w:gridCol w:w="750"/>
        <w:gridCol w:w="245"/>
      </w:tblGrid>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3"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06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0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0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 2025</w:t>
            </w:r>
          </w:p>
        </w:tc>
        <w:tc>
          <w:tcPr>
            <w:tcW w:w="24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medical cannabis</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4,717</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adult-use cannabis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53,564</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wholesale cannabis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international cannabis</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16,237</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cannabis revenue</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75,191</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Excise taxes</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(19,082</w:t>
            </w:r>
          </w:p>
        </w:tc>
        <w:tc>
          <w:tcPr>
            <w:tcW w:w="10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cannabis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56,109</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For the three months ended August 31, 2026 and August 31, 2025, respectively, cannabis net revenue based on market channel on a constant currency(1) basis was as follows:</w:t>
      </w:r>
    </w:p>
    <w:p>
      <w:pPr>
        <w:pStyle w:val="TextBody"/>
        <w:bidi w:val="0"/>
        <w:spacing w:before="0" w:after="0"/>
        <w:ind w:left="0" w:right="0" w:firstLine="500"/>
        <w:jc w:val="both"/>
        <w:rPr>
          <w:caps w:val="false"/>
          <w:smallCaps w:val="false"/>
        </w:rPr>
      </w:pPr>
      <w:r>
        <w:rPr>
          <w:caps w:val="false"/>
          <w:smallCaps w:val="false"/>
        </w:rPr>
        <w:t> </w:t>
      </w:r>
    </w:p>
    <w:tbl>
      <w:tblPr>
        <w:tblW w:w="8781" w:type="dxa"/>
        <w:jc w:val="left"/>
        <w:tblInd w:w="0" w:type="dxa"/>
        <w:tblLayout w:type="fixed"/>
        <w:tblCellMar>
          <w:top w:w="0" w:type="dxa"/>
          <w:left w:w="0" w:type="dxa"/>
          <w:bottom w:w="0" w:type="dxa"/>
          <w:right w:w="0" w:type="dxa"/>
        </w:tblCellMar>
      </w:tblPr>
      <w:tblGrid>
        <w:gridCol w:w="3545"/>
        <w:gridCol w:w="60"/>
        <w:gridCol w:w="219"/>
        <w:gridCol w:w="1144"/>
        <w:gridCol w:w="140"/>
        <w:gridCol w:w="105"/>
        <w:gridCol w:w="219"/>
        <w:gridCol w:w="1144"/>
        <w:gridCol w:w="80"/>
        <w:gridCol w:w="60"/>
        <w:gridCol w:w="125"/>
        <w:gridCol w:w="650"/>
        <w:gridCol w:w="80"/>
        <w:gridCol w:w="60"/>
        <w:gridCol w:w="155"/>
        <w:gridCol w:w="750"/>
        <w:gridCol w:w="245"/>
      </w:tblGrid>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1"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1" w:type="dxa"/>
            <w:gridSpan w:val="6"/>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reported in constant currency(1)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36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3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3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 2025</w:t>
            </w:r>
          </w:p>
        </w:tc>
        <w:tc>
          <w:tcPr>
            <w:tcW w:w="24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medical cannabis</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4,804</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adult-use cannabis</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11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54,575</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11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wholesale cannabis</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11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11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international cannabis</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16,252</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cannabis revenue</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11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76,316</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11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Excise taxes</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(19,443</w:t>
            </w:r>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cannabis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56,873</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(1)</w:t>
            </w:r>
          </w:p>
        </w:tc>
        <w:tc>
          <w:tcPr>
            <w:tcW w:w="993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The constant currency presentation of our Cannabis revenue based on market channel is a non-GAAP financial measure.</w:t>
            </w:r>
            <w:r>
              <w:rPr>
                <w:rFonts w:ascii="Times New Roman;Times;serif" w:hAnsi="Times New Roman;Times;serif"/>
                <w:sz w:val="20"/>
              </w:rPr>
              <w:t xml:space="preserve"> </w:t>
            </w:r>
            <w:r>
              <w:rPr>
                <w:rFonts w:ascii="Times New Roman;Times;serif" w:hAnsi="Times New Roman;Times;serif"/>
                <w:i/>
                <w:sz w:val="20"/>
              </w:rPr>
              <w:t xml:space="preserve">See </w:t>
            </w:r>
            <w:r>
              <w:rPr>
                <w:rFonts w:ascii="Times New Roman;Times;serif" w:hAnsi="Times New Roman;Times;serif"/>
                <w:sz w:val="20"/>
              </w:rPr>
              <w:t>“</w:t>
            </w:r>
            <w:r>
              <w:rPr>
                <w:rFonts w:ascii="Times New Roman;Times;serif" w:hAnsi="Times New Roman;Times;serif"/>
                <w:i/>
                <w:sz w:val="20"/>
              </w:rPr>
              <w:t xml:space="preserve">Use of Non-GAAP Measures </w:t>
            </w:r>
            <w:r>
              <w:rPr>
                <w:rFonts w:ascii="Times New Roman;Times;serif" w:hAnsi="Times New Roman;Times;serif"/>
                <w:sz w:val="20"/>
              </w:rPr>
              <w:t>–</w:t>
            </w:r>
            <w:r>
              <w:rPr>
                <w:rFonts w:ascii="Times New Roman;Times;serif" w:hAnsi="Times New Roman;Times;serif"/>
                <w:i/>
                <w:sz w:val="20"/>
              </w:rPr>
              <w:t>Constant Currency Presentation</w:t>
            </w:r>
            <w:r>
              <w:rPr>
                <w:rFonts w:ascii="Times New Roman;Times;serif" w:hAnsi="Times New Roman;Times;serif"/>
                <w:sz w:val="20"/>
              </w:rPr>
              <w:t xml:space="preserve">” </w:t>
            </w:r>
            <w:r>
              <w:rPr>
                <w:rFonts w:ascii="Times New Roman;Times;serif" w:hAnsi="Times New Roman;Times;serif"/>
                <w:i/>
                <w:sz w:val="20"/>
              </w:rPr>
              <w:t>above for a discussion of these Non-GAAP Measures.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b/>
          <w:i/>
          <w:caps w:val="false"/>
          <w:smallCaps w:val="false"/>
          <w:sz w:val="20"/>
        </w:rPr>
        <w:t xml:space="preserve">Revenue from Canadian medical cannabis: </w:t>
      </w:r>
      <w:r>
        <w:rPr>
          <w:rFonts w:ascii="Times New Roman" w:hAnsi="Times New Roman"/>
          <w:caps w:val="false"/>
          <w:smallCaps w:val="false"/>
          <w:sz w:val="20"/>
        </w:rPr>
        <w:t>Gross revenue from Canadian medical cannabis decreased to $4.7 million for the three months ended August 31, 2026, compared to gross revenue of $6.1 million for the prior year period. On a constant currency basis, gross revenue from Canadian medical cannabis decreased to $4.8 million for the three months ended August 31, 2026. The decrease in gross revenue from medical cannabis, on a constant currency basis, was primarily driven by a reduction in the Veterans Affairs Canada reimbursement ceiling from CAD $8.50 to CAD $6.00 per gram, effective April 1, 2026, as enacted under the Canadian federal government’s Budget 2025, which reduced revenue by approximately $1.0 million during the fiscal quarter. The remaining decrease was attributed to uninsured patient attrition to the adult-use recreational market.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b/>
          <w:i/>
          <w:caps w:val="false"/>
          <w:smallCaps w:val="false"/>
          <w:sz w:val="20"/>
        </w:rPr>
        <w:t xml:space="preserve">Revenue from Canadian adult-use cannabis: </w:t>
      </w:r>
      <w:r>
        <w:rPr>
          <w:rFonts w:ascii="Times New Roman" w:hAnsi="Times New Roman"/>
          <w:caps w:val="false"/>
          <w:smallCaps w:val="false"/>
          <w:sz w:val="20"/>
        </w:rPr>
        <w:t>During the three months ended August 31, 2026, our gross revenue from Canadian adult-use cannabis decreased to $53.6 million, compared to gross revenue of $64.1 million for the prior year period. On a constant currency basis, our gross revenue from Canadian adult-use cannabis decreased to $54.6 million for the three months ended August 31, 2026. The currency adjusted decrease in gross adult-use revenue for the three-month period was primarily driven by continued pricing pressure in the flower category, particularly within the mainstream and value segments where the Company maintains a significant market share. These decreases were partially offset by growth from innovation and recently launched products. In addition, certain inventory was redirected to international markets, which would otherwise have generated approximately $1.1 million of revenue in the Canadian market. Notably, we have continued to invest in our cultivation footprint, including the expansion of cultivation at our Quebec facility, to support demand across both Canadian and international markets. We remain encouraged by the early performance of key innovation initiatives and believe our investments in cultivation, brands and product development position the business to capitalize on future growth opportunities as market conditions evolve.</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b/>
          <w:i/>
          <w:caps w:val="false"/>
          <w:smallCaps w:val="false"/>
          <w:sz w:val="20"/>
        </w:rPr>
        <w:t>Wholesale cannabis revenue: </w:t>
      </w:r>
      <w:r>
        <w:rPr>
          <w:rFonts w:ascii="Times New Roman" w:hAnsi="Times New Roman"/>
          <w:caps w:val="false"/>
          <w:smallCaps w:val="false"/>
          <w:sz w:val="20"/>
        </w:rPr>
        <w:t>Gross revenue from wholesale cannabis decreased to $0.7 million for the three months ended August 31, 2026, compared to gross revenue of $4.2 million for the prior year period. On a constant currency basis, gross revenue from wholesale cannabis decreased to $0.7 million for the three months ended August 31, 2026. As wholesale market dynamics evolve, we continue to evaluate opportunities to sell into the wholesale market or allocate product to international markets and other sales channels based on demand and profitability. Specifically, during the three months ended August 31, 2026, wholesale cannabis revenue declined compared to the prior year period as the Company strategically redirected product to other markets, resulting in a 70% decrease in wholesale gram equivalents sold. </w:t>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b/>
          <w:i/>
          <w:caps w:val="false"/>
          <w:smallCaps w:val="false"/>
          <w:sz w:val="20"/>
        </w:rPr>
        <w:t>International cannabis revenue:</w:t>
      </w:r>
      <w:r>
        <w:rPr>
          <w:rFonts w:ascii="Times New Roman" w:hAnsi="Times New Roman"/>
          <w:caps w:val="false"/>
          <w:smallCaps w:val="false"/>
          <w:sz w:val="20"/>
        </w:rPr>
        <w:t> Net revenue from International cannabis increased to $16.2 million for the three months ended August 31, 2026, compared to net revenue of $13.4 million for the prior year period. On a constant currency basis, net revenue from international cannabis increased to $16.3 million for the three months ended August 31, 2026 and was primarily attributable to growth in the German medical cannabis market, which increased by $2.9 million as a result of increased patient demand. This growth was further supported by a $1.0 million increase in the United Kingdom through the Lyphe Acquisition. Despite increased gram equivalents sold, international cannabis revenue was negatively impacted by price compression of approximately $8.8 million in the quarter. Lastly, international cannabis revenue may fluctuate from quarter to quarter based upon the timing of the receipt of export/import permits as well as the timing of shipments from one quarter to the next.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Distribution</w:t>
      </w:r>
      <w:r>
        <w:rPr>
          <w:rFonts w:ascii="Times New Roman" w:hAnsi="Times New Roman"/>
          <w:caps w:val="false"/>
          <w:smallCaps w:val="false"/>
          <w:sz w:val="20"/>
        </w:rPr>
        <w:t> </w:t>
      </w:r>
      <w:r>
        <w:rPr>
          <w:rFonts w:ascii="Times New Roman" w:hAnsi="Times New Roman"/>
          <w:b/>
          <w:caps w:val="false"/>
          <w:smallCaps w:val="false"/>
          <w:sz w:val="20"/>
        </w:rPr>
        <w:t xml:space="preserve">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Net revenue from our Distribution segment increased to $84.3 million for the three months ended August 31, 2026, compared to revenue of $74.0 million for the prior year period. On a constant currency basis, revenue from Distribution increased to $85.2 million for the three months ended August 31, 2026. The increase in Distribution revenue for the fiscal year was primarily driven by a focus on competitive pricing and product mix, as evidenced by a 12% increase in average selling price, and a 2% increase in units sold.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Wellness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Wellness segment net revenue increased to $15.3 million for the three months ended August 31, 2026, compared to $15.2 million from the prior year period. On a constant currency basis for the three months ended August 31, 2026, Wellness segment net revenue increased to $15.4 million. Wellness net revenue remained largely unchanged, as growth from innovation and new product offerings was largely offset by lower e-commerce sales resulting from temporary supply constraints.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Gross profit and gross margin for our reporting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For the three months ended August 31, 2026 and August 31, 2025, respectively, our gross profit and gross margin were as follows:</w:t>
      </w:r>
    </w:p>
    <w:p>
      <w:pPr>
        <w:pStyle w:val="TextBody"/>
        <w:bidi w:val="0"/>
        <w:spacing w:before="0" w:after="0"/>
        <w:ind w:left="0" w:right="0" w:hanging="0"/>
        <w:jc w:val="left"/>
        <w:rPr>
          <w:caps w:val="false"/>
          <w:smallCaps w:val="false"/>
        </w:rPr>
      </w:pPr>
      <w:r>
        <w:rPr>
          <w:caps w:val="false"/>
          <w:smallCaps w:val="false"/>
        </w:rPr>
        <w:t> </w:t>
      </w:r>
    </w:p>
    <w:tbl>
      <w:tblPr>
        <w:tblW w:w="7207" w:type="dxa"/>
        <w:jc w:val="left"/>
        <w:tblInd w:w="0" w:type="dxa"/>
        <w:tblLayout w:type="fixed"/>
        <w:tblCellMar>
          <w:top w:w="0" w:type="dxa"/>
          <w:left w:w="0" w:type="dxa"/>
          <w:bottom w:w="0" w:type="dxa"/>
          <w:right w:w="0" w:type="dxa"/>
        </w:tblCellMar>
      </w:tblPr>
      <w:tblGrid>
        <w:gridCol w:w="2420"/>
        <w:gridCol w:w="60"/>
        <w:gridCol w:w="153"/>
        <w:gridCol w:w="853"/>
        <w:gridCol w:w="227"/>
        <w:gridCol w:w="73"/>
        <w:gridCol w:w="153"/>
        <w:gridCol w:w="853"/>
        <w:gridCol w:w="185"/>
        <w:gridCol w:w="60"/>
        <w:gridCol w:w="125"/>
        <w:gridCol w:w="590"/>
        <w:gridCol w:w="245"/>
        <w:gridCol w:w="60"/>
        <w:gridCol w:w="155"/>
        <w:gridCol w:w="750"/>
        <w:gridCol w:w="245"/>
      </w:tblGrid>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2"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00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22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00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Beverage</w:t>
            </w:r>
          </w:p>
        </w:tc>
        <w:tc>
          <w:tcPr>
            <w:tcW w:w="60" w:type="dxa"/>
            <w:tcBorders/>
            <w:shd w:fill="FFFFFF" w:val="clear"/>
            <w:vAlign w:val="center"/>
          </w:tcPr>
          <w:p>
            <w:pPr>
              <w:pStyle w:val="TableContents"/>
              <w:bidi w:val="0"/>
              <w:spacing w:before="0" w:after="283"/>
              <w:ind w:left="0" w:right="0" w:hanging="0"/>
              <w:jc w:val="left"/>
              <w:rPr/>
            </w:pPr>
            <w:r>
              <w:rPr/>
              <w:t> </w:t>
            </w:r>
          </w:p>
        </w:tc>
        <w:tc>
          <w:tcPr>
            <w:tcW w:w="10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2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0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 2025</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101,496</w:t>
            </w:r>
          </w:p>
        </w:tc>
        <w:tc>
          <w:tcPr>
            <w:tcW w:w="22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55,739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45,757</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59,489</w:t>
            </w:r>
          </w:p>
        </w:tc>
        <w:tc>
          <w:tcPr>
            <w:tcW w:w="22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34,413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25,076</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42,007</w:t>
            </w:r>
          </w:p>
        </w:tc>
        <w:tc>
          <w:tcPr>
            <w:tcW w:w="22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21,326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20,681</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Cannabis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center"/>
              <w:rPr/>
            </w:pPr>
            <w:r>
              <w:rPr/>
              <w:t> </w:t>
            </w:r>
          </w:p>
        </w:tc>
        <w:tc>
          <w:tcPr>
            <w:tcW w:w="22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center"/>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center"/>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56,109</w:t>
            </w:r>
          </w:p>
        </w:tc>
        <w:tc>
          <w:tcPr>
            <w:tcW w:w="22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64,511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34,087</w:t>
            </w:r>
          </w:p>
        </w:tc>
        <w:tc>
          <w:tcPr>
            <w:tcW w:w="22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41,241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22,022</w:t>
            </w:r>
          </w:p>
        </w:tc>
        <w:tc>
          <w:tcPr>
            <w:tcW w:w="22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23,270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Distribution</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center"/>
              <w:rPr/>
            </w:pPr>
            <w:r>
              <w:rPr/>
              <w:t> </w:t>
            </w:r>
          </w:p>
        </w:tc>
        <w:tc>
          <w:tcPr>
            <w:tcW w:w="22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84,266</w:t>
            </w:r>
          </w:p>
        </w:tc>
        <w:tc>
          <w:tcPr>
            <w:tcW w:w="22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74,007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10,259</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75,143</w:t>
            </w:r>
          </w:p>
        </w:tc>
        <w:tc>
          <w:tcPr>
            <w:tcW w:w="22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66,008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9,135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9,123</w:t>
            </w:r>
          </w:p>
        </w:tc>
        <w:tc>
          <w:tcPr>
            <w:tcW w:w="22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Wellness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center"/>
              <w:rPr/>
            </w:pPr>
            <w:r>
              <w:rPr/>
              <w:t> </w:t>
            </w:r>
          </w:p>
        </w:tc>
        <w:tc>
          <w:tcPr>
            <w:tcW w:w="22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center"/>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center"/>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15,276</w:t>
            </w:r>
          </w:p>
        </w:tc>
        <w:tc>
          <w:tcPr>
            <w:tcW w:w="22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10,919</w:t>
            </w:r>
          </w:p>
        </w:tc>
        <w:tc>
          <w:tcPr>
            <w:tcW w:w="22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4,357</w:t>
            </w:r>
          </w:p>
        </w:tc>
        <w:tc>
          <w:tcPr>
            <w:tcW w:w="22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center"/>
              <w:rPr/>
            </w:pPr>
            <w:r>
              <w:rPr/>
              <w:t> </w:t>
            </w:r>
          </w:p>
        </w:tc>
        <w:tc>
          <w:tcPr>
            <w:tcW w:w="22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257,147</w:t>
            </w:r>
          </w:p>
        </w:tc>
        <w:tc>
          <w:tcPr>
            <w:tcW w:w="22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209,501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47,646</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179,638</w:t>
            </w:r>
          </w:p>
        </w:tc>
        <w:tc>
          <w:tcPr>
            <w:tcW w:w="22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152,032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27,606</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77,509</w:t>
            </w:r>
          </w:p>
        </w:tc>
        <w:tc>
          <w:tcPr>
            <w:tcW w:w="22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57,469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20,040</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Beverage gross margin:</w:t>
      </w:r>
      <w:r>
        <w:rPr>
          <w:rFonts w:ascii="Times New Roman" w:hAnsi="Times New Roman"/>
          <w:caps w:val="false"/>
          <w:smallCaps w:val="false"/>
          <w:sz w:val="20"/>
        </w:rPr>
        <w:t> For the three months ended August 31, 2026, our beverage segment generated gross margin of 41%, which increased from 38% generated in the prior year period. The increase was primarily driven by the inclusion of BrewDog, which generated a gross margin of approximately 46% and favorably impacted the segment’s overall gross margin. This benefit was partially offset by lower overhead absorption resulting from reduced volume in our legacy beverage operations, as well as higher input costs, particularly for aluminum and inbound freight.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Cannabis gross margin:</w:t>
      </w:r>
      <w:r>
        <w:rPr>
          <w:rFonts w:ascii="Times New Roman" w:hAnsi="Times New Roman"/>
          <w:caps w:val="false"/>
          <w:smallCaps w:val="false"/>
          <w:sz w:val="20"/>
        </w:rPr>
        <w:t xml:space="preserve"> For the three months ended August 31, 2026, our cannabis segment generated gross margin of 39%, which increased from 36% generated in the prior year period. The increase was primarily driven by operating efficiencies realized across our Canadian cannabis operations as well as favorable product mix, together with improved utilization of our cultivation facility in Portugal as we continued to scale international production. These benefits more than offset the impact of lower revenue and price compression, particularly within international cannabis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i/>
          <w:caps w:val="false"/>
          <w:smallCaps w:val="false"/>
          <w:sz w:val="20"/>
        </w:rPr>
        <w:t>Distribution gross margin:</w:t>
      </w:r>
      <w:r>
        <w:rPr>
          <w:rFonts w:ascii="Times New Roman" w:hAnsi="Times New Roman"/>
          <w:caps w:val="false"/>
          <w:smallCaps w:val="false"/>
          <w:sz w:val="20"/>
        </w:rPr>
        <w:t xml:space="preserve"> For the three months ended August 31, 2026, our distribution segment generated gross margin of 11%, and remained consistent from 11% generated in the prior year period. The comparability was affected by a $1.3 million in the prior year for the classification of certain packing labor costs within selling expenses rather than cost of goods sold. Excluding this impact, gross margin improved, driven primarily by a favorable product mix, including an approximately 12% increase in average selling price, and lower input costs resulting from cost-reduction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i/>
          <w:caps w:val="false"/>
          <w:smallCaps w:val="false"/>
          <w:sz w:val="20"/>
        </w:rPr>
        <w:t>Wellness gross margin:</w:t>
      </w:r>
      <w:r>
        <w:rPr>
          <w:rFonts w:ascii="Times New Roman" w:hAnsi="Times New Roman"/>
          <w:caps w:val="false"/>
          <w:smallCaps w:val="false"/>
          <w:sz w:val="20"/>
        </w:rPr>
        <w:t xml:space="preserve"> For the three months ended August 31, 2026, our wellness segment generated gross margin of 29%, which decreased from 32% in the prior year period. Gross margin decreased as a result of an unfavorable change in sales mix away from e-commerce and organic products to non-organic and white label.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three months ended August 31, 2026 and August 31, 2025, respectively, the changes in operating expenses were as follows:</w:t>
      </w:r>
    </w:p>
    <w:p>
      <w:pPr>
        <w:pStyle w:val="TextBody"/>
        <w:bidi w:val="0"/>
        <w:spacing w:before="0" w:after="0"/>
        <w:ind w:left="0" w:right="0" w:hanging="0"/>
        <w:jc w:val="left"/>
        <w:rPr>
          <w:caps w:val="false"/>
          <w:smallCaps w:val="false"/>
        </w:rPr>
      </w:pPr>
      <w:r>
        <w:rPr>
          <w:caps w:val="false"/>
          <w:smallCaps w:val="false"/>
        </w:rPr>
        <w:t> </w:t>
      </w:r>
    </w:p>
    <w:tbl>
      <w:tblPr>
        <w:tblW w:w="8481" w:type="dxa"/>
        <w:jc w:val="left"/>
        <w:tblInd w:w="0" w:type="dxa"/>
        <w:tblLayout w:type="fixed"/>
        <w:tblCellMar>
          <w:top w:w="0" w:type="dxa"/>
          <w:left w:w="0" w:type="dxa"/>
          <w:bottom w:w="0" w:type="dxa"/>
          <w:right w:w="0" w:type="dxa"/>
        </w:tblCellMar>
      </w:tblPr>
      <w:tblGrid>
        <w:gridCol w:w="3965"/>
        <w:gridCol w:w="60"/>
        <w:gridCol w:w="168"/>
        <w:gridCol w:w="938"/>
        <w:gridCol w:w="80"/>
        <w:gridCol w:w="80"/>
        <w:gridCol w:w="168"/>
        <w:gridCol w:w="877"/>
        <w:gridCol w:w="80"/>
        <w:gridCol w:w="60"/>
        <w:gridCol w:w="125"/>
        <w:gridCol w:w="590"/>
        <w:gridCol w:w="80"/>
        <w:gridCol w:w="60"/>
        <w:gridCol w:w="99"/>
        <w:gridCol w:w="806"/>
        <w:gridCol w:w="245"/>
      </w:tblGrid>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1"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04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1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0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 2025</w:t>
            </w:r>
          </w:p>
        </w:tc>
        <w:tc>
          <w:tcPr>
            <w:tcW w:w="24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57,608</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13,593</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8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and promotion</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15,736</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8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8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Litigation costs, net of recoveries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costs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2,447</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8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costs, net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4,802</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101,562</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Operating expenses are comprised of general and administrative, selling, amortization, marketing and promotion, research and development, change in fair value of contingent consideration, litigation costs, net of recoveries, restructuring costs and transaction costs, net. For the three months ended August 31, 2026, operating expenses increased by $46.2 million to $101.6 million when compared to $55.4 million for the prior year period. The increase was primarily driven by $32.0 million of incremental operating expenses associated with the Global BrewDog Acquisitions and the Lyphe Acquisition. The increase also reflected the absence of a $15.0 million gain from the change in fair value of contingent consideration relating to the Montauk acquisition recognized in the prior year period. These items are discussed in further detail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and administrative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During the three months ended August 31, 2026 and August 31, 2025, respectively, the changes in general and administrative costs when compared to the prior year period were as follows:</w:t>
      </w:r>
    </w:p>
    <w:p>
      <w:pPr>
        <w:pStyle w:val="TextBody"/>
        <w:bidi w:val="0"/>
        <w:spacing w:before="0" w:after="0"/>
        <w:ind w:left="0" w:right="0" w:hanging="0"/>
        <w:jc w:val="left"/>
        <w:rPr>
          <w:caps w:val="false"/>
          <w:smallCaps w:val="false"/>
        </w:rPr>
      </w:pPr>
      <w:r>
        <w:rPr>
          <w:caps w:val="false"/>
          <w:smallCaps w:val="false"/>
        </w:rPr>
        <w:t> </w:t>
      </w:r>
    </w:p>
    <w:tbl>
      <w:tblPr>
        <w:tblW w:w="7626" w:type="dxa"/>
        <w:jc w:val="left"/>
        <w:tblInd w:w="0" w:type="dxa"/>
        <w:tblLayout w:type="fixed"/>
        <w:tblCellMar>
          <w:top w:w="0" w:type="dxa"/>
          <w:left w:w="0" w:type="dxa"/>
          <w:bottom w:w="0" w:type="dxa"/>
          <w:right w:w="0" w:type="dxa"/>
        </w:tblCellMar>
      </w:tblPr>
      <w:tblGrid>
        <w:gridCol w:w="3110"/>
        <w:gridCol w:w="60"/>
        <w:gridCol w:w="184"/>
        <w:gridCol w:w="869"/>
        <w:gridCol w:w="117"/>
        <w:gridCol w:w="88"/>
        <w:gridCol w:w="184"/>
        <w:gridCol w:w="869"/>
        <w:gridCol w:w="80"/>
        <w:gridCol w:w="60"/>
        <w:gridCol w:w="125"/>
        <w:gridCol w:w="590"/>
        <w:gridCol w:w="80"/>
        <w:gridCol w:w="60"/>
        <w:gridCol w:w="137"/>
        <w:gridCol w:w="768"/>
        <w:gridCol w:w="245"/>
      </w:tblGrid>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1"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05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0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0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 2025</w:t>
            </w:r>
          </w:p>
        </w:tc>
        <w:tc>
          <w:tcPr>
            <w:tcW w:w="245"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Salaries and wages</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26,108</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 and general</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16,942</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6,584</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2,910</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capital assets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Travel and accommodation</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2,305</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Rent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2,228</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general and administrative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57,608</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Salaries and wages increased by 20% during the three months ended August 31, 2026, when compared to the prior year period. This is primarily attributable to incremental salaries and wages of $7.4 million associated with the Global BrewDog Acquisitions and the Lyphe Acquisition completed during the fourth fiscal quarter of fiscal year 2026, as well as annual merit increases. This increase was partially offset due to a reduction of retention payments of $0.8 million compared to the prior year period. </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Office and general increased by 95% during the three months ended August 31, 2026, when compared to the prior year period. The increase in the three months ended August 31, 2026 was driven by higher costs in the current year, including $7.1 million of incremental office and general expenses associated with the Global BrewDog Acquisitions and the Lyphe Acquisition completed during the fourth fiscal quarter of fiscal year 2026.</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Company recognized stock-based compensation expense of $6.6 million during the three months ended August 31, 2026, of which $0.9 million was recorded against accounts payable and accrued liabilities on the Consolidated Statements of Financial Position in connection with the Performance-Based Elective Settlement Award achieved (Note 14), compared to $5.1 million for the prior year period. Stock-based compensation expense is based on the adopted time-based vesting schedules and varies according to the assumptions used in the vesting model.</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Insurance expense increased by $0.5 million for the three months ended August 31, 2026 to $2.9 million from $2.4 million for the prior year period. The increase in insurance expense for the three months ended August 31, 2026, was attributable to incremental insurance costs associated with the Global BrewDog Acquisitions.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Rent expense increased by 151% for the three months ended August 31, 2026 to $2.2 million compared to $0.9 million for the prior year period. Rent expense is predominantly comprised of operating lease expenses for our brew pubs and office spaces and varies period-over-period based on lease amortization schedules and common area maintenance costs. The increase for the three months ended August 31, 2026 reflects incremental rent costs of $1.3 million associated with the Global BrewDog Acquisitions and the Lyphe Acquisition completed during the fourth fiscal quarter of fiscal year 2026. </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Selling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For the three months ended August 31, 2026, the Company incurred selling costs of $13.6 million or 5% of net revenue as compared to $12.9 million or 6% of net revenue in the prior year period. These costs relate to third-party shipping costs for all segments, in addition to distributor commission incurred by the cannabis segment, Health Canada cannabis fees, and patient acquisition and maintenance costs. The increase in selling costs for the three months ended August 31, 2026, was primarily attributable to $3.1 million of incremental selling costs associated with the Global BrewDog Acquisitions and the Lyphe Acquisition, as well as $1.7 million of incremental fuel and freight surcharges resulting from elevated global fuel prices and shipping disruptions associated with the ongoing conflict in the Middle East. These increases were partially offset by benefits realized from ongoing cost-saving initiatives and a change in revenue mix to lower selling cost segments.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Company incurred non-production related amortization charges of $6.5 million for the three months ended August 31, 2026, compared to $3.9 million in the prior year period, based on depreciable capital and intangible assets useful lives. The increase is primarily attributable to incremental amortization expense of $2.4 million associated with the Global BrewDog Acquisitions and the Lyphe Acquisition completed during the fourth fiscal quarter of fiscal year 2026.</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Marketing and promotion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For the three months ended August 31, 2026, the Company incurred marketing and promotion costs of $15.7 million, compared to $10.2 million for the prior year period. The increase was primarily driven by $5.6 million of incremental marketing and promotion costs associated with the Global BrewDog Acquisitions, as well as variability in discretionary marketing spend.</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Research and development costs were $0.1 million during the three months ended August 31, 2026, compared to $0.0 million in the prior year period. These costs relate to external expenditures associated with the development of new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 in fair value of contingent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portion of the total consideration to be paid in connection with the Company’s acquisition of Montauk was contingent upon the achievement by Montauk of certain financial measures as of December 31, 2025. In the event that Montauk achieved either the pre-determined sales volume target or EBITDA target, then $15.0 million of contingent consideration would be deemed earned and payable. If both the sales volume target and the EBITDA target were achieved, an additional $3.0 million would be deemed earned and payable for a total contingent consideration payment of $18.0 million. </w:t>
      </w:r>
    </w:p>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three months ended August 31, 2025, the Company reassessed the estimated fair value of the contingent consideration liability as $nil, based on subsequent information regarding Montauk’s operating results and revised expectations for the remainder of the earn</w:t>
        <w:noBreakHyphen/>
        <w:t>out period. As a result of lower</w:t>
        <w:noBreakHyphen/>
        <w:t>than</w:t>
        <w:noBreakHyphen/>
        <w:t>anticipated sales volumes during the peak selling periods of June, July and August 2025, and the loss of certain national retail programs, management concluded that Montauk no longer had a viable path to achieving the sales volume target or the EBITDA target within the earn</w:t>
        <w:noBreakHyphen/>
        <w:t>out period. Accordingly, the Company applied a probability of achievement of 0% to the sales volume target and 0% to the remaining criteria. The resulting $15.0 million change in fair value of the contingent consideration liability was recorded within the Consolidated Statements of Income (Loss) and Comprehensive Income (Loss) and contributed to the Company’s net income generated during the period ended August 31, 2025, despite historically reporting a net loss.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remainder of fiscal 2026, the earn-out period concluded and neither financial measure was achieved. Accordingly, no further changes to the fair value of the contingent consideration liability were recognized during the year ended May 31, 2026 as no contingent consideration obligation was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Litigation costs, net of recoveries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For the three months ended August 31, 2026, the Company recorded $0.8 million of litigation settlements costs and third-party fees incurred in defending these claims, net of favorable recoveries compared to $1.0 million in the prior year period. The decrease is related to period-to-period variability as litigation and settlement costs are non-recurring in nature. During the three months ended August 31, 2026, the Company settled a copyright infringement litigation claim for which insurance recovery is expected. Specifically, the Company expects to receive approximately $1.0 million in insurance proceeds to offset the same amount funded for settlement of this claim.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Restructuring costs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connection with the integration of certain acquisitions and strategic transactions, the Company has incurred restructuring and exit costs in the amount of $2.4 million for the three months ended August 31, 2026, compared to $0.9 million for the prior year period. All restructuring plans are approved at the executive level, and their associated expenses are recognized in the period in which the plan is committed or otherwise incurred.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Within the Beverage segment, restructuring activities primarily related to a business optimization plan designed to consolidate production, streamline and simplify operations, and improve the Beverage cost structure. Activities implemented under the plan included the closure of and the consolidation of volumes into certain brewery and related facilities.  More specifically, in connection with our business optimization plan, we made decisions to cease production at our Terrapin facility in Athens, GA and our Hop Valley facility located in Eugene, OR, as well as executing an agreement to divest our Atwater business. Restructuring charges primarily consisted of employee termination severance and benefits, facility closure and exit costs, contract and other termination costs, costs associated with SKU rationalization activities, and other costs directly associated with the execution of the plan. As a result, during the three months ended August 31, 2026, the Company incurred $2.3 million of restructuring related expenses associated with these efforts. The Company expects these initiatives to be substantially completed by the end of fiscal 2027.</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Transaction costs,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Transaction costs, net, include acquisition related income and expenses, related legal, financial advisor and due diligence cost and expenses and transaction related compensation. For the three months ended August 31, 2026, transaction costs increased to $4.8 million from $0.4 million for the prior year period. During the three months ended August 31, 2026, transaction costs associated with the continued integration of BrewDog and Lyphe, as well as $1.1 million of professional and other fees related to the BrewDog administration process.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Interest expense,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the three months ended August 31, 2026, interest expense, net was $6.5 million compared to $6.7 million for the prior year period. For the three months ended August 31, 2026, interest expense, net was comprised of $0.9 million of interest income, $1.5 million of accretion of convertible debt discount, and $5.9 million of cash interest expense compared to $1.9 million, $2.0 million and $6.6 million, respectively, for the prior year period.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Non-operating (expense)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During the three months ended August 31, 2026 and August 31, 2025, respectively, the changes in non-operating (expense), income were comprised of:</w:t>
      </w:r>
    </w:p>
    <w:p>
      <w:pPr>
        <w:pStyle w:val="TextBody"/>
        <w:bidi w:val="0"/>
        <w:spacing w:before="0" w:after="0"/>
        <w:ind w:left="0" w:right="0" w:hanging="0"/>
        <w:jc w:val="left"/>
        <w:rPr>
          <w:caps w:val="false"/>
          <w:smallCaps w:val="false"/>
        </w:rPr>
      </w:pPr>
      <w:r>
        <w:rPr>
          <w:caps w:val="false"/>
          <w:smallCaps w:val="false"/>
        </w:rPr>
        <w:t> </w:t>
      </w:r>
    </w:p>
    <w:tbl>
      <w:tblPr>
        <w:tblW w:w="7807" w:type="dxa"/>
        <w:jc w:val="left"/>
        <w:tblInd w:w="0" w:type="dxa"/>
        <w:tblLayout w:type="fixed"/>
        <w:tblCellMar>
          <w:top w:w="0" w:type="dxa"/>
          <w:left w:w="0" w:type="dxa"/>
          <w:bottom w:w="0" w:type="dxa"/>
          <w:right w:w="0" w:type="dxa"/>
        </w:tblCellMar>
      </w:tblPr>
      <w:tblGrid>
        <w:gridCol w:w="3230"/>
        <w:gridCol w:w="60"/>
        <w:gridCol w:w="182"/>
        <w:gridCol w:w="949"/>
        <w:gridCol w:w="116"/>
        <w:gridCol w:w="87"/>
        <w:gridCol w:w="182"/>
        <w:gridCol w:w="796"/>
        <w:gridCol w:w="80"/>
        <w:gridCol w:w="60"/>
        <w:gridCol w:w="125"/>
        <w:gridCol w:w="650"/>
        <w:gridCol w:w="80"/>
        <w:gridCol w:w="60"/>
        <w:gridCol w:w="119"/>
        <w:gridCol w:w="786"/>
        <w:gridCol w:w="245"/>
      </w:tblGrid>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2"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97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1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9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 2025</w:t>
            </w:r>
          </w:p>
        </w:tc>
        <w:tc>
          <w:tcPr>
            <w:tcW w:w="24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283"/>
              <w:ind w:left="0" w:right="0" w:hanging="0"/>
              <w:jc w:val="right"/>
              <w:rPr/>
            </w:pPr>
            <w:r>
              <w:rPr/>
              <w:t>—</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gain (loss)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(11,234</w:t>
            </w:r>
          </w:p>
        </w:tc>
        <w:tc>
          <w:tcPr>
            <w:tcW w:w="11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long-term investments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 (loss) on digital assets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non-operating (losses) gains, net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3,442</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non-operating income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(7,773</w:t>
            </w:r>
          </w:p>
        </w:tc>
        <w:tc>
          <w:tcPr>
            <w:tcW w:w="11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For the three months ended August 31, 2026, the Company did not recognize a change in fair value of its warrants as they have been fully exercised, compared to a loss of $3.7 million in the prior year period, as a result of the change in our share price and the exercise price of the warrants. For the three months ended August 31, 2026, the Company recognized a loss of $11.2 million resulting from the changes in foreign exchange rates during the period compared to a gain of $6.9 million for the prior year period. The other non-operating (losses) gains, net were gains of $3.5 million for the three months ended August 31, 2026, compared to gains of $0.5 million for the prior year period, and primarily resulted from the exchange transaction of the TLRY 27 Notes, as described in Note 12 (Convertible debentures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Non-GAAP Financial Measures to GAAP Measures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Adjusted EBITDA is a non-GAAP financial measure that does not have any standardized meaning prescribed by GAAP and may not be comparable to similar measures presented by other companies. The Company calculates adjusted EBITDA as net income (loss) before income taxes, net interest expense, depreciation and amortization, purchase price accounting step-up on inventory, stock-based compensation, restructuring costs, transaction costs net, litigation costs net of recoveries, change in fair value of contingent consideration, project 420 cost savings initiatives, unrealized currency gains and losses and other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believe that this presentation provides useful information to management, analysts and investors regarding certain additional financial and business trends relating to the Company’s results of operations and financial condition. In addition, management uses this measure for reviewing the financial results of the Company and as a component of performance-based executive compensation.</w:t>
      </w:r>
    </w:p>
    <w:p>
      <w:pPr>
        <w:pStyle w:val="TextBody"/>
        <w:bidi w:val="0"/>
        <w:spacing w:before="0" w:after="0"/>
        <w:ind w:left="16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do not consider adjusted EBITDA in isolation or as an alternative to financial measures determined in accordance with GAAP. The principal limitation of adjusted EBITDA is that it excludes certain expenses and income that are required by U.S. GAAP to be recorded in our Financial Statements. In addition, adjusted EBITDA is subject to inherent limitations as this metric reflects the exercise of judgment by management about which expenses and income are excluded or included in determining adjusted EBITDA. In order to compensate for these limitations, management presents adjusted EBITDA in connection with GAAP results.</w:t>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For three months ended August 31, 2026, adjusted EBITDA decreased to $9.2 million compared to $10.2 million for the prior year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8543" w:type="dxa"/>
        <w:jc w:val="left"/>
        <w:tblInd w:w="0" w:type="dxa"/>
        <w:tblLayout w:type="fixed"/>
        <w:tblCellMar>
          <w:top w:w="0" w:type="dxa"/>
          <w:left w:w="0" w:type="dxa"/>
          <w:bottom w:w="0" w:type="dxa"/>
          <w:right w:w="0" w:type="dxa"/>
        </w:tblCellMar>
      </w:tblPr>
      <w:tblGrid>
        <w:gridCol w:w="3965"/>
        <w:gridCol w:w="60"/>
        <w:gridCol w:w="171"/>
        <w:gridCol w:w="890"/>
        <w:gridCol w:w="109"/>
        <w:gridCol w:w="82"/>
        <w:gridCol w:w="171"/>
        <w:gridCol w:w="890"/>
        <w:gridCol w:w="80"/>
        <w:gridCol w:w="60"/>
        <w:gridCol w:w="125"/>
        <w:gridCol w:w="650"/>
        <w:gridCol w:w="80"/>
        <w:gridCol w:w="60"/>
        <w:gridCol w:w="89"/>
        <w:gridCol w:w="816"/>
        <w:gridCol w:w="245"/>
      </w:tblGrid>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3"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06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EBITDA reconciliation:</w:t>
            </w:r>
          </w:p>
        </w:tc>
        <w:tc>
          <w:tcPr>
            <w:tcW w:w="60" w:type="dxa"/>
            <w:tcBorders/>
            <w:shd w:fill="FFFFFF" w:val="clear"/>
            <w:vAlign w:val="center"/>
          </w:tcPr>
          <w:p>
            <w:pPr>
              <w:pStyle w:val="TableContents"/>
              <w:bidi w:val="0"/>
              <w:spacing w:before="0" w:after="283"/>
              <w:ind w:left="0" w:right="0" w:hanging="0"/>
              <w:jc w:val="left"/>
              <w:rPr/>
            </w:pPr>
            <w:r>
              <w:rPr/>
              <w:t> </w:t>
            </w:r>
          </w:p>
        </w:tc>
        <w:tc>
          <w:tcPr>
            <w:tcW w:w="10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0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 2025</w:t>
            </w:r>
          </w:p>
        </w:tc>
        <w:tc>
          <w:tcPr>
            <w:tcW w:w="24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(40,031</w:t>
            </w:r>
          </w:p>
        </w:tc>
        <w:tc>
          <w:tcPr>
            <w:tcW w:w="1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(recovery), net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1,725</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6,480</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Non-operating (income) expense, net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7,773</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18,638</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6,584</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pPr>
            <w:r>
              <w:rPr/>
              <w:t>—</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Project 420 business optimization</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pPr>
            <w:r>
              <w:rPr/>
              <w:t>—</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Litigation costs, net of recoveries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costs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2,447</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costs, net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4,802</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9,205</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Adjusted EBITDA should not be considered in isolation from, or as a substitute for, net income (loss). There are a number of limitations related to the use of Adjusted EBITDA as compared to net income (loss), the closest comparable GAAP measure. Adjusted EBITDA adjusts for the following:</w:t>
      </w:r>
    </w:p>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Non-cash amortization expenses and, although these are non-cash charges, the assets being depreciated and amortized may have to be replaced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60"/>
        <w:gridCol w:w="170"/>
        <w:gridCol w:w="91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Stock-based compensation expenses, a non-cash expense and are an important part of our compensation strategy;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Non-cash foreign exchange gains or losses, which accounts for the effect of both realized and unrealized foreign exchange transactions. Unrealized gains or losses represent foreign exchange revaluation of foreign denominated monetary assets and liabilities;</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60"/>
        <w:gridCol w:w="170"/>
        <w:gridCol w:w="40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0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change in fair value of warrant liability;</w:t>
            </w:r>
          </w:p>
        </w:tc>
      </w:tr>
    </w:tbl>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60"/>
        <w:gridCol w:w="170"/>
        <w:gridCol w:w="47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change in fair value of contingent consideration;</w:t>
            </w:r>
          </w:p>
        </w:tc>
      </w:tr>
    </w:tbl>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60"/>
        <w:gridCol w:w="170"/>
        <w:gridCol w:w="32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3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Project 420 business optimization costs;</w:t>
            </w:r>
          </w:p>
        </w:tc>
      </w:tr>
    </w:tbl>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60"/>
        <w:gridCol w:w="170"/>
        <w:gridCol w:w="17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17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Transaction costs, net which includes acquisition related income and expenses, related legal, financial advisor and due diligence cost and expenses and transaction related compensation, which vary significantly by transaction and are excluded to evaluate ongoing operating results;</w:t>
            </w:r>
          </w:p>
        </w:tc>
      </w:tr>
    </w:tbl>
    <w:p>
      <w:pPr>
        <w:pStyle w:val="TextBody"/>
        <w:bidi w:val="0"/>
        <w:spacing w:before="0" w:after="0"/>
        <w:ind w:left="0" w:right="0" w:hanging="0"/>
        <w:jc w:val="left"/>
        <w:rPr/>
      </w:pPr>
      <w:r>
        <w:rPr/>
        <w:t> </w:t>
      </w:r>
    </w:p>
    <w:tbl>
      <w:tblPr>
        <w:tblW w:w="2080" w:type="dxa"/>
        <w:jc w:val="left"/>
        <w:tblInd w:w="0" w:type="dxa"/>
        <w:tblLayout w:type="fixed"/>
        <w:tblCellMar>
          <w:top w:w="0" w:type="dxa"/>
          <w:left w:w="0" w:type="dxa"/>
          <w:bottom w:w="0" w:type="dxa"/>
          <w:right w:w="0" w:type="dxa"/>
        </w:tblCellMar>
      </w:tblPr>
      <w:tblGrid>
        <w:gridCol w:w="60"/>
        <w:gridCol w:w="170"/>
        <w:gridCol w:w="18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1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charges;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Litigation costs, net of favorable recoveries and the third party fees associated with defending these claims, including costs related to legacy and non-operational litigation matters, legal settlements and recoveries;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Current and deferred income tax expenses and recoveries, which could be a significant recurring expense or recovery in our business in the future and reduce or increase cash available to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actively manage our cash, marketable securities and digital assets in order to internally fund operating needs, make scheduled interest and principal payments on our borrowings, and complete acquisitions. We believe that existing cash, cash equivalents, marketable securities, Bitcoin digital assets and cash generated by operations, together with access to external sources of funds, will be sufficient to meet our domestic and foreign capital needs for the short and long-term outlook. </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the Company’s short-term liquidity requirements, we are focused on generating positive cash flows from operations and being free cash flow positive. Certain of our business segments, such as cannabis, are working capital intensive and have longer cash conversion cycles. In order to mitigate these effects, management continues to optimize our infrastructure, headcount, as well as the elimination of other discretionary operational costs. Additionally, the Company continues to work on improvements to the cash conversion cycles across its businesses and invest our excess cash in short-term marketable securities which are comprised of U.S. treasury bills, high grade corporate bonds and term deposits with major Canadian, European and Australian banks as well as in digital assets.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the Company’s long-term liquidity requirements, we are focused on funding operations through profitable organic growth and through acquisitions of businesses that are accretive to earnings. We may need to take on additional debt or equity financing arrangements in order to achieve this strategic plan on a long-term basis.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 April 15, 2026, the Company entered into an Open Market Sales Agreement with Jefferies LLC, TD Securities (USA) LLC and Roth Capital Partners, LLC (together, the “Agents”) with respect to an at-the-market offering (the “ATM Program”) under which the Company may offer and sell shares of the Company’s common stock, par value US$0.0001 per share (the “Common Stock”), having an aggregate offering price of up to $180 million from time to time through or to the Agents, acting as sales agents, or directly to the Agents, acting as principals. During the three months ended August 31, 2026, the Company issued 4,645,344 shares under the ATM Program generating gross proceeds of $22.9 million. The Company paid $0.6 million in commissions and other fees associated with these issuances generating net proceeds of $22.3 million. The Company intends to use the net proceeds from the ATM Program to fund strategic and accretive acquisitions or investments in businesses and capital expenditures for acquired businesses, including potential acquisitions of assets in the U.S. and internationally in order to capitalize on expected regulatory advancements or expansion opportunities.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Additionally, we are committed to optimizing our capital structure and enhancing financial flexibility as we intend to continue to opportunistically purchase or exchange equity for the TLRY 27 Notes prior to their underlying maturity date in June 2027, subject to market conditions.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 July 24, 2026, American Beverage Crafts Group, Inc., a wholly owned subsidiary of the Company, entered into the Sixth Amendment to its Credit Agreement with Bank of America, N.A., as administrative agent, and the lenders that are a party thereto. Subsequent to the quarter ended August 31, 2026, the Company entered into the Seventh Amendment, which among other things, provides that the financial covenants will not be tested for the fiscal quarter ended August 31, 2026 and revises certain financial covenants for subsequent periods. The Seventh Amendment also limits borrowing availability under the revolving facility. For additional information, see Note 26 (Subsequent events), Part II, Item 5. Other Information and the risk factor titled, “Our access to the revolving credit facility is restricted and, if we are unable to demonstrate compliance with the applicable financial covenants in the future, the restrictions may continue and the lenders may exercise remedies that could materially adversely affect our liquidity and financial condition” in Part II. Item 1A. Risk Factors in this Form 10-Q.</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part of its capital and liquidity management strategy, the Company may, when appropriate, engage with its lenders to amend the terms of its debt arrangements, obtain waivers, or otherwise modify financing terms.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major components of our Consolidated Statements of Cash Flows for the periods presented:</w:t>
      </w:r>
    </w:p>
    <w:p>
      <w:pPr>
        <w:pStyle w:val="TextBody"/>
        <w:bidi w:val="0"/>
        <w:spacing w:before="0" w:after="0"/>
        <w:ind w:left="0" w:right="0" w:firstLine="500"/>
        <w:jc w:val="both"/>
        <w:rPr>
          <w:caps w:val="false"/>
          <w:smallCaps w:val="false"/>
        </w:rPr>
      </w:pPr>
      <w:r>
        <w:rPr>
          <w:caps w:val="false"/>
          <w:smallCaps w:val="false"/>
        </w:rPr>
        <w:t> </w:t>
      </w:r>
    </w:p>
    <w:tbl>
      <w:tblPr>
        <w:tblW w:w="8187" w:type="dxa"/>
        <w:jc w:val="left"/>
        <w:tblInd w:w="0" w:type="dxa"/>
        <w:tblLayout w:type="fixed"/>
        <w:tblCellMar>
          <w:top w:w="0" w:type="dxa"/>
          <w:left w:w="0" w:type="dxa"/>
          <w:bottom w:w="0" w:type="dxa"/>
          <w:right w:w="0" w:type="dxa"/>
        </w:tblCellMar>
      </w:tblPr>
      <w:tblGrid>
        <w:gridCol w:w="5735"/>
        <w:gridCol w:w="60"/>
        <w:gridCol w:w="162"/>
        <w:gridCol w:w="903"/>
        <w:gridCol w:w="104"/>
        <w:gridCol w:w="78"/>
        <w:gridCol w:w="162"/>
        <w:gridCol w:w="903"/>
        <w:gridCol w:w="80"/>
      </w:tblGrid>
      <w:tr>
        <w:trPr/>
        <w:tc>
          <w:tcPr>
            <w:tcW w:w="5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2"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06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80" w:type="dxa"/>
            <w:tcBorders/>
            <w:shd w:fill="FFFF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0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(16,541</w:t>
            </w:r>
          </w:p>
        </w:tc>
        <w:tc>
          <w:tcPr>
            <w:tcW w:w="1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(9,253</w:t>
            </w:r>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24,467</w:t>
            </w:r>
          </w:p>
        </w:tc>
        <w:tc>
          <w:tcPr>
            <w:tcW w:w="8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13,967</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19,848</w:t>
            </w:r>
          </w:p>
        </w:tc>
        <w:tc>
          <w:tcPr>
            <w:tcW w:w="8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on cash of foreign currency translation</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8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229,342</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221,666</w:t>
            </w:r>
          </w:p>
        </w:tc>
        <w:tc>
          <w:tcPr>
            <w:tcW w:w="8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and restricted cash,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218,343</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264,828</w:t>
            </w:r>
          </w:p>
        </w:tc>
        <w:tc>
          <w:tcPr>
            <w:tcW w:w="8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Marketable securities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3,047</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restricted cash and marketable securities(1)</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221,390</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264,828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Within the Consolidated Statements of Cash Flows, cash and cash equivalents includes $3,383 of restricted cash as of August 31, 2026, and $nil as of August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(1)</w:t>
            </w:r>
          </w:p>
        </w:tc>
        <w:tc>
          <w:tcPr>
            <w:tcW w:w="995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Cash and cash equivalents, restricted cash and marketable securities are non-GAAP financial measures. See </w:t>
            </w:r>
            <w:r>
              <w:rPr>
                <w:rFonts w:ascii="Times New Roman" w:hAnsi="Times New Roman"/>
                <w:caps w:val="false"/>
                <w:smallCaps w:val="false"/>
                <w:sz w:val="20"/>
              </w:rPr>
              <w:t>“</w:t>
            </w:r>
            <w:r>
              <w:rPr>
                <w:rFonts w:ascii="Times New Roman" w:hAnsi="Times New Roman"/>
                <w:i/>
                <w:caps w:val="false"/>
                <w:smallCaps w:val="false"/>
                <w:sz w:val="20"/>
              </w:rPr>
              <w:t>Use of Non-GAAP Measures</w:t>
            </w:r>
            <w:r>
              <w:rPr>
                <w:rFonts w:ascii="Times New Roman" w:hAnsi="Times New Roman"/>
                <w:caps w:val="false"/>
                <w:smallCaps w:val="false"/>
                <w:sz w:val="20"/>
              </w:rPr>
              <w:t>” </w:t>
            </w:r>
            <w:r>
              <w:rPr>
                <w:rFonts w:ascii="Times New Roman" w:hAnsi="Times New Roman"/>
                <w:i/>
                <w:caps w:val="false"/>
                <w:smallCaps w:val="false"/>
                <w:sz w:val="20"/>
              </w:rPr>
              <w:t>above for additional discussion regarding these non-GAAP measures. The Company combines the Cash and cash equivalents financial statement line item, Restricted cash and the Marketable securities financial statement line item as an aggregate total as reconciled in the liquidity and capital resource section below. The Company’s management believes that this presentation provides useful information to management, analysts and investors regarding certain additional financial and business trends relating to its short-term liquidity position by combining these three GAAP metrics.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500" w:right="0" w:hanging="0"/>
        <w:jc w:val="left"/>
        <w:rPr>
          <w:rFonts w:ascii="Times New Roman" w:hAnsi="Times New Roman"/>
          <w:i/>
          <w:caps w:val="false"/>
          <w:smallCaps w:val="false"/>
          <w:sz w:val="20"/>
        </w:rPr>
      </w:pPr>
      <w:r>
        <w:rPr>
          <w:rFonts w:ascii="Times New Roman" w:hAnsi="Times New Roman"/>
          <w:i/>
          <w:caps w:val="false"/>
          <w:smallCaps w:val="false"/>
          <w:sz w:val="20"/>
        </w:rPr>
        <w:t>Cash flows from operating activities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was $16.5 million for three months ended August 31, 2026, compared to $1.3 million for the prior year period. Excluding the impact of changes in working capital, cash used in operations was $8.9 million compared to cash generated of $8.4 million in the prior year period, as the current period was negatively impacted by the integration of the Global BrewDog Acquisitions and continued restructuring within the legacy beverage business. Notably, the acquisition-related working capital impacts from the Global BrewDog Acquisitions recognized in the fourth quarter of fiscal 2026 did not recur, and BrewDog did not require cash funding during the quarter.</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Cash used in working capital was $7.7 million for three months ended August 31, 2026, compared to $9.8 million in the prior year period. The significant components of the current fiscal quarter working capital change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2"/>
        <w:gridCol w:w="10033"/>
      </w:tblGrid>
      <w:tr>
        <w:trPr/>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 </w:t>
            </w:r>
          </w:p>
        </w:tc>
        <w:tc>
          <w:tcPr>
            <w:tcW w:w="1003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Accounts receivable. </w:t>
            </w:r>
            <w:r>
              <w:rPr>
                <w:rFonts w:ascii="Times New Roman;Times;serif" w:hAnsi="Times New Roman;Times;serif"/>
                <w:sz w:val="20"/>
              </w:rPr>
              <w:t>Accounts receivable increased by $1.3 million as higher receivables relative to sales in certain segments were offset by lower receivables in others.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97"/>
        <w:gridCol w:w="10048"/>
      </w:tblGrid>
      <w:tr>
        <w:trPr/>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 </w:t>
            </w:r>
          </w:p>
        </w:tc>
        <w:tc>
          <w:tcPr>
            <w:tcW w:w="100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Prepaids and other current assets. </w:t>
            </w:r>
            <w:r>
              <w:rPr>
                <w:rFonts w:ascii="Times New Roman;Times;serif" w:hAnsi="Times New Roman;Times;serif"/>
                <w:sz w:val="20"/>
              </w:rPr>
              <w:t>Prepaid expenses and other current assets decreased by $1.0 million, primarily due to the collection of BrewDog related receivables for customer payments held during the administration process, partially offset by annual insurance and corporate prepaid renewals.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90"/>
        <w:gridCol w:w="10055"/>
      </w:tblGrid>
      <w:tr>
        <w:trPr/>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 </w:t>
            </w:r>
          </w:p>
        </w:tc>
        <w:tc>
          <w:tcPr>
            <w:tcW w:w="100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Inventory.</w:t>
            </w:r>
            <w:r>
              <w:rPr>
                <w:rFonts w:ascii="Times New Roman;Times;serif" w:hAnsi="Times New Roman;Times;serif"/>
                <w:sz w:val="20"/>
              </w:rPr>
              <w:t xml:space="preserve"> Inventory increased by $27.8 million, and was anticipated as we scale for growth and was primarily due to increases of $11.7 million in distribution inventory, $9.6 million in cannabis inventory from higher production levels in Quebec and Portugal, and $7.5 million in beverage inventory, including $3.2 million attributable to BrewDog and $4.3 million related to the legacy beverage business. These increases were partially offset by a $1.0 million decrease in wellness inventory.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97"/>
        <w:gridCol w:w="10048"/>
      </w:tblGrid>
      <w:tr>
        <w:trPr/>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 </w:t>
            </w:r>
          </w:p>
        </w:tc>
        <w:tc>
          <w:tcPr>
            <w:tcW w:w="100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Accounts Payable.</w:t>
            </w:r>
            <w:r>
              <w:rPr>
                <w:rFonts w:ascii="Times New Roman;Times;serif" w:hAnsi="Times New Roman;Times;serif"/>
                <w:sz w:val="20"/>
              </w:rPr>
              <w:t xml:space="preserve"> Accounts payable increased by $20.4 million, partially offsetting the use of cash from other working capital items. The increase was primarily attributable to higher BrewDog trade payables due to improved supplier credit terms and the timing of payments and sales tax remittances.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i/>
          <w:caps w:val="false"/>
          <w:smallCaps w:val="false"/>
          <w:sz w:val="20"/>
        </w:rPr>
      </w:pPr>
      <w:r>
        <w:rPr>
          <w:rFonts w:ascii="Times New Roman" w:hAnsi="Times New Roman"/>
          <w:i/>
          <w:caps w:val="false"/>
          <w:smallCaps w:val="false"/>
          <w:sz w:val="20"/>
        </w:rPr>
        <w:t>Cash flows from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change in net cash used in investing activities was $9.3 million for three months ended August 31, 2026, compared to cash generated of $24.5 million for the prior year period, and was primarily a result of the change in investments in marketable securities in the current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i/>
          <w:caps w:val="false"/>
          <w:smallCaps w:val="false"/>
          <w:sz w:val="20"/>
        </w:rPr>
      </w:pPr>
      <w:r>
        <w:rPr>
          <w:rFonts w:ascii="Times New Roman" w:hAnsi="Times New Roman"/>
          <w:i/>
          <w:caps w:val="false"/>
          <w:smallCaps w:val="false"/>
          <w:sz w:val="20"/>
        </w:rPr>
        <w:t>Cash flows from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change in cash provided by financing activities was $14.0 million for three months ended August 31, 2026, compared to $19.8 million for the prior year period primarily due to variability in funds related to repayments of long-term debt as well as 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to the ongoing litigation matters described in the Part II, Item 1 - Legal Proceedings, the Company is and may be a defendant in lawsuits from time to time in the ordinary course of business. While the outcomes of litigation matters and claims made against the Company cannot be predicted with absolute certainty, the Company believes that it has sufficiently reserved for those matters where losses were probable and had a reasonable ability to estimate. Additionally, the Company believes the probable final outcome of such matters, after the application of reserves and insurance proceeds, will not have a material adverse effect on the Company’s consolidated results of operations, financial position, cash flows or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Financial Statements are prepared in accordance with U.S. GAAP. The accounting principles we use require us to make estimates and assumptions that may impact the reported amounts of assets and liabilities as of the date of the Financial Statements and amounts of income and expenses during the reporting periods presented. We believe in the quality and reasonableness of our critical accounting policies, however, materially different amounts may be reported under different conditions or using assumptions different from those that we have applied. The accounting estimates that have been identified as critical to our business operations and to understanding the results of our operations pertain to revenue recognition, valuation of inventory, valuation of long-lived assets, goodwill and intangible assets, stock-based compensation and valuation allowances for deferred tax assets. The application of each of these critical accounting policies and estimates is discussed in Part II, Item 7, Management’s Discussion and Analysis of Financial Condition and Results of Operations set forth in, our Annual Report on Form 10-K for the fiscal year ended May 31,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 description of recently issued accounting pronouncements that may potentially impact our financial position and results of operations is disclosed in “Part I, Item 1. Note 1 – Basis of presentation and summary of significant accounting policies” to our Financial Statements appearing elsewhere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9" w:name="qqdmr"/>
      <w:bookmarkEnd w:id="9"/>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During the three months ended August 31, 2026, there have been no material changes in market risk from those addressed in the Company’s Annual Report on Form 10-K for the fiscal year ended May 31, 2026. See the information set forth in Part II, Item 7A, Quantitative and Qualitative Disclosures About Market Risk set forth in the Company’s Annual Report on Form 10-K for the fiscal year ended May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0" w:name="control"/>
      <w:bookmarkEnd w:id="10"/>
      <w:r>
        <w:rPr>
          <w:rFonts w:ascii="Times New Roman" w:hAnsi="Times New Roman"/>
          <w:b/>
          <w:caps w:val="false"/>
          <w:smallCaps w:val="false"/>
          <w:sz w:val="20"/>
        </w:rPr>
        <w:t>Item 4. Controls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Disclosure Controls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maintain disclosure controls and procedures (as defined in Rules 13a-15(e) and 15d-15(e) under Securities and Exchange Act of 1934 (the “Exchange Act”) that are designed to ensure that information required to be disclosed by us in reports filed or submitted under the Exchange Act is recorded, processed, and summarized, and reported within the time periods specified in the SEC’s rules and forms, and that such information is accumulated and communicated to management, including our Chief Executive Officer (CEO) and Chief Financial Officer (CFO), as appropriate, to allow timely decisions regarding required disclosures. Controls and procedures, no matter how well designed and operated, can only provide reasonable assurance of achieving the desired control objectives. Our management team, including the CEO and CFO, supervised and participated in reviewing how effective our disclosure controls and procedures were as of the end of this quarterly reporting period.</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Following this evaluation, the CEO and CFO have determined that, as of August 31, 2026, our disclosure controls and procedures (a) are effective in ensuring timely recording, processing, summarization, and reporting of information required under the Exchange Act, and (b) incorporate controls and procedures designed to provide reasonable assurance that such information is collected and communicated to management, including the CEO and CFO, as necessary to permit timely decisions regarding required disclosures.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our fiscal year ended May 31, 2026, we acquired certain business operations and assets of BrewDog plc and certain of its subsidiary undertakings (BrewDog UK I), BrewDog Brewing Australia Pty Ltd (BrewDog AUS), certain BrewDog assets in the U.S (BrewDog US), five additional BrewDog brewpubs in Scotland and England (BrewDog UK II), and the Lyphe Group (Lyphe), and during the quarter ended August 31, 2026, we acquired HelloMD Corporation (HelloMD). As a result of these acquisitions, each of the acquired entities became wholly-owned subsidiaries of Tilray. In accordance with guidance issued by the SEC, companies are permitted to exclude acquisitions from their final assessment of internal control over financial reporting for the first fiscal year in which the acquisition occurred. Our management, with the participation of our CEO and CFO, has excluded these acquisitions from its assessment of internal control over financial reporting as of August 31, 2026. The operations of the BrewDog UK I, BrewDog AUS, BrewDog US, BrewDog UK II, Lyphe and HelloMD represent approximately 11.2%, 1.0%, 1.5%, 0.1%, 0.2%, 0.03% of our total assets and 14.6%, 0.9%, 1.9%, 0.4%, 0.3%, 0.03% of our net revenues as of and for the fiscal quarter ended August 31, 2026,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(as defined in Rules 13a-15(f) and 15d-15(f) under the Exchange Act) that occurred during the period covered by this Quarterly Report that have materially affected, or are reasonably likely to materially affect, our internal control over financial reporting. As mentioned above, the Company completed several acquisitions and is in the process of reviewing the internal control structure of those brands and their associated businesses and, if necessary, will make appropriate changes as it integrates them into the Company’s overall internal control over financial reporting process.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11" w:name="partii"/>
      <w:bookmarkEnd w:id="11"/>
      <w:r>
        <w:rPr>
          <w:rFonts w:ascii="Times New Roman" w:hAnsi="Times New Roman"/>
          <w:b/>
          <w:caps w:val="false"/>
          <w:smallCaps w:val="false"/>
          <w:sz w:val="20"/>
        </w:rPr>
        <w:t>PART II</w:t>
      </w:r>
      <w:r>
        <w:rPr>
          <w:rFonts w:ascii="Times New Roman" w:hAnsi="Times New Roman"/>
          <w:caps w:val="false"/>
          <w:smallCaps w:val="false"/>
          <w:sz w:val="20"/>
        </w:rPr>
        <w:t>—</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2" w:name="legal"/>
      <w:bookmarkEnd w:id="12"/>
      <w:r>
        <w:rPr>
          <w:rFonts w:ascii="Times New Roman" w:hAnsi="Times New Roman"/>
          <w:b/>
          <w:caps w:val="false"/>
          <w:smallCaps w:val="false"/>
          <w:sz w:val="20"/>
        </w:rPr>
        <w:t xml:space="preserve">Item 1. Legal Proceedings.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ordinary course of business, we are at times subject to various legal proceedings and disputes, including the proceedings specifically discussed below. We assess our liabilities and contingencies in connection with outstanding legal proceedings utilizing the latest information available. Where it is probable that we will incur a loss and the amount of the loss can be reasonably estimated, we record a liability in our Financial Statements. These legal reserves may be increased or decreased to reflect any relevant developments on a quarterly basis. In circumstances where a loss is not probable or the amount of loss is not estimable, we do not accrue legal reserves. While the outcome of legal proceedings carry an inherent degree of uncertainty, our management believes that it has established appropriate legal reserves based on the information currently available and available insurance coverage. Any incremental liabilities arising from pending legal proceedings are not expected to have a material adverse effect on our consolidated financial position, consolidated results of operations, or consolidated cash flows. However, it is possible that the ultimate resolution of these matters, if unfavorable, may be material to our consolidated financial position, consolidated results of operations, or consolidated cash flows.</w:t>
      </w:r>
    </w:p>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w:t>
      </w:r>
      <w:r>
        <w:rPr>
          <w:rFonts w:ascii="Times New Roman" w:hAnsi="Times New Roman"/>
          <w:caps w:val="false"/>
          <w:smallCaps w:val="false"/>
          <w:sz w:val="20"/>
        </w:rPr>
        <w:t>Part I, Item 3. Legal Proceedings” of our Annual Report on Form 10-K for the fiscal year ended May 31, 2026 includes a discussion of our legal proceedings. There have been no material changes from the legal proceedings described in our Form 10-K, as disclosed and incorporated herein by reference to Note 18 (Commitments and contingencies) to the Financial Statements included in Part I, Item 1 of this Form 10-Q.</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3" w:name="risks"/>
      <w:bookmarkEnd w:id="13"/>
      <w:r>
        <w:rPr>
          <w:rFonts w:ascii="Times New Roman" w:hAnsi="Times New Roman"/>
          <w:b/>
          <w:caps w:val="false"/>
          <w:smallCaps w:val="false"/>
          <w:sz w:val="20"/>
        </w:rPr>
        <w:t>Item 1A. Risk Factors.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w:t>
      </w:r>
      <w:r>
        <w:rPr>
          <w:rFonts w:ascii="Times New Roman" w:hAnsi="Times New Roman"/>
          <w:caps w:val="false"/>
          <w:smallCaps w:val="false"/>
          <w:sz w:val="20"/>
        </w:rPr>
        <w:t>Item 1A. Risk Factors” of our Annual Report on Form 10-K for the fiscal year ended May 31, 2026 includes a discussion of our known material risk factors, other than risks that could apply to any issuer or offering. A summary of our risk factors is included below. Except for the below risk factors, there have been no material changes from the risk factors described in our Form 10-K.</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realize anticipated benefits from acquisitions, including our craft beverage and BrewDog-related transactions, and may face integration challenges and operational disruption.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access to the revolving credit facility is restricted and, if we are unable to demonstrate compliance with the applicable financial covenants in the future, the restrictions may continue and the lenders may exercise remedies that could materially adversely affect our liquidity and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is highly dependent on maintaining regulatory approvals, licenses and permits across multiple jurisdictions, and changes in cannabis, hemp or other applicable laws—including in the United States—could materially adversely affect our operations and strategy.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Evolving international regulations, including import/export restrictions and delays, may limit our ability to expand and operate globally.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significant competition across our cannabis and beverage businesses, including from illicit market participants and large, well-capitalized competitors.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beverage business is subject to changing consumer preferences, reliance on third-party distributors, and strong competitive pressures that could reduce sales and margins.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operations depend on key facilities, supply chains and agricultural production, which are subject to risks such as natural disasters, crop failure, supply disruption, and increases in input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products may be subject to recalls, contamination, product liability claims, or adverse health effects, and negative publicity may harm consumer demand and our reputation.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subject to litigation, regulatory enforcement, and health, safety and environmental laws that could result in significant costs, liabilities and operational restrictions.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Cybersecurity incidents, information technology failures, or data privacy breaches could disrupt operations, result in financial losses, and expose us to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United States regulations relating to hemp-derived CBD products, Delta-9 products, and medical cannabis products are new and rapidly evolving, and changes may not develop in the timeframe or manner most favorable to our business objectives.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success depends on our ability to attract and retain key personnel, manage labor costs, and avoid workforce disruptions.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a history of net losses and may not achieve or maintain profitability; Our existing and future debt agreements may contain covenant restrictions that limit our ability to operate our business and pursue beneficial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Macroeconomic conditions, inflation, tariffs, foreign exchange fluctuations, and geopolitical instability may adversely affect our business, 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risks related to internal controls, tax and accounting matters, and may incur impairments of goodwill and other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market price of our common stock is highly volatile, and our capital structure, including convertible securities and future equity issuances, may result in dilution or limit our strategic flexibility.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risks include limitations on protecting our intellectual property, reliance on insurance and self-insurance, costs of being a public company, governance provisions that may limit change-of-control transactions, and emerging risks such as our cryptocurrency strategy.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access to borrowings under the revolving credit facility is restricted and, if we are unable to demonstrate compliance with the applicable financial covenants in the future, the restrictions may continue and the lenders may exercise remedies that could materially adversely affect our liquidity and financial condition.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credit facility requires us to comply with certain financial covenants. In October 2026, we entered into the Seventh Amendment, which provides that the financial covenants under the credit facility will not be tested for the fiscal quarter ended August 31, 2026, and revises certain financial covenants for subsequent periods, including the maximum consolidated leverage ratio, the minimum consolidated EBITDA and the minimum liquidity requirements. The Seventh Amendment also limits our borrowing availability under the revolving credit facility until the covenant tests are once again tested. The Seventh Amendment does not assure our compliance with the financial covenants or other obligations under the credit facility in future periods. Our ability to comply with these requirements will depend on our operating performance, cash flows, access to capital and other factors. If we fail to comply with applicable financial covenants or other obligations in a future period and are unable to obtain a waiver or amendment, the lenders may have the right, subject to the terms of the credit facility, to terminate their commitments, declare outstanding indebtedness immediately due and payable, charge default interest and exercise remedies against collateral securing the indebtedness.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future noncompliance could require us to repay outstanding borrowings or seek additional waivers or amendments, which may not be available on acceptable terms or at all. Any resulting repayment of indebtedness could reduce our available liquidity and adversely affect our ability to fund our operations, investments and other strategic initiatives. The exercise of remedies or acceleration of indebtedness could materially adversely affect our liquidity and financial condition and could restrict our ability to invest in our business, incur additional indebtedness, make acquisitions or pursue other strategic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4" w:name="uses"/>
      <w:bookmarkEnd w:id="14"/>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Sales of Unregistered Equity Securities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were no unregistered sales of equity during the during the fiscal period covered by this report, except as otherwise previously reported.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5" w:name="duss"/>
      <w:bookmarkEnd w:id="15"/>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6" w:name="msd"/>
      <w:bookmarkEnd w:id="16"/>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17" w:name="otherinfo"/>
      <w:bookmarkEnd w:id="17"/>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7, 2026, </w:t>
      </w:r>
      <w:r>
        <w:rPr>
          <w:rFonts w:ascii="Times New Roman" w:hAnsi="Times New Roman"/>
          <w:caps w:val="false"/>
          <w:smallCaps w:val="false"/>
          <w:sz w:val="20"/>
        </w:rPr>
        <w:t xml:space="preserve">American Beverage Crafts Group, Inc., a wholly-owned subsidiary of the Company, entered into a Seventh Amendment to Credit Agreement (the “Seventh Amendment”) with Bank of America, N.A., as administrative agent, and the lenders party thereto. The Seventh Amendment amends the Credit Agreement dated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among other things, provides that the financial covenants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tested for the fiscal quarter ended </w:t>
      </w:r>
      <w:r>
        <w:rPr>
          <w:rStyle w:val="Emphasis"/>
          <w:rFonts w:ascii="Times New Roman" w:hAnsi="Times New Roman"/>
          <w:caps w:val="false"/>
          <w:smallCaps w:val="false"/>
          <w:sz w:val="20"/>
        </w:rPr>
        <w:t xml:space="preserve">August 31, 2026, </w:t>
      </w:r>
      <w:r>
        <w:rPr>
          <w:rFonts w:ascii="Times New Roman" w:hAnsi="Times New Roman"/>
          <w:caps w:val="false"/>
          <w:smallCaps w:val="false"/>
          <w:sz w:val="20"/>
        </w:rPr>
        <w:t xml:space="preserve">adds a “Covenant Compliance Start Date” and revises certain of the financial covenants for subsequent periods, including the maximum Consolidated Leverage Ratio, the minimum Consolidated EBITDA and the minimum liquidity requirements. The Seventh Amendment also amends the Availability Period and limits availability under the revolving credit facility. The foregoing description is qualified in its entirety by reference to the full text of the Seventh Amendment, which is filed as Exhibit </w:t>
      </w:r>
      <w:r>
        <w:rPr>
          <w:rStyle w:val="Emphasis"/>
          <w:rFonts w:ascii="Times New Roman" w:hAnsi="Times New Roman"/>
          <w:caps w:val="false"/>
          <w:smallCaps w:val="false"/>
          <w:sz w:val="20"/>
        </w:rPr>
        <w:t>10.2</w:t>
      </w:r>
      <w:r>
        <w:rPr>
          <w:rFonts w:ascii="Times New Roman" w:hAnsi="Times New Roman"/>
          <w:caps w:val="false"/>
          <w:smallCaps w:val="false"/>
          <w:sz w:val="20"/>
        </w:rPr>
        <w:t xml:space="preserve"> to this Quarterly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-Q and incorporated herein by reference.</w:t>
      </w:r>
    </w:p>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i/>
          <w:caps w:val="false"/>
          <w:smallCaps w:val="false"/>
          <w:sz w:val="20"/>
        </w:rPr>
        <w:t xml:space="preserve">Rule </w:t>
      </w:r>
      <w:r>
        <w:rPr>
          <w:rStyle w:val="Emphasis"/>
          <w:rFonts w:ascii="Times New Roman" w:hAnsi="Times New Roman"/>
          <w:i/>
          <w:caps w:val="false"/>
          <w:smallCaps w:val="false"/>
          <w:sz w:val="20"/>
        </w:rPr>
        <w:t>10b5</w:t>
      </w:r>
      <w:r>
        <w:rPr>
          <w:rFonts w:ascii="Times New Roman" w:hAnsi="Times New Roman"/>
          <w:i/>
          <w:caps w:val="false"/>
          <w:smallCaps w:val="false"/>
          <w:sz w:val="20"/>
        </w:rPr>
        <w:t>-</w:t>
      </w:r>
      <w:r>
        <w:rPr>
          <w:rStyle w:val="Emphasis"/>
          <w:rFonts w:ascii="Times New Roman" w:hAnsi="Times New Roman"/>
          <w:i/>
          <w:caps w:val="false"/>
          <w:smallCaps w:val="false"/>
          <w:sz w:val="20"/>
        </w:rPr>
        <w:t>1</w:t>
      </w:r>
      <w:r>
        <w:rPr>
          <w:rFonts w:ascii="Times New Roman" w:hAnsi="Times New Roman"/>
          <w:i/>
          <w:caps w:val="false"/>
          <w:smallCaps w:val="false"/>
          <w:sz w:val="20"/>
        </w:rPr>
        <w:t xml:space="preserve"> Trading Plans</w:t>
      </w:r>
      <w:r>
        <w:rPr>
          <w:rFonts w:ascii="Times New Roman" w:hAnsi="Times New Roman"/>
          <w:caps w:val="false"/>
          <w:smallCaps w:val="false"/>
          <w:sz w:val="20"/>
        </w:rPr>
        <w:br/>
        <w:t> </w:t>
      </w:r>
    </w:p>
    <w:p>
      <w:pPr>
        <w:pStyle w:val="TextBody"/>
        <w:bidi w:val="0"/>
        <w:spacing w:before="0" w:after="0"/>
        <w:ind w:left="0" w:right="0" w:firstLine="540"/>
        <w:jc w:val="both"/>
        <w:rPr/>
      </w:pP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our directors or “officers,” as defined in Rule </w:t>
      </w:r>
      <w:r>
        <w:rPr>
          <w:rStyle w:val="Emphasis"/>
          <w:rFonts w:ascii="Times New Roman" w:hAnsi="Times New Roman"/>
          <w:caps w:val="false"/>
          <w:smallCaps w:val="false"/>
          <w:sz w:val="20"/>
        </w:rPr>
        <w:t>16a</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 under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plan or arrangement or a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plan or arrangement, as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(c) of Regulation S-K, during the fiscal period covered by this report.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18" w:name="exs"/>
      <w:bookmarkEnd w:id="18"/>
      <w:r>
        <w:rPr>
          <w:rFonts w:ascii="Times New Roman" w:hAnsi="Times New Roman"/>
          <w:b/>
          <w:caps w:val="false"/>
          <w:smallCaps w:val="false"/>
          <w:sz w:val="20"/>
        </w:rPr>
        <w:t>Item 6. 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0"/>
        <w:gridCol w:w="60"/>
        <w:gridCol w:w="9435"/>
      </w:tblGrid>
      <w:tr>
        <w:trPr/>
        <w:tc>
          <w:tcPr>
            <w:tcW w:w="710"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 </w:t>
            </w:r>
          </w:p>
        </w:tc>
        <w:tc>
          <w:tcPr>
            <w:tcW w:w="9435"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283"/>
              <w:jc w:val="left"/>
              <w:rPr/>
            </w:pPr>
            <w:r>
              <w:rPr/>
              <w:t>3.1</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both"/>
              <w:rPr/>
            </w:pPr>
            <w:hyperlink r:id="rId2">
              <w:r>
                <w:rPr>
                  <w:rStyle w:val="InternetLink"/>
                </w:rPr>
                <w:t>Certificate of Amendment of the Fifth Amended and Restated Certificate of Incorporation of the Company, filed on November 26, 2025 (incorporated by reference to Exhibit 3.1 to the Current Report on Form 8-K filed with the U.S. Securities and Exchange Commission on November 26, 2025).</w:t>
              </w:r>
            </w:hyperlink>
          </w:p>
        </w:tc>
      </w:tr>
      <w:tr>
        <w:trPr/>
        <w:tc>
          <w:tcPr>
            <w:tcW w:w="71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 </w:t>
            </w:r>
          </w:p>
        </w:tc>
        <w:tc>
          <w:tcPr>
            <w:tcW w:w="9435"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 </w:t>
            </w:r>
          </w:p>
        </w:tc>
      </w:tr>
      <w:tr>
        <w:trPr/>
        <w:tc>
          <w:tcPr>
            <w:tcW w:w="710" w:type="dxa"/>
            <w:tcBorders/>
            <w:tcMar>
              <w:bottom w:w="0" w:type="dxa"/>
            </w:tcMar>
            <w:vAlign w:val="center"/>
          </w:tcPr>
          <w:p>
            <w:pPr>
              <w:pStyle w:val="TableContents"/>
              <w:bidi w:val="0"/>
              <w:spacing w:before="0" w:after="283"/>
              <w:jc w:val="left"/>
              <w:rPr/>
            </w:pPr>
            <w:r>
              <w:rPr/>
              <w:t>10.1</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both"/>
              <w:rPr/>
            </w:pPr>
            <w:hyperlink r:id="rId3">
              <w:r>
                <w:rPr>
                  <w:rStyle w:val="InternetLink"/>
                </w:rPr>
                <w:t>Sixth Amendment to Credit Agreement, dated as of July 24, 2026 (incorporated by reference to Exhibit 10.29 to the Annual Report on Form 8-K filed with the U.S. Securities and Exchange Commission on July 28, 2026).</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283"/>
              <w:jc w:val="left"/>
              <w:rPr/>
            </w:pPr>
            <w:r>
              <w:rPr/>
              <w:t>10.2*</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both"/>
              <w:rPr/>
            </w:pPr>
            <w:hyperlink w:anchor="ex_1023755.htm">
              <w:r>
                <w:rPr>
                  <w:rStyle w:val="InternetLink"/>
                </w:rPr>
                <w:t>Seventh Amendment, dated as of October 7, 2026, to the Credit Agreement (dated as of June 30, 2023) by and among American Beverage Crafts Group, Inc., certain subsidiaries and affiliates of American Beverage Crafts Group, Bank of America, N.A., City National Bank, the lenders party thereto and BofA Securities, Inc.</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 </w:t>
            </w:r>
          </w:p>
        </w:tc>
        <w:tc>
          <w:tcPr>
            <w:tcW w:w="9435" w:type="dxa"/>
            <w:tcBorders/>
            <w:tcMar>
              <w:bottom w:w="0" w:type="dxa"/>
            </w:tcMar>
            <w:vAlign w:val="center"/>
          </w:tcPr>
          <w:p>
            <w:pPr>
              <w:pStyle w:val="TableContents"/>
              <w:bidi w:val="0"/>
              <w:spacing w:before="0" w:after="0"/>
              <w:ind w:left="0" w:right="0" w:hanging="0"/>
              <w:jc w:val="both"/>
              <w:rPr/>
            </w:pPr>
            <w:hyperlink w:anchor="ex_1000730.htm">
              <w:r>
                <w:rPr>
                  <w:rStyle w:val="InternetLink"/>
                  <w:rFonts w:ascii="Times New Roman" w:hAnsi="Times New Roman"/>
                  <w:caps w:val="false"/>
                  <w:smallCaps w:val="false"/>
                  <w:sz w:val="20"/>
                </w:rPr>
                <w:t>Certification of Principal Executive Officer Pursuant to Rules 13a-14(a) and 15d-14(a) under the Securities Exchange Act of 1934, as Adopted Pursuant to Section 302 of the Sarbanes-Oxley Act of 2002.</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 </w:t>
            </w:r>
          </w:p>
        </w:tc>
        <w:tc>
          <w:tcPr>
            <w:tcW w:w="9435" w:type="dxa"/>
            <w:tcBorders/>
            <w:tcMar>
              <w:bottom w:w="0" w:type="dxa"/>
            </w:tcMar>
            <w:vAlign w:val="center"/>
          </w:tcPr>
          <w:p>
            <w:pPr>
              <w:pStyle w:val="TableContents"/>
              <w:bidi w:val="0"/>
              <w:spacing w:before="0" w:after="0"/>
              <w:ind w:left="0" w:right="0" w:hanging="0"/>
              <w:jc w:val="both"/>
              <w:rPr/>
            </w:pPr>
            <w:hyperlink w:anchor="ex_1000731.htm">
              <w:r>
                <w:rPr>
                  <w:rStyle w:val="InternetLink"/>
                  <w:rFonts w:ascii="Times New Roman" w:hAnsi="Times New Roman"/>
                  <w:caps w:val="false"/>
                  <w:smallCaps w:val="false"/>
                  <w:sz w:val="20"/>
                </w:rPr>
                <w:t>Certification of Principal Financial Officer Pursuant to Rules 13a-14(a) and 15d-14(a) under the Securities Exchange Act of 1934, as Adopted Pursuant to Section 302 of the Sarbanes-Oxley Act of 2002.</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 </w:t>
            </w:r>
          </w:p>
        </w:tc>
        <w:tc>
          <w:tcPr>
            <w:tcW w:w="9435" w:type="dxa"/>
            <w:tcBorders/>
            <w:tcMar>
              <w:bottom w:w="0" w:type="dxa"/>
            </w:tcMar>
            <w:vAlign w:val="center"/>
          </w:tcPr>
          <w:p>
            <w:pPr>
              <w:pStyle w:val="TableContents"/>
              <w:bidi w:val="0"/>
              <w:spacing w:before="0" w:after="0"/>
              <w:ind w:left="0" w:right="0" w:hanging="0"/>
              <w:jc w:val="both"/>
              <w:rPr/>
            </w:pPr>
            <w:hyperlink w:anchor="ex_1000732.htm">
              <w:r>
                <w:rPr>
                  <w:rStyle w:val="InternetLink"/>
                  <w:rFonts w:ascii="Times New Roman" w:hAnsi="Times New Roman"/>
                  <w:caps w:val="false"/>
                  <w:smallCaps w:val="false"/>
                  <w:sz w:val="20"/>
                </w:rPr>
                <w:t>Certification of Principal Executive Officer Pursuant to 18 U.S.C. Section 1350, as Adopted Pursuant to Section 906 of the Sarbanes-Oxley Act of 2002.</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710"/>
        <w:gridCol w:w="60"/>
        <w:gridCol w:w="9435"/>
      </w:tblGrid>
      <w:tr>
        <w:trPr/>
        <w:tc>
          <w:tcPr>
            <w:tcW w:w="710"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435" w:type="dxa"/>
            <w:tcBorders>
              <w:bottom w:val="single" w:sz="2" w:space="0" w:color="000000"/>
            </w:tcBorders>
            <w:vAlign w:val="center"/>
          </w:tcPr>
          <w:p>
            <w:pPr>
              <w:pStyle w:val="TableContents"/>
              <w:bidi w:val="0"/>
              <w:spacing w:before="0" w:after="283"/>
              <w:jc w:val="left"/>
              <w:rPr>
                <w:b/>
              </w:rPr>
            </w:pPr>
            <w:r>
              <w:rPr>
                <w:b/>
              </w:rPr>
              <w:t>Description</w:t>
            </w:r>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 </w:t>
            </w:r>
          </w:p>
        </w:tc>
        <w:tc>
          <w:tcPr>
            <w:tcW w:w="9435" w:type="dxa"/>
            <w:tcBorders/>
            <w:tcMar>
              <w:bottom w:w="0" w:type="dxa"/>
            </w:tcMar>
            <w:vAlign w:val="center"/>
          </w:tcPr>
          <w:p>
            <w:pPr>
              <w:pStyle w:val="TableContents"/>
              <w:bidi w:val="0"/>
              <w:spacing w:before="0" w:after="0"/>
              <w:ind w:left="0" w:right="0" w:hanging="0"/>
              <w:jc w:val="both"/>
              <w:rPr/>
            </w:pPr>
            <w:hyperlink w:anchor="ex_1000733.htm">
              <w:r>
                <w:rPr>
                  <w:rStyle w:val="InternetLink"/>
                  <w:rFonts w:ascii="Times New Roman" w:hAnsi="Times New Roman"/>
                  <w:caps w:val="false"/>
                  <w:smallCaps w:val="false"/>
                  <w:sz w:val="20"/>
                </w:rPr>
                <w:t>Certification of Principal Financial Officer Pursuant to 18 U.S.C. Section 1350, as Adopted Pursuant to Section 906 of the Sarbanes-Oxley Act of 2002.</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Financial Statements from the Company's Quarterly Report on Form 10-Q for the quarter ended August 31, 2026, formatted in Inline XBRL: (i) Consolidated Statements of Financial Position, (ii) Consolidated Statements of Income (Loss) and Comprehensive Income (Loss), (iii) Consolidated Statements of Stockholders' Equity, (iv) Consolidated Statements of Cash Flows, and (v) Notes to Condensed Interim Consolidated Financial Statements, tagged as blocks of text and including detailed tags.</w:t>
            </w:r>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pPr>
      <w:r>
        <w:rPr/>
        <w:t> </w:t>
      </w:r>
    </w:p>
    <w:p>
      <w:pPr>
        <w:pStyle w:val="TextBody"/>
        <w:bidi w:val="0"/>
        <w:spacing w:before="0" w:after="0"/>
        <w:ind w:left="500" w:right="0" w:hanging="500"/>
        <w:jc w:val="both"/>
        <w:rPr>
          <w:rFonts w:ascii="Times New Roman" w:hAnsi="Times New Roman"/>
          <w:caps w:val="false"/>
          <w:smallCaps w:val="false"/>
          <w:sz w:val="20"/>
        </w:rPr>
      </w:pPr>
      <w:r>
        <w:rPr>
          <w:rFonts w:ascii="Times New Roman" w:hAnsi="Times New Roman"/>
          <w:caps w:val="false"/>
          <w:smallCaps w:val="false"/>
          <w:sz w:val="20"/>
        </w:rPr>
        <w:t>*         Filed herewith.</w:t>
      </w:r>
    </w:p>
    <w:p>
      <w:pPr>
        <w:pStyle w:val="TextBody"/>
        <w:bidi w:val="0"/>
        <w:spacing w:before="0" w:after="0"/>
        <w:ind w:left="500" w:right="0" w:hanging="500"/>
        <w:jc w:val="both"/>
        <w:rPr>
          <w:rFonts w:ascii="Times New Roman" w:hAnsi="Times New Roman"/>
          <w:caps w:val="false"/>
          <w:smallCaps w:val="false"/>
          <w:sz w:val="20"/>
        </w:rPr>
      </w:pPr>
      <w:r>
        <w:rPr>
          <w:rFonts w:ascii="Times New Roman" w:hAnsi="Times New Roman"/>
          <w:caps w:val="false"/>
          <w:smallCaps w:val="false"/>
          <w:sz w:val="20"/>
        </w:rPr>
        <w:t>**       Furnished herewith.</w:t>
      </w:r>
    </w:p>
    <w:p>
      <w:pPr>
        <w:pStyle w:val="TextBody"/>
        <w:bidi w:val="0"/>
        <w:spacing w:before="0" w:after="0"/>
        <w:ind w:left="500" w:right="0" w:hanging="500"/>
        <w:jc w:val="both"/>
        <w:rPr>
          <w:caps w:val="false"/>
          <w:smallCaps w:val="false"/>
        </w:rPr>
      </w:pPr>
      <w:r>
        <w:rPr>
          <w:caps w:val="false"/>
          <w:smallCaps w:val="false"/>
        </w:rPr>
        <w:t>†         </w:t>
      </w:r>
      <w:r>
        <w:rPr>
          <w:rFonts w:ascii="Times New Roman" w:hAnsi="Times New Roman"/>
          <w:caps w:val="false"/>
          <w:smallCaps w:val="false"/>
          <w:sz w:val="20"/>
        </w:rPr>
        <w:t>Schedules have been omitted pursuant to Item 601(a)(5)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9" w:name="sigs"/>
      <w:bookmarkEnd w:id="19"/>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790" w:type="dxa"/>
        <w:jc w:val="left"/>
        <w:tblInd w:w="0" w:type="dxa"/>
        <w:tblLayout w:type="fixed"/>
        <w:tblCellMar>
          <w:top w:w="0" w:type="dxa"/>
          <w:left w:w="0" w:type="dxa"/>
          <w:bottom w:w="0" w:type="dxa"/>
          <w:right w:w="0" w:type="dxa"/>
        </w:tblCellMar>
      </w:tblPr>
      <w:tblGrid>
        <w:gridCol w:w="2135"/>
        <w:gridCol w:w="60"/>
        <w:gridCol w:w="320"/>
        <w:gridCol w:w="3275"/>
      </w:tblGrid>
      <w:tr>
        <w:trPr/>
        <w:tc>
          <w:tcPr>
            <w:tcW w:w="213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595"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Tilray Brands, Inc.</w:t>
            </w:r>
          </w:p>
        </w:tc>
      </w:tr>
      <w:tr>
        <w:trPr/>
        <w:tc>
          <w:tcPr>
            <w:tcW w:w="213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27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r>
      <w:tr>
        <w:trPr/>
        <w:tc>
          <w:tcPr>
            <w:tcW w:w="21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October 8, 2026</w:t>
            </w:r>
          </w:p>
        </w:tc>
        <w:tc>
          <w:tcPr>
            <w:tcW w:w="6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327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Irwin D. Simon</w:t>
            </w:r>
          </w:p>
        </w:tc>
      </w:tr>
      <w:tr>
        <w:trPr/>
        <w:tc>
          <w:tcPr>
            <w:tcW w:w="213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27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Irwin D. Simon</w:t>
            </w:r>
          </w:p>
        </w:tc>
      </w:tr>
      <w:tr>
        <w:trPr/>
        <w:tc>
          <w:tcPr>
            <w:tcW w:w="213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27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Chairman and Chief Executive Officer</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27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pPr>
            <w:r>
              <w:rPr/>
              <w:t>Date: October 8, 2026</w:t>
            </w:r>
          </w:p>
        </w:tc>
        <w:tc>
          <w:tcPr>
            <w:tcW w:w="6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327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Carl Merton</w:t>
            </w:r>
          </w:p>
        </w:tc>
      </w:tr>
      <w:tr>
        <w:trPr/>
        <w:tc>
          <w:tcPr>
            <w:tcW w:w="213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27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Carl Merton</w:t>
            </w:r>
          </w:p>
        </w:tc>
      </w:tr>
      <w:tr>
        <w:trPr/>
        <w:tc>
          <w:tcPr>
            <w:tcW w:w="213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27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50 </w:t>
      </w:r>
    </w:p>
    <w:p>
      <w:pPr>
        <w:pStyle w:val="TextBody"/>
        <w:bidi w:val="0"/>
        <w:spacing w:before="0" w:after="0"/>
        <w:ind w:left="0" w:right="0" w:hanging="0"/>
        <w:jc w:val="right"/>
        <w:rPr>
          <w:rFonts w:ascii="Times New Roman;Times;serif" w:hAnsi="Times New Roman;Times;serif"/>
          <w:b/>
          <w:sz w:val="20"/>
        </w:rPr>
      </w:pPr>
      <w:bookmarkStart w:id="20" w:name="ex_1023755.htm"/>
      <w:bookmarkStart w:id="21" w:name="ksex_1023755"/>
      <w:bookmarkEnd w:id="20"/>
      <w:bookmarkEnd w:id="21"/>
      <w:r>
        <w:rPr>
          <w:rFonts w:ascii="Times New Roman;Times;serif" w:hAnsi="Times New Roman;Times;serif"/>
          <w:b/>
          <w:sz w:val="20"/>
        </w:rPr>
        <w:t>Exhibit 10.2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SEVENTH AMENDMENT TO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SEVENTH AMENDMENT TO CREDIT AGREEMENT (this “</w:t>
      </w:r>
      <w:r>
        <w:rPr>
          <w:rFonts w:ascii="Times New Roman" w:hAnsi="Times New Roman"/>
          <w:i/>
          <w:caps w:val="false"/>
          <w:smallCaps w:val="false"/>
          <w:sz w:val="20"/>
          <w:u w:val="single"/>
        </w:rPr>
        <w:t>Amendment</w:t>
      </w:r>
      <w:r>
        <w:rPr>
          <w:rFonts w:ascii="Times New Roman" w:hAnsi="Times New Roman"/>
          <w:caps w:val="false"/>
          <w:smallCaps w:val="false"/>
          <w:sz w:val="20"/>
        </w:rPr>
        <w:t>”), dated as of October 7, 2026 (the “</w:t>
      </w:r>
      <w:r>
        <w:rPr>
          <w:rFonts w:ascii="Times New Roman" w:hAnsi="Times New Roman"/>
          <w:i/>
          <w:caps w:val="false"/>
          <w:smallCaps w:val="false"/>
          <w:sz w:val="20"/>
          <w:u w:val="single"/>
        </w:rPr>
        <w:t>Seventh Amendment Effectiveness Date</w:t>
      </w:r>
      <w:r>
        <w:rPr>
          <w:rFonts w:ascii="Times New Roman" w:hAnsi="Times New Roman"/>
          <w:caps w:val="false"/>
          <w:smallCaps w:val="false"/>
          <w:sz w:val="20"/>
        </w:rPr>
        <w:t>”), to the Credit Agreement referenced below is by and among AMERICAN BEVERAGE CRAFTS GROUP, INC., a Delaware corporation (the “</w:t>
      </w:r>
      <w:r>
        <w:rPr>
          <w:rFonts w:ascii="Times New Roman" w:hAnsi="Times New Roman"/>
          <w:i/>
          <w:caps w:val="false"/>
          <w:smallCaps w:val="false"/>
          <w:sz w:val="20"/>
          <w:u w:val="single"/>
        </w:rPr>
        <w:t>Borrower</w:t>
      </w:r>
      <w:r>
        <w:rPr>
          <w:rFonts w:ascii="Times New Roman" w:hAnsi="Times New Roman"/>
          <w:caps w:val="false"/>
          <w:smallCaps w:val="false"/>
          <w:sz w:val="20"/>
        </w:rPr>
        <w:t>”), the Guarantors identified on the signature pages hereto, the Lenders identified on the signature pages hereto and BANK OF AMERICA, N.A., in its capacity as Administrative Agent (in such capacity, the “</w:t>
      </w:r>
      <w:r>
        <w:rPr>
          <w:rFonts w:ascii="Times New Roman" w:hAnsi="Times New Roman"/>
          <w:i/>
          <w:caps w:val="false"/>
          <w:smallCaps w:val="false"/>
          <w:sz w:val="20"/>
          <w:u w:val="single"/>
        </w:rPr>
        <w:t>Administrative Agent</w:t>
      </w:r>
      <w:r>
        <w:rPr>
          <w:rFonts w:ascii="Times New Roman" w:hAnsi="Times New Roman"/>
          <w:caps w:val="false"/>
          <w:smallCaps w:val="false"/>
          <w:sz w:val="20"/>
        </w:rPr>
        <w:t>”), Swingline Lender and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 I T N E S S E T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a credit facility has been extended to the Borrower pursuant to the Credit Agreement (as amended, modified, supplemented, restated and extended from time to time, the “</w:t>
      </w:r>
      <w:r>
        <w:rPr>
          <w:rFonts w:ascii="Times New Roman" w:hAnsi="Times New Roman"/>
          <w:i/>
          <w:caps w:val="false"/>
          <w:smallCaps w:val="false"/>
          <w:sz w:val="20"/>
          <w:u w:val="single"/>
        </w:rPr>
        <w:t>Credit Agreement</w:t>
      </w:r>
      <w:r>
        <w:rPr>
          <w:rFonts w:ascii="Times New Roman" w:hAnsi="Times New Roman"/>
          <w:caps w:val="false"/>
          <w:smallCaps w:val="false"/>
          <w:sz w:val="20"/>
        </w:rPr>
        <w:t>”) dated as of June 30, 2023 by and among the Borrower, the Guarantors identified therein, the Lenders identified therein and Bank of America, N.A., as Administrative Agent, Swingline Lender and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Borrower has requested that the Administrative Agent and the Lenders amend the Credit Agreement as set forth in this Amendment;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Lenders are willing to agree to the requested modifications, in accordance with and subject to the terms and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NOW, THEREFORE, IN CONSIDERATION</w:t>
      </w:r>
      <w:r>
        <w:rPr>
          <w:rFonts w:ascii="Times New Roman" w:hAnsi="Times New Roman"/>
          <w:caps w:val="false"/>
          <w:smallCaps w:val="false"/>
          <w:sz w:val="20"/>
        </w:rPr>
        <w:t xml:space="preserve"> of the premises and other good and valuable consideration, the receipt and sufficiency of which are hereby acknowledged,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w:t>
      </w:r>
      <w:r>
        <w:rPr>
          <w:rFonts w:ascii="Times New Roman" w:hAnsi="Times New Roman"/>
          <w:caps w:val="false"/>
          <w:smallCaps w:val="false"/>
          <w:sz w:val="20"/>
          <w:u w:val="single"/>
        </w:rPr>
        <w:t>    Defined Terms</w:t>
      </w:r>
      <w:r>
        <w:rPr>
          <w:rFonts w:ascii="Times New Roman" w:hAnsi="Times New Roman"/>
          <w:caps w:val="false"/>
          <w:smallCaps w:val="false"/>
          <w:sz w:val="20"/>
        </w:rPr>
        <w:t>. Capitalized terms used herein but not otherwise defined herein shall have the meanings provided to such terms in the Credit Agreement as amended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2.</w:t>
      </w:r>
      <w:r>
        <w:rPr>
          <w:rFonts w:ascii="Times New Roman" w:hAnsi="Times New Roman"/>
          <w:caps w:val="false"/>
          <w:smallCaps w:val="false"/>
          <w:sz w:val="20"/>
          <w:u w:val="single"/>
        </w:rPr>
        <w:t>    Amendments to Credit Agreement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(a)    A new definition of “Covenant Compliance Start Date” shall be added to Section 1.01 of the Credit Agreement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 w:hAnsi="Times New Roman"/>
          <w:b/>
          <w:i/>
          <w:caps w:val="false"/>
          <w:smallCaps w:val="false"/>
          <w:sz w:val="20"/>
        </w:rPr>
        <w:t>Covenant Compliance Start Date</w:t>
      </w:r>
      <w:r>
        <w:rPr>
          <w:rFonts w:ascii="Times New Roman" w:hAnsi="Times New Roman"/>
          <w:caps w:val="false"/>
          <w:smallCaps w:val="false"/>
          <w:sz w:val="20"/>
        </w:rPr>
        <w:t xml:space="preserve">” means the date the Borrower has delivered a Compliance Certificate showing that the Loan Parties are in compliance with the financial covenants set forth in </w:t>
      </w:r>
      <w:r>
        <w:rPr>
          <w:rFonts w:ascii="Times New Roman" w:hAnsi="Times New Roman"/>
          <w:b/>
          <w:i/>
          <w:caps w:val="false"/>
          <w:smallCaps w:val="false"/>
          <w:sz w:val="20"/>
        </w:rPr>
        <w:t>Section 7.04</w:t>
      </w:r>
      <w:r>
        <w:rPr>
          <w:rFonts w:ascii="Times New Roman" w:hAnsi="Times New Roman"/>
          <w:caps w:val="false"/>
          <w:smallCaps w:val="false"/>
          <w:sz w:val="20"/>
        </w:rPr>
        <w:t xml:space="preserve"> (such date not to occur earlier than the date the Compliance Certificate is delivered for the Fiscal Quarter ending November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(b)    The definition of “Availability Period” set forth in Section 1.01 of the Credit Agreement is hereby amended and restated in its entirety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 w:hAnsi="Times New Roman"/>
          <w:b/>
          <w:i/>
          <w:caps w:val="false"/>
          <w:smallCaps w:val="false"/>
          <w:sz w:val="20"/>
        </w:rPr>
        <w:t>Availability Period</w:t>
      </w:r>
      <w:r>
        <w:rPr>
          <w:rFonts w:ascii="Times New Roman" w:hAnsi="Times New Roman"/>
          <w:caps w:val="false"/>
          <w:smallCaps w:val="false"/>
          <w:sz w:val="20"/>
        </w:rPr>
        <w:t xml:space="preserve">” means in respect of the Revolving Facility, the period from and including the Covenant Compliance Start Date to the earliest of (i) the Maturity Date for the Revolving Facility, (ii) the date of termination of the Revolving Commitments pursuant to </w:t>
      </w:r>
      <w:r>
        <w:rPr>
          <w:rFonts w:ascii="Times New Roman" w:hAnsi="Times New Roman"/>
          <w:b/>
          <w:i/>
          <w:caps w:val="false"/>
          <w:smallCaps w:val="false"/>
          <w:sz w:val="20"/>
        </w:rPr>
        <w:t>Section 2.06</w:t>
      </w:r>
      <w:r>
        <w:rPr>
          <w:rFonts w:ascii="Times New Roman" w:hAnsi="Times New Roman"/>
          <w:caps w:val="false"/>
          <w:smallCaps w:val="false"/>
          <w:sz w:val="20"/>
        </w:rPr>
        <w:t xml:space="preserve">, and (iii) the date of termination of the Commitment of each Revolving Lender to make Revolving Loans and of the obligation of the L/C Issuer to make L/C Credit Extensions pursuant to </w:t>
      </w:r>
      <w:r>
        <w:rPr>
          <w:rFonts w:ascii="Times New Roman" w:hAnsi="Times New Roman"/>
          <w:b/>
          <w:i/>
          <w:caps w:val="false"/>
          <w:smallCaps w:val="false"/>
          <w:sz w:val="20"/>
        </w:rPr>
        <w:t>Section 8.02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(c)    Section 7.04(a) of the Credit Agreement is hereby amended and restated in its entirety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Consolidated Leverage Ratio</w:t>
      </w:r>
      <w:r>
        <w:rPr>
          <w:rFonts w:ascii="Times New Roman" w:hAnsi="Times New Roman"/>
          <w:caps w:val="false"/>
          <w:smallCaps w:val="false"/>
          <w:sz w:val="20"/>
        </w:rPr>
        <w:t>. Permit the Consolidated Leverage Ratio as of the end of any four Fiscal Quarter period ending as of the end of any Fiscal Quarter of the Borrower set forth below to be greater than the ratio set forth below opposite such period:</w:t>
      </w:r>
    </w:p>
    <w:p>
      <w:pPr>
        <w:pStyle w:val="TextBody"/>
        <w:bidi w:val="0"/>
        <w:spacing w:before="0" w:after="0"/>
        <w:ind w:left="0" w:right="0" w:hanging="0"/>
        <w:jc w:val="left"/>
        <w:rPr>
          <w:caps w:val="false"/>
          <w:smallCaps w:val="false"/>
        </w:rPr>
      </w:pPr>
      <w:r>
        <w:rPr>
          <w:caps w:val="false"/>
          <w:smallCaps w:val="false"/>
        </w:rPr>
        <w:t> </w:t>
      </w:r>
    </w:p>
    <w:tbl>
      <w:tblPr>
        <w:tblW w:w="7675" w:type="dxa"/>
        <w:jc w:val="left"/>
        <w:tblInd w:w="0" w:type="dxa"/>
        <w:tblLayout w:type="fixed"/>
        <w:tblCellMar>
          <w:top w:w="0" w:type="dxa"/>
          <w:left w:w="0" w:type="dxa"/>
          <w:bottom w:w="28" w:type="dxa"/>
          <w:right w:w="0" w:type="dxa"/>
        </w:tblCellMar>
      </w:tblPr>
      <w:tblGrid>
        <w:gridCol w:w="4250"/>
        <w:gridCol w:w="3425"/>
      </w:tblGrid>
      <w:tr>
        <w:trPr/>
        <w:tc>
          <w:tcPr>
            <w:tcW w:w="42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Period Ending</w:t>
            </w:r>
          </w:p>
        </w:tc>
        <w:tc>
          <w:tcPr>
            <w:tcW w:w="34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Maximum Consolidated Leverage Ratio</w:t>
            </w:r>
          </w:p>
        </w:tc>
      </w:tr>
      <w:tr>
        <w:trPr/>
        <w:tc>
          <w:tcPr>
            <w:tcW w:w="425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31, 2026</w:t>
            </w:r>
          </w:p>
        </w:tc>
        <w:tc>
          <w:tcPr>
            <w:tcW w:w="34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Tested</w:t>
            </w:r>
          </w:p>
        </w:tc>
      </w:tr>
      <w:tr>
        <w:trPr/>
        <w:tc>
          <w:tcPr>
            <w:tcW w:w="425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November 30, 2026</w:t>
            </w:r>
          </w:p>
        </w:tc>
        <w:tc>
          <w:tcPr>
            <w:tcW w:w="34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4.25 to 1.00</w:t>
            </w:r>
          </w:p>
        </w:tc>
      </w:tr>
      <w:tr>
        <w:trPr/>
        <w:tc>
          <w:tcPr>
            <w:tcW w:w="425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28, 2027 and each Fiscal Quarter thereafter</w:t>
            </w:r>
          </w:p>
        </w:tc>
        <w:tc>
          <w:tcPr>
            <w:tcW w:w="34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4.00 to 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(d)    Section 7.04(c) of the Credit Agreement is hereby amended and restated in its entirety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Minimum Liquidity</w:t>
      </w:r>
      <w:r>
        <w:rPr>
          <w:rFonts w:ascii="Times New Roman" w:hAnsi="Times New Roman"/>
          <w:caps w:val="false"/>
          <w:smallCaps w:val="false"/>
          <w:sz w:val="20"/>
        </w:rPr>
        <w:t xml:space="preserve">. During the Minimum TTM EBITDA Testing Period, permit the sum of the Revolving Availability plus Unrestricted Cash on hand that is held by a Loan Party in an account with the Administrative Agent or any other Lender to be less than $30,000,000 at any time; </w:t>
      </w:r>
      <w:r>
        <w:rPr>
          <w:rFonts w:ascii="Times New Roman" w:hAnsi="Times New Roman"/>
          <w:i/>
          <w:caps w:val="false"/>
          <w:smallCaps w:val="false"/>
          <w:sz w:val="20"/>
        </w:rPr>
        <w:t>provided</w:t>
      </w:r>
      <w:r>
        <w:rPr>
          <w:rFonts w:ascii="Times New Roman" w:hAnsi="Times New Roman"/>
          <w:caps w:val="false"/>
          <w:smallCaps w:val="false"/>
          <w:sz w:val="20"/>
        </w:rPr>
        <w:t xml:space="preserve"> that if the Covenant Compliance Start Date has not occurred, the minimum liquidity amount required by this </w:t>
      </w:r>
      <w:r>
        <w:rPr>
          <w:rFonts w:ascii="Times New Roman" w:hAnsi="Times New Roman"/>
          <w:b/>
          <w:i/>
          <w:caps w:val="false"/>
          <w:smallCaps w:val="false"/>
          <w:sz w:val="20"/>
        </w:rPr>
        <w:t>Section 7.04(c)</w:t>
      </w:r>
      <w:r>
        <w:rPr>
          <w:rFonts w:ascii="Times New Roman" w:hAnsi="Times New Roman"/>
          <w:caps w:val="false"/>
          <w:smallCaps w:val="false"/>
          <w:sz w:val="20"/>
        </w:rPr>
        <w:t xml:space="preserve"> shall be not less than [$20,000,000]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(e)    Section 7.04(d) of the Credit Agreement is hereby amended and restated in its entirety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w:t>
      </w:r>
      <w:r>
        <w:rPr>
          <w:rFonts w:ascii="Times New Roman" w:hAnsi="Times New Roman"/>
          <w:b/>
          <w:caps w:val="false"/>
          <w:smallCaps w:val="false"/>
          <w:sz w:val="20"/>
        </w:rPr>
        <w:t xml:space="preserve">Minimum EBITDA. </w:t>
      </w:r>
      <w:r>
        <w:rPr>
          <w:rFonts w:ascii="Times New Roman" w:hAnsi="Times New Roman"/>
          <w:caps w:val="false"/>
          <w:smallCaps w:val="false"/>
          <w:sz w:val="20"/>
        </w:rPr>
        <w:t>Permit Consolidated EBITDA as of the end of any four Fiscal Quarter period ending as of the end of any Fiscal Quarter of the Borrower set forth below to be less than the amount set forth below opposite such Fiscal Quarter:</w:t>
      </w:r>
    </w:p>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28" w:type="dxa"/>
          <w:right w:w="0" w:type="dxa"/>
        </w:tblCellMar>
      </w:tblPr>
      <w:tblGrid>
        <w:gridCol w:w="1625"/>
        <w:gridCol w:w="1925"/>
      </w:tblGrid>
      <w:tr>
        <w:trPr/>
        <w:tc>
          <w:tcPr>
            <w:tcW w:w="1625"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Period Ending</w:t>
            </w:r>
          </w:p>
        </w:tc>
        <w:tc>
          <w:tcPr>
            <w:tcW w:w="19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EBITDA</w:t>
            </w:r>
          </w:p>
        </w:tc>
      </w:tr>
      <w:tr>
        <w:trPr/>
        <w:tc>
          <w:tcPr>
            <w:tcW w:w="162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August 31, 2026</w:t>
            </w:r>
          </w:p>
        </w:tc>
        <w:tc>
          <w:tcPr>
            <w:tcW w:w="19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Tested</w:t>
            </w:r>
          </w:p>
        </w:tc>
      </w:tr>
      <w:tr>
        <w:trPr/>
        <w:tc>
          <w:tcPr>
            <w:tcW w:w="162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November 30, 2026</w:t>
            </w:r>
          </w:p>
        </w:tc>
        <w:tc>
          <w:tcPr>
            <w:tcW w:w="19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$10,430,000</w:t>
            </w:r>
          </w:p>
        </w:tc>
      </w:tr>
      <w:tr>
        <w:trPr/>
        <w:tc>
          <w:tcPr>
            <w:tcW w:w="162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February 28, 2027</w:t>
            </w:r>
          </w:p>
        </w:tc>
        <w:tc>
          <w:tcPr>
            <w:tcW w:w="19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$11,165,000</w:t>
            </w:r>
          </w:p>
        </w:tc>
      </w:tr>
      <w:tr>
        <w:trPr/>
        <w:tc>
          <w:tcPr>
            <w:tcW w:w="162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May 31, 2027</w:t>
            </w:r>
          </w:p>
        </w:tc>
        <w:tc>
          <w:tcPr>
            <w:tcW w:w="19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$12,500,000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3.</w:t>
      </w:r>
      <w:r>
        <w:rPr>
          <w:rFonts w:ascii="Times New Roman" w:hAnsi="Times New Roman"/>
          <w:caps w:val="false"/>
          <w:smallCaps w:val="false"/>
          <w:sz w:val="20"/>
          <w:u w:val="single"/>
        </w:rPr>
        <w:t>    Conditions Precedent</w:t>
      </w:r>
      <w:r>
        <w:rPr>
          <w:rFonts w:ascii="Times New Roman" w:hAnsi="Times New Roman"/>
          <w:caps w:val="false"/>
          <w:smallCaps w:val="false"/>
          <w:sz w:val="20"/>
        </w:rPr>
        <w:t>. This Amendment shall be and become effective as of the date hereof when the following conditions precedent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(a)    The Administrative Agent shall have received counterparts of this Amendment, which collectively shall have been duly executed on behalf of each of the Borrower, the Guarantors, the Administrative Agent, the Required Lenders, the Swingline Lender and the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(b)    Upon the reasonable request of any Lender,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and any Loan Party that qualifies as a “legal entity customer” under the Beneficial Ownership Regulation shall have delivered to each Lender that so requests, a Beneficial Ownership Certification in relation to such Loan Party;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(c)    The Borrower shall have paid all fees and expenses required to be paid to the Administrative Agent and the Lenders in connection with this Amendment and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Without limiting the generality of the provisions of </w:t>
      </w:r>
      <w:r>
        <w:rPr>
          <w:rFonts w:ascii="Times New Roman" w:hAnsi="Times New Roman"/>
          <w:b/>
          <w:i/>
          <w:caps w:val="false"/>
          <w:smallCaps w:val="false"/>
          <w:sz w:val="20"/>
        </w:rPr>
        <w:t>Section 9.03</w:t>
      </w:r>
      <w:r>
        <w:rPr>
          <w:rFonts w:ascii="Times New Roman" w:hAnsi="Times New Roman"/>
          <w:caps w:val="false"/>
          <w:smallCaps w:val="false"/>
          <w:sz w:val="20"/>
        </w:rPr>
        <w:t xml:space="preserve"> of the Credit Agreement, for purposes of determining compliance with the conditions specified in this </w:t>
      </w:r>
      <w:r>
        <w:rPr>
          <w:rFonts w:ascii="Times New Roman" w:hAnsi="Times New Roman"/>
          <w:caps w:val="false"/>
          <w:smallCaps w:val="false"/>
          <w:sz w:val="20"/>
          <w:u w:val="single"/>
        </w:rPr>
        <w:t>Section 3</w:t>
      </w:r>
      <w:r>
        <w:rPr>
          <w:rFonts w:ascii="Times New Roman" w:hAnsi="Times New Roman"/>
          <w:caps w:val="false"/>
          <w:smallCaps w:val="false"/>
          <w:sz w:val="20"/>
        </w:rPr>
        <w:t>,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Seventh Amendment Effectiveness Date specifying its objection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4.</w:t>
      </w:r>
      <w:r>
        <w:rPr>
          <w:rFonts w:ascii="Times New Roman" w:hAnsi="Times New Roman"/>
          <w:caps w:val="false"/>
          <w:smallCaps w:val="false"/>
          <w:sz w:val="20"/>
          <w:u w:val="single"/>
        </w:rPr>
        <w:t>    Expenses</w:t>
      </w:r>
      <w:r>
        <w:rPr>
          <w:rFonts w:ascii="Times New Roman" w:hAnsi="Times New Roman"/>
          <w:caps w:val="false"/>
          <w:smallCaps w:val="false"/>
          <w:sz w:val="20"/>
        </w:rPr>
        <w:t>. The Loan Parties agree to reimburse the Administrative Agent for all reasonable out-of-pocket expenses incurred by the Administrative Agent and its Affiliates (including, but not limited to, (A) the reasonable fees, charges and disbursements of one (1) counsel (and one (1) special counsel or one (1) local counsel in any relevant jurisdiction and, in the case of an actual or potential conflict of interest, one (1) additional counsel of each group of similarly situated affected persons subject to such conflict) for the Administrative Agent and its Affiliates and (B) due diligence expenses) in connection with the preparation, execution and delivery of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5.</w:t>
      </w:r>
      <w:r>
        <w:rPr>
          <w:rFonts w:ascii="Times New Roman" w:hAnsi="Times New Roman"/>
          <w:caps w:val="false"/>
          <w:smallCaps w:val="false"/>
          <w:sz w:val="20"/>
          <w:u w:val="single"/>
        </w:rPr>
        <w:t>    Amendment is a “Loan Document”</w:t>
      </w:r>
      <w:r>
        <w:rPr>
          <w:rFonts w:ascii="Times New Roman" w:hAnsi="Times New Roman"/>
          <w:caps w:val="false"/>
          <w:smallCaps w:val="false"/>
          <w:sz w:val="20"/>
        </w:rPr>
        <w:t>. This Amendment is a Loan Document and all references to a “Loan Document” in the Credit Agreement and the other Loan Documents (including, without limitation, all such references in the representations and warranties in the Credit Agreement and the other Loan Documents) shall be deemed to include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6.</w:t>
      </w:r>
      <w:r>
        <w:rPr>
          <w:rFonts w:ascii="Times New Roman" w:hAnsi="Times New Roman"/>
          <w:caps w:val="false"/>
          <w:smallCaps w:val="false"/>
          <w:sz w:val="20"/>
          <w:u w:val="single"/>
        </w:rPr>
        <w:t>    Authorization; Enforceability</w:t>
      </w:r>
      <w:r>
        <w:rPr>
          <w:rFonts w:ascii="Times New Roman" w:hAnsi="Times New Roman"/>
          <w:caps w:val="false"/>
          <w:smallCaps w:val="false"/>
          <w:sz w:val="20"/>
        </w:rPr>
        <w:t>. Each Loan Party represents and warrants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(a)    It has taken all necessary corporate or other organizational action to authorize the execution, delivery and performance of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(b)    This Amendment has been duly executed and delivered by such Loan Party and constitutes its legal, valid and binding obligations, enforceable in accordance with its terms, subject to applicable bankruptcy, insolvency, reorganization, moratorium or other laws affecting creditors’ rights generally and subject to general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(c)    No approval, consent, exemption, authorization, or other action by, or notice to, or filing with, any Governmental Authority or any other Person is necessary or required in connection with the execution, delivery or performance by, or enforcement against, such Loan Party of this Amendment, other than authorizations, approvals, actions, notices and filings which have been duly obtained, taken or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(d)    The execution, delivery and performance by such Loan Party of this Amendment does not and will not (i) contravene the terms of any of such Loan Party’s Organization Documents; (ii) conflict with or result in any breach or contravention of, or the creation of (or the requirement to create) any Lien under, or require any payment to be made under (1) any Contractual Obligation to which such Loan Party is a party or affecting such Loan Party or the properties of such Loan Party or any of its Subsidiaries or (2) any order, injunction, writ or decree of any Governmental Authority or any arbitral award to which such Loan Party or its property is subject; or (iii) violate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7.</w:t>
      </w:r>
      <w:r>
        <w:rPr>
          <w:rFonts w:ascii="Times New Roman" w:hAnsi="Times New Roman"/>
          <w:caps w:val="false"/>
          <w:smallCaps w:val="false"/>
          <w:sz w:val="20"/>
          <w:u w:val="single"/>
        </w:rPr>
        <w:t>    Representations and Warranties; No Default</w:t>
      </w:r>
      <w:r>
        <w:rPr>
          <w:rFonts w:ascii="Times New Roman" w:hAnsi="Times New Roman"/>
          <w:caps w:val="false"/>
          <w:smallCaps w:val="false"/>
          <w:sz w:val="20"/>
        </w:rPr>
        <w:t xml:space="preserve">. Each Loan Party represents and warrants to the Administrative Agent and each Lender that, after giving effect to this Amendment, (a) the representations and warranties of the Borrower and each Loan Party contained in Article II or Article V of the Credit Agreement or any other Loan Document or which are contained in any document furnished at any time under or in connection therewith, shall (i) with respect to representations and warranties that contain a materiality qualification, be true and correct and (ii) with respect to representations and warranties that do not contain a materiality qualification, be true and correct in all material respects, in each case, on and as of the date hereof, and except that for purposes of this </w:t>
      </w:r>
      <w:r>
        <w:rPr>
          <w:rFonts w:ascii="Times New Roman" w:hAnsi="Times New Roman"/>
          <w:caps w:val="false"/>
          <w:smallCaps w:val="false"/>
          <w:sz w:val="20"/>
          <w:u w:val="single"/>
        </w:rPr>
        <w:t>Section 7(a)</w:t>
      </w:r>
      <w:r>
        <w:rPr>
          <w:rFonts w:ascii="Times New Roman" w:hAnsi="Times New Roman"/>
          <w:caps w:val="false"/>
          <w:smallCaps w:val="false"/>
          <w:sz w:val="20"/>
        </w:rPr>
        <w:t xml:space="preserve">, the representations and warranties contained in </w:t>
      </w:r>
      <w:r>
        <w:rPr>
          <w:rFonts w:ascii="Times New Roman" w:hAnsi="Times New Roman"/>
          <w:b/>
          <w:i/>
          <w:caps w:val="false"/>
          <w:smallCaps w:val="false"/>
          <w:sz w:val="20"/>
        </w:rPr>
        <w:t>Sections 5.05(a)</w:t>
      </w:r>
      <w:r>
        <w:rPr>
          <w:rFonts w:ascii="Times New Roman" w:hAnsi="Times New Roman"/>
          <w:caps w:val="false"/>
          <w:smallCaps w:val="false"/>
          <w:sz w:val="20"/>
        </w:rPr>
        <w:t xml:space="preserve"> and </w:t>
      </w:r>
      <w:r>
        <w:rPr>
          <w:rFonts w:ascii="Times New Roman" w:hAnsi="Times New Roman"/>
          <w:b/>
          <w:i/>
          <w:caps w:val="false"/>
          <w:smallCaps w:val="false"/>
          <w:sz w:val="20"/>
        </w:rPr>
        <w:t>(b)</w:t>
      </w:r>
      <w:r>
        <w:rPr>
          <w:rFonts w:ascii="Times New Roman" w:hAnsi="Times New Roman"/>
          <w:caps w:val="false"/>
          <w:smallCaps w:val="false"/>
          <w:sz w:val="20"/>
        </w:rPr>
        <w:t xml:space="preserve"> of the Credit Agreement shall be deemed to refer to the most recent statements furnished pursuant to </w:t>
      </w:r>
      <w:r>
        <w:rPr>
          <w:rFonts w:ascii="Times New Roman" w:hAnsi="Times New Roman"/>
          <w:b/>
          <w:i/>
          <w:caps w:val="false"/>
          <w:smallCaps w:val="false"/>
          <w:sz w:val="20"/>
        </w:rPr>
        <w:t>Sections 6.01(a)</w:t>
      </w:r>
      <w:r>
        <w:rPr>
          <w:rFonts w:ascii="Times New Roman" w:hAnsi="Times New Roman"/>
          <w:caps w:val="false"/>
          <w:smallCaps w:val="false"/>
          <w:sz w:val="20"/>
        </w:rPr>
        <w:t xml:space="preserve"> and </w:t>
      </w:r>
      <w:r>
        <w:rPr>
          <w:rFonts w:ascii="Times New Roman" w:hAnsi="Times New Roman"/>
          <w:b/>
          <w:i/>
          <w:caps w:val="false"/>
          <w:smallCaps w:val="false"/>
          <w:sz w:val="20"/>
        </w:rPr>
        <w:t>(b)</w:t>
      </w:r>
      <w:r>
        <w:rPr>
          <w:rFonts w:ascii="Times New Roman" w:hAnsi="Times New Roman"/>
          <w:caps w:val="false"/>
          <w:smallCaps w:val="false"/>
          <w:sz w:val="20"/>
        </w:rPr>
        <w:t>, respectively, of the Credit Agreement, and (b) no Default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8.</w:t>
      </w:r>
      <w:r>
        <w:rPr>
          <w:rFonts w:ascii="Times New Roman" w:hAnsi="Times New Roman"/>
          <w:caps w:val="false"/>
          <w:smallCaps w:val="false"/>
          <w:sz w:val="20"/>
          <w:u w:val="single"/>
        </w:rPr>
        <w:t>    Reaffirmation of Obligations</w:t>
      </w:r>
      <w:r>
        <w:rPr>
          <w:rFonts w:ascii="Times New Roman" w:hAnsi="Times New Roman"/>
          <w:caps w:val="false"/>
          <w:smallCaps w:val="false"/>
          <w:sz w:val="20"/>
        </w:rPr>
        <w:t>. Each Loan Party (a) acknowledges and consents to all of the terms and conditions of this Amendment, (b) affirms all of its obligations under the Loan Documents, as modified hereby, and (c) agrees that this Amendment and all documents, agreements and instruments executed in connection with this Amendment do not operate to reduce or discharge such Loan Party’s obligations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9.</w:t>
      </w:r>
      <w:r>
        <w:rPr>
          <w:rFonts w:ascii="Times New Roman" w:hAnsi="Times New Roman"/>
          <w:caps w:val="false"/>
          <w:smallCaps w:val="false"/>
          <w:sz w:val="20"/>
          <w:u w:val="single"/>
        </w:rPr>
        <w:t>    Reaffirmation of Security Interests</w:t>
      </w:r>
      <w:r>
        <w:rPr>
          <w:rFonts w:ascii="Times New Roman" w:hAnsi="Times New Roman"/>
          <w:caps w:val="false"/>
          <w:smallCaps w:val="false"/>
          <w:sz w:val="20"/>
        </w:rPr>
        <w:t>. Each Loan Party (a) ratifies and affirms that each of the Liens granted in or pursuant to the Loan Documents and confirms and agrees that such Liens are valid and subsisting and (b) agrees that this Amendment and all documents, agreements and instruments executed in connection with this Amendment do not in any manner impair or otherwise adversely affect any of the Liens granted in or pursuant to the Loan Documents. Without limiting the foregoing, each Loan Party confirms and agrees that each of the Liens granted in or pursuant to the Loan Documents by such Loan Party secure all of the Obligations as amended hereby and hereby re-grants a security interest and liens in all of its right, title and interest in the Collateral, as defined in, and on the terms set forth in, the Security Agreement, to secure all of the Obligations as amended hereby and, further, ratifies and reaffirms as of the date hereof that the security constituted by the Collateral Documents continue to secure the payment of liabilities and obligations of the Loan Parties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10.</w:t>
      </w:r>
      <w:r>
        <w:rPr>
          <w:rFonts w:ascii="Times New Roman" w:hAnsi="Times New Roman"/>
          <w:caps w:val="false"/>
          <w:smallCaps w:val="false"/>
          <w:sz w:val="20"/>
          <w:u w:val="single"/>
        </w:rPr>
        <w:t>    No Other Changes</w:t>
      </w:r>
      <w:r>
        <w:rPr>
          <w:rFonts w:ascii="Times New Roman" w:hAnsi="Times New Roman"/>
          <w:caps w:val="false"/>
          <w:smallCaps w:val="false"/>
          <w:sz w:val="20"/>
        </w:rPr>
        <w:t>. Except as modified hereby, all of the terms and provisions of the Loan Documents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11.</w:t>
      </w:r>
      <w:r>
        <w:rPr>
          <w:rFonts w:ascii="Times New Roman" w:hAnsi="Times New Roman"/>
          <w:caps w:val="false"/>
          <w:smallCaps w:val="false"/>
          <w:sz w:val="20"/>
          <w:u w:val="single"/>
        </w:rPr>
        <w:t>    Counterparts; Electronic Record</w:t>
      </w:r>
      <w:r>
        <w:rPr>
          <w:rFonts w:ascii="Times New Roman" w:hAnsi="Times New Roman"/>
          <w:caps w:val="false"/>
          <w:smallCaps w:val="false"/>
          <w:sz w:val="20"/>
        </w:rPr>
        <w:t>. This Amendment may be in the form of an Electronic Record, may be executed using Electronic Signatures and may be executed in as many counterparts as necessary or convenient, including both paper and electronic counterparts, but all such counterparts are one and the same instrument.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12.</w:t>
      </w:r>
      <w:r>
        <w:rPr>
          <w:rFonts w:ascii="Times New Roman" w:hAnsi="Times New Roman"/>
          <w:caps w:val="false"/>
          <w:smallCaps w:val="false"/>
          <w:sz w:val="20"/>
          <w:u w:val="single"/>
        </w:rPr>
        <w:t>    Governing Law</w:t>
      </w:r>
      <w:r>
        <w:rPr>
          <w:rFonts w:ascii="Times New Roman" w:hAnsi="Times New Roman"/>
          <w:caps w:val="false"/>
          <w:smallCaps w:val="false"/>
          <w:sz w:val="20"/>
        </w:rPr>
        <w:t>. THIS AMENDMENT AND ANY CLAIMS, CONTROVERSY, DISPUTE OR CAUSE OF ACTION (WHETHER IN CONTRACT OR TORT OR OTHERWISE) BASED UPON, ARISING OUT OF OR RELATING TO THIS AMENDMENT AND THE TRANSACTIONS CONTEMPLATED HEREBY SHALL BE GOVERNED BY, AND CONSTRUED IN ACCORDANCE WITH, THE LAW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13.</w:t>
      </w:r>
      <w:r>
        <w:rPr>
          <w:rFonts w:ascii="Times New Roman" w:hAnsi="Times New Roman"/>
          <w:caps w:val="false"/>
          <w:smallCaps w:val="false"/>
          <w:sz w:val="20"/>
          <w:u w:val="single"/>
        </w:rPr>
        <w:t>    General Release</w:t>
      </w:r>
      <w:r>
        <w:rPr>
          <w:rFonts w:ascii="Times New Roman" w:hAnsi="Times New Roman"/>
          <w:caps w:val="false"/>
          <w:smallCaps w:val="false"/>
          <w:sz w:val="20"/>
        </w:rPr>
        <w:t>. In consideration of the Administrative Agent’s and Required Lenders’ willingness to enter into this Amendment, each Loan Party hereby releases and forever discharges the Administrative Agent, the L/C Issuer, the Swingline Lender, the Lenders and the Administrative Agent’s, the L/C Issuer’s, the Swingline Lender’s, and the Lender’s respective predecessors, successors, assigns, officers, managers, directors, employees, agents, attorneys, representatives, and affiliates (hereinafter all of the above collectively referred to as the “</w:t>
      </w:r>
      <w:r>
        <w:rPr>
          <w:rFonts w:ascii="Times New Roman" w:hAnsi="Times New Roman"/>
          <w:b/>
          <w:i/>
          <w:caps w:val="false"/>
          <w:smallCaps w:val="false"/>
          <w:sz w:val="20"/>
        </w:rPr>
        <w:t>Bank Group</w:t>
      </w:r>
      <w:r>
        <w:rPr>
          <w:rFonts w:ascii="Times New Roman" w:hAnsi="Times New Roman"/>
          <w:caps w:val="false"/>
          <w:smallCaps w:val="false"/>
          <w:sz w:val="20"/>
        </w:rPr>
        <w:t>”), from any and all claims, counterclaims, demands, damages, debts, suits, liabilities, actions and causes of action of any nature whatsoever, including, without limitation, all claims, demands, and causes of action for contribution and indemnity, whether arising at law or in equity, whether known or unknown, whether liability be direct or indirect, liquidated or unliquidated, whether absolute or contingent, foreseen or unforeseen, and whether or not heretofore asserted, which any Loan Party may have or claim to have against any of the Bank Group in any way related to or connected with the Loan Documents and the transactions contemplated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PAGES FOLLOW]</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w:t>
      </w:r>
      <w:r>
        <w:rPr>
          <w:rFonts w:ascii="Times New Roman" w:hAnsi="Times New Roman"/>
          <w:i/>
          <w:caps w:val="false"/>
          <w:smallCaps w:val="false"/>
          <w:sz w:val="20"/>
        </w:rPr>
        <w:t xml:space="preserve">, </w:t>
      </w:r>
      <w:r>
        <w:rPr>
          <w:rFonts w:ascii="Times New Roman" w:hAnsi="Times New Roman"/>
          <w:caps w:val="false"/>
          <w:smallCaps w:val="false"/>
          <w:sz w:val="20"/>
        </w:rPr>
        <w:t>the parties hereto have caused this Amendment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1250"/>
        <w:gridCol w:w="4295"/>
      </w:tblGrid>
      <w:tr>
        <w:trPr/>
        <w:tc>
          <w:tcPr>
            <w:tcW w:w="12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BORROWER</w:t>
            </w:r>
            <w:r>
              <w:rPr>
                <w:rFonts w:ascii="Times New Roman" w:hAnsi="Times New Roman"/>
                <w:caps w:val="false"/>
                <w:smallCaps w:val="false"/>
                <w:sz w:val="20"/>
              </w:rPr>
              <w:t>:</w:t>
            </w:r>
          </w:p>
        </w:tc>
        <w:tc>
          <w:tcPr>
            <w:tcW w:w="42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AMERICAN BEVERAGE CRAFTS GROUP, INC.</w:t>
            </w:r>
            <w:r>
              <w:rPr>
                <w:rFonts w:ascii="Times New Roman" w:hAnsi="Times New Roman"/>
                <w:caps w:val="false"/>
                <w:smallCaps w:val="false"/>
                <w:sz w:val="20"/>
              </w:rPr>
              <w: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Delaware corporation</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/s/ Carl Merton</w:t>
            </w:r>
            <w:r>
              <w:rPr>
                <w:rFonts w:ascii="Times New Roman" w:hAnsi="Times New Roman"/>
                <w:caps w:val="false"/>
                <w:smallCaps w:val="false"/>
                <w:sz w:val="20"/>
                <w:u w:val="singl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Carl Merton</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Chief Financial Officer</w:t>
            </w:r>
          </w:p>
        </w:tc>
      </w:tr>
      <w:tr>
        <w:trPr/>
        <w:tc>
          <w:tcPr>
            <w:tcW w:w="1250"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b/>
          <w:caps w:val="false"/>
          <w:smallCaps w:val="false"/>
          <w:sz w:val="20"/>
        </w:rPr>
      </w:pPr>
      <w:r>
        <w:rPr>
          <w:rFonts w:ascii="Times New Roman" w:hAnsi="Times New Roman"/>
          <w:b/>
          <w:caps w:val="false"/>
          <w:smallCaps w:val="false"/>
          <w:sz w:val="20"/>
        </w:rPr>
        <w:t>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b/>
          <w:caps w:val="false"/>
          <w:smallCaps w:val="false"/>
          <w:sz w:val="20"/>
        </w:rPr>
        <w:t>DOUBLE DIAMOND DISTILLERY LLC</w:t>
      </w:r>
      <w:r>
        <w:rPr>
          <w:rFonts w:ascii="Times New Roman" w:hAnsi="Times New Roman"/>
          <w:caps w:val="false"/>
          <w:smallCaps w:val="false"/>
          <w:sz w:val="20"/>
        </w:rPr>
        <w:t>,</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a Colorado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left"/>
        <w:rPr>
          <w:rFonts w:ascii="Times New Roman" w:hAnsi="Times New Roman"/>
          <w:caps w:val="false"/>
          <w:smallCaps w:val="false"/>
          <w:sz w:val="20"/>
        </w:rPr>
      </w:pPr>
      <w:r>
        <w:rPr>
          <w:rFonts w:ascii="Times New Roman" w:hAnsi="Times New Roman"/>
          <w:b/>
          <w:caps w:val="false"/>
          <w:smallCaps w:val="false"/>
          <w:sz w:val="20"/>
        </w:rPr>
        <w:t>SWEETWATER COLORADO BREWING COMPANY, LLC</w:t>
      </w:r>
      <w:r>
        <w:rPr>
          <w:rFonts w:ascii="Times New Roman" w:hAnsi="Times New Roman"/>
          <w:caps w:val="false"/>
          <w:smallCaps w:val="false"/>
          <w:sz w:val="20"/>
        </w:rPr>
        <w:t>,</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b/>
          <w:caps w:val="false"/>
          <w:smallCaps w:val="false"/>
          <w:sz w:val="20"/>
        </w:rPr>
        <w:t>MONTAUK BREWING COMPANY, INC</w:t>
      </w:r>
      <w:r>
        <w:rPr>
          <w:rFonts w:ascii="Times New Roman" w:hAnsi="Times New Roman"/>
          <w:caps w:val="false"/>
          <w:smallCaps w:val="false"/>
          <w:sz w:val="20"/>
        </w:rPr>
        <w:t>.,</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a New York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b/>
          <w:caps w:val="false"/>
          <w:smallCaps w:val="false"/>
          <w:sz w:val="20"/>
        </w:rPr>
        <w:t>TILRAY HOLDCO M, LLC</w:t>
      </w:r>
      <w:r>
        <w:rPr>
          <w:rFonts w:ascii="Times New Roman" w:hAnsi="Times New Roman"/>
          <w:caps w:val="false"/>
          <w:smallCaps w:val="false"/>
          <w:sz w:val="20"/>
        </w:rPr>
        <w:t>,</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Title:         Chief Financial Officer</w:t>
      </w:r>
    </w:p>
    <w:tbl>
      <w:tblPr>
        <w:tblW w:w="3033" w:type="dxa"/>
        <w:jc w:val="left"/>
        <w:tblInd w:w="0" w:type="dxa"/>
        <w:tblLayout w:type="fixed"/>
        <w:tblCellMar>
          <w:top w:w="0" w:type="dxa"/>
          <w:left w:w="0" w:type="dxa"/>
          <w:bottom w:w="0" w:type="dxa"/>
          <w:right w:w="0" w:type="dxa"/>
        </w:tblCellMar>
      </w:tblPr>
      <w:tblGrid>
        <w:gridCol w:w="353"/>
        <w:gridCol w:w="602"/>
        <w:gridCol w:w="2078"/>
      </w:tblGrid>
      <w:tr>
        <w:trPr/>
        <w:tc>
          <w:tcPr>
            <w:tcW w:w="3033" w:type="dxa"/>
            <w:gridSpan w:val="3"/>
            <w:tcBorders/>
            <w:vAlign w:val="center"/>
          </w:tcPr>
          <w:p>
            <w:pPr>
              <w:pStyle w:val="TableContents"/>
              <w:bidi w:val="0"/>
              <w:spacing w:before="0" w:after="283"/>
              <w:jc w:val="left"/>
              <w:rPr/>
            </w:pPr>
            <w:r>
              <w:rPr/>
              <w:t> </w:t>
            </w:r>
          </w:p>
        </w:tc>
      </w:tr>
      <w:tr>
        <w:trPr/>
        <w:tc>
          <w:tcPr>
            <w:tcW w:w="3033"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TILRAY BEVERAGES, LLC</w:t>
            </w:r>
            <w:r>
              <w:rPr>
                <w:rFonts w:ascii="Times New Roman" w:hAnsi="Times New Roman"/>
                <w:caps w:val="false"/>
                <w:smallCaps w:val="false"/>
                <w:sz w:val="20"/>
              </w:rPr>
              <w:t>,</w:t>
              <w:br/>
              <w:t>a Delaware limited liability company</w:t>
            </w:r>
          </w:p>
        </w:tc>
      </w:tr>
      <w:tr>
        <w:trPr/>
        <w:tc>
          <w:tcPr>
            <w:tcW w:w="3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680" w:type="dxa"/>
            <w:gridSpan w:val="2"/>
            <w:tcBorders/>
            <w:vAlign w:val="center"/>
          </w:tcPr>
          <w:p>
            <w:pPr>
              <w:pStyle w:val="TableContents"/>
              <w:bidi w:val="0"/>
              <w:spacing w:before="0" w:after="283"/>
              <w:jc w:val="left"/>
              <w:rPr/>
            </w:pPr>
            <w:r>
              <w:rPr/>
              <w:t> </w:t>
            </w:r>
          </w:p>
        </w:tc>
      </w:tr>
      <w:tr>
        <w:trPr/>
        <w:tc>
          <w:tcPr>
            <w:tcW w:w="353"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207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Carl Merton</w:t>
            </w:r>
          </w:p>
        </w:tc>
      </w:tr>
      <w:tr>
        <w:trPr/>
        <w:tc>
          <w:tcPr>
            <w:tcW w:w="353"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207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353"/>
        <w:gridCol w:w="602"/>
        <w:gridCol w:w="2078"/>
      </w:tblGrid>
      <w:tr>
        <w:trPr/>
        <w:tc>
          <w:tcPr>
            <w:tcW w:w="3033"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TILRAY ABC, LLC</w:t>
            </w:r>
            <w:r>
              <w:rPr>
                <w:rFonts w:ascii="Times New Roman" w:hAnsi="Times New Roman"/>
                <w:caps w:val="false"/>
                <w:smallCaps w:val="false"/>
                <w:sz w:val="20"/>
              </w:rPr>
              <w:t>,</w:t>
              <w:br/>
              <w:t>a Delaware limited liability company</w:t>
            </w:r>
          </w:p>
        </w:tc>
      </w:tr>
      <w:tr>
        <w:trPr/>
        <w:tc>
          <w:tcPr>
            <w:tcW w:w="3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680" w:type="dxa"/>
            <w:gridSpan w:val="2"/>
            <w:tcBorders/>
            <w:vAlign w:val="center"/>
          </w:tcPr>
          <w:p>
            <w:pPr>
              <w:pStyle w:val="TableContents"/>
              <w:bidi w:val="0"/>
              <w:spacing w:before="0" w:after="283"/>
              <w:jc w:val="left"/>
              <w:rPr/>
            </w:pPr>
            <w:r>
              <w:rPr/>
              <w:t> </w:t>
            </w:r>
          </w:p>
        </w:tc>
      </w:tr>
      <w:tr>
        <w:trPr/>
        <w:tc>
          <w:tcPr>
            <w:tcW w:w="353"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207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Carl Merton</w:t>
            </w:r>
          </w:p>
        </w:tc>
      </w:tr>
      <w:tr>
        <w:trPr/>
        <w:tc>
          <w:tcPr>
            <w:tcW w:w="353"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207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416"/>
        <w:gridCol w:w="709"/>
        <w:gridCol w:w="2448"/>
      </w:tblGrid>
      <w:tr>
        <w:trPr/>
        <w:tc>
          <w:tcPr>
            <w:tcW w:w="3573"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AMERICAN BEVERAGE CRAFTS, LLC</w:t>
            </w:r>
            <w:r>
              <w:rPr>
                <w:rFonts w:ascii="Times New Roman" w:hAnsi="Times New Roman"/>
                <w:caps w:val="false"/>
                <w:smallCaps w:val="false"/>
                <w:sz w:val="20"/>
              </w:rPr>
              <w:t>,</w:t>
              <w:br/>
              <w:t>a Delaware limited liability company</w:t>
            </w:r>
          </w:p>
        </w:tc>
      </w:tr>
      <w:tr>
        <w:trPr/>
        <w:tc>
          <w:tcPr>
            <w:tcW w:w="4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157" w:type="dxa"/>
            <w:gridSpan w:val="2"/>
            <w:tcBorders/>
            <w:vAlign w:val="center"/>
          </w:tcPr>
          <w:p>
            <w:pPr>
              <w:pStyle w:val="TableContents"/>
              <w:bidi w:val="0"/>
              <w:spacing w:before="0" w:after="283"/>
              <w:jc w:val="left"/>
              <w:rPr/>
            </w:pPr>
            <w:r>
              <w:rPr/>
              <w:t> </w:t>
            </w:r>
          </w:p>
        </w:tc>
      </w:tr>
      <w:tr>
        <w:trPr/>
        <w:tc>
          <w:tcPr>
            <w:tcW w:w="416"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24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Carl Merton</w:t>
            </w:r>
          </w:p>
        </w:tc>
      </w:tr>
      <w:tr>
        <w:trPr/>
        <w:tc>
          <w:tcPr>
            <w:tcW w:w="416"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24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815"/>
        <w:gridCol w:w="1388"/>
        <w:gridCol w:w="4790"/>
      </w:tblGrid>
      <w:tr>
        <w:trPr/>
        <w:tc>
          <w:tcPr>
            <w:tcW w:w="6993"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SWEETWATER BREWING COMPANY, LLC</w:t>
            </w:r>
            <w:r>
              <w:rPr>
                <w:rFonts w:ascii="Times New Roman" w:hAnsi="Times New Roman"/>
                <w:caps w:val="false"/>
                <w:smallCaps w:val="false"/>
                <w:sz w:val="20"/>
              </w:rPr>
              <w:t>, a Georgia limited liability company</w:t>
            </w:r>
          </w:p>
        </w:tc>
      </w:tr>
      <w:tr>
        <w:trPr/>
        <w:tc>
          <w:tcPr>
            <w:tcW w:w="8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6178" w:type="dxa"/>
            <w:gridSpan w:val="2"/>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pPr>
            <w:r>
              <w:rPr/>
              <w:t> </w:t>
            </w:r>
          </w:p>
        </w:tc>
        <w:tc>
          <w:tcPr>
            <w:tcW w:w="13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47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Carl Merton</w:t>
            </w:r>
          </w:p>
        </w:tc>
      </w:tr>
      <w:tr>
        <w:trPr/>
        <w:tc>
          <w:tcPr>
            <w:tcW w:w="815" w:type="dxa"/>
            <w:tcBorders/>
            <w:vAlign w:val="center"/>
          </w:tcPr>
          <w:p>
            <w:pPr>
              <w:pStyle w:val="TableContents"/>
              <w:bidi w:val="0"/>
              <w:spacing w:before="0" w:after="283"/>
              <w:jc w:val="left"/>
              <w:rPr/>
            </w:pPr>
            <w:r>
              <w:rPr/>
              <w:t> </w:t>
            </w:r>
          </w:p>
        </w:tc>
        <w:tc>
          <w:tcPr>
            <w:tcW w:w="13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47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6993"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SW BREWING COMPANY, LLC</w:t>
            </w:r>
            <w:r>
              <w:rPr>
                <w:rFonts w:ascii="Times New Roman" w:hAnsi="Times New Roman"/>
                <w:caps w:val="false"/>
                <w:smallCaps w:val="false"/>
                <w:sz w:val="20"/>
              </w:rPr>
              <w:t>, a Delaware limited liability company</w:t>
            </w:r>
          </w:p>
        </w:tc>
      </w:tr>
      <w:tr>
        <w:trPr/>
        <w:tc>
          <w:tcPr>
            <w:tcW w:w="8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6178" w:type="dxa"/>
            <w:gridSpan w:val="2"/>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pPr>
            <w:r>
              <w:rPr/>
              <w:t> </w:t>
            </w:r>
          </w:p>
        </w:tc>
        <w:tc>
          <w:tcPr>
            <w:tcW w:w="13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47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Carl Merton</w:t>
            </w:r>
          </w:p>
        </w:tc>
      </w:tr>
      <w:tr>
        <w:trPr/>
        <w:tc>
          <w:tcPr>
            <w:tcW w:w="815" w:type="dxa"/>
            <w:tcBorders/>
            <w:vAlign w:val="center"/>
          </w:tcPr>
          <w:p>
            <w:pPr>
              <w:pStyle w:val="TableContents"/>
              <w:bidi w:val="0"/>
              <w:spacing w:before="0" w:after="283"/>
              <w:jc w:val="left"/>
              <w:rPr/>
            </w:pPr>
            <w:r>
              <w:rPr/>
              <w:t> </w:t>
            </w:r>
          </w:p>
        </w:tc>
        <w:tc>
          <w:tcPr>
            <w:tcW w:w="13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47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b/>
          <w:caps w:val="false"/>
          <w:smallCaps w:val="false"/>
          <w:sz w:val="20"/>
        </w:rPr>
      </w:pPr>
      <w:r>
        <w:rPr>
          <w:rFonts w:ascii="Times New Roman" w:hAnsi="Times New Roman"/>
          <w:b/>
          <w:caps w:val="false"/>
          <w:smallCaps w:val="false"/>
          <w:sz w:val="20"/>
        </w:rPr>
        <w:t>HIBALL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b/>
          <w:caps w:val="false"/>
          <w:smallCaps w:val="false"/>
          <w:sz w:val="20"/>
        </w:rPr>
      </w:pPr>
      <w:r>
        <w:rPr>
          <w:rFonts w:ascii="Times New Roman" w:hAnsi="Times New Roman"/>
          <w:b/>
          <w:caps w:val="false"/>
          <w:smallCaps w:val="false"/>
          <w:sz w:val="20"/>
        </w:rPr>
        <w:t>BRECKENRIDGE HOLDING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BRECKENRIDGE-WYNKOOP 2, LLC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b/>
          <w:caps w:val="false"/>
          <w:smallCaps w:val="false"/>
          <w:sz w:val="20"/>
        </w:rPr>
      </w:pPr>
      <w:r>
        <w:rPr>
          <w:rFonts w:ascii="Times New Roman" w:hAnsi="Times New Roman"/>
          <w:b/>
          <w:caps w:val="false"/>
          <w:smallCaps w:val="false"/>
          <w:sz w:val="20"/>
        </w:rPr>
        <w:t>BBI ACQUISITION 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BRECKENRIDGE BREWERY, LLC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BLUE POINT BREWING COMPANY,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10 BARREL BREWING, LLC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10 BARREL BREWING IDAHO, LLC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b/>
          <w:caps w:val="false"/>
          <w:smallCaps w:val="false"/>
          <w:sz w:val="20"/>
        </w:rPr>
      </w:pPr>
      <w:r>
        <w:rPr>
          <w:rFonts w:ascii="Times New Roman" w:hAnsi="Times New Roman"/>
          <w:b/>
          <w:caps w:val="false"/>
          <w:smallCaps w:val="false"/>
          <w:sz w:val="20"/>
        </w:rPr>
        <w:t>TERRAPIN BEER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b/>
          <w:caps w:val="false"/>
          <w:smallCaps w:val="false"/>
          <w:sz w:val="20"/>
        </w:rPr>
      </w:pPr>
      <w:r>
        <w:rPr>
          <w:rFonts w:ascii="Times New Roman" w:hAnsi="Times New Roman"/>
          <w:b/>
          <w:caps w:val="false"/>
          <w:smallCaps w:val="false"/>
          <w:sz w:val="20"/>
        </w:rPr>
        <w:t>REVOLVER BREWING,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MCKENZIE RIVER BREWING COMPANY, LLC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b/>
          <w:caps w:val="false"/>
          <w:smallCaps w:val="false"/>
          <w:sz w:val="20"/>
        </w:rPr>
      </w:pPr>
      <w:r>
        <w:rPr>
          <w:rFonts w:ascii="Times New Roman" w:hAnsi="Times New Roman"/>
          <w:b/>
          <w:caps w:val="false"/>
          <w:smallCaps w:val="false"/>
          <w:sz w:val="20"/>
        </w:rPr>
        <w:t>PARK BREWING,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LIQUID GR, LLC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b/>
          <w:caps w:val="false"/>
          <w:smallCaps w:val="false"/>
          <w:sz w:val="20"/>
        </w:rPr>
      </w:pPr>
      <w:r>
        <w:rPr>
          <w:rFonts w:ascii="Times New Roman" w:hAnsi="Times New Roman"/>
          <w:b/>
          <w:caps w:val="false"/>
          <w:smallCaps w:val="false"/>
          <w:sz w:val="20"/>
        </w:rPr>
        <w:t>DETROIT RIVERTOWN BREWING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420" w:right="0" w:hanging="0"/>
        <w:jc w:val="both"/>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2540"/>
        <w:gridCol w:w="2360"/>
      </w:tblGrid>
      <w:tr>
        <w:trPr/>
        <w:tc>
          <w:tcPr>
            <w:tcW w:w="25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ADMINISTRATIVE AGENT</w:t>
            </w:r>
            <w:r>
              <w:rPr>
                <w:rFonts w:ascii="Times New Roman" w:hAnsi="Times New Roman"/>
                <w:b/>
                <w:caps w:val="false"/>
                <w:smallCaps w:val="false"/>
                <w:sz w:val="20"/>
              </w:rPr>
              <w:t>:</w:t>
            </w:r>
          </w:p>
        </w:tc>
        <w:tc>
          <w:tcPr>
            <w:tcW w:w="23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BANK OF AMERICA, N.A.</w:t>
            </w:r>
            <w:r>
              <w:rPr>
                <w:rFonts w:ascii="Times New Roman" w:hAnsi="Times New Roman"/>
                <w:caps w:val="false"/>
                <w:smallCaps w:val="false"/>
                <w:sz w:val="20"/>
              </w:rPr>
              <w: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Administrative Agent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Erik M. Truette</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Vice President</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995"/>
        <w:gridCol w:w="3680"/>
      </w:tblGrid>
      <w:tr>
        <w:trPr/>
        <w:tc>
          <w:tcPr>
            <w:tcW w:w="9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LENDERS</w:t>
            </w:r>
            <w:r>
              <w:rPr>
                <w:rFonts w:ascii="Times New Roman" w:hAnsi="Times New Roman"/>
                <w:b/>
                <w:caps w:val="false"/>
                <w:smallCaps w:val="false"/>
                <w:sz w:val="20"/>
              </w:rPr>
              <w:t>:</w:t>
            </w:r>
          </w:p>
        </w:tc>
        <w:tc>
          <w:tcPr>
            <w:tcW w:w="36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BANK OF AMERICA, N.A</w:t>
            </w:r>
            <w:r>
              <w:rPr>
                <w:rFonts w:ascii="Times New Roman" w:hAnsi="Times New Roman"/>
                <w:caps w:val="false"/>
                <w:smallCaps w:val="false"/>
                <w:sz w:val="20"/>
              </w:rPr>
              <w: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Lender, L/C Issuer and Swingline Lender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Gary Forlenza</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Senior Vice President</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55" w:type="dxa"/>
        <w:jc w:val="left"/>
        <w:tblInd w:w="0" w:type="dxa"/>
        <w:tblLayout w:type="fixed"/>
        <w:tblCellMar>
          <w:top w:w="0" w:type="dxa"/>
          <w:left w:w="0" w:type="dxa"/>
          <w:bottom w:w="0" w:type="dxa"/>
          <w:right w:w="0" w:type="dxa"/>
        </w:tblCellMar>
      </w:tblPr>
      <w:tblGrid>
        <w:gridCol w:w="60"/>
        <w:gridCol w:w="3695"/>
      </w:tblGrid>
      <w:tr>
        <w:trPr/>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PINNACLE BANK, A TENNESSEE BANK</w:t>
            </w:r>
            <w:r>
              <w:rPr>
                <w:rFonts w:ascii="Times New Roman" w:hAnsi="Times New Roman"/>
                <w:caps w:val="false"/>
                <w:smallCaps w:val="false"/>
                <w:sz w:val="20"/>
              </w:rPr>
              <w: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Lender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Chris Gruehn</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Senior Vice President</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285" w:type="dxa"/>
        <w:jc w:val="left"/>
        <w:tblInd w:w="0" w:type="dxa"/>
        <w:tblLayout w:type="fixed"/>
        <w:tblCellMar>
          <w:top w:w="0" w:type="dxa"/>
          <w:left w:w="0" w:type="dxa"/>
          <w:bottom w:w="0" w:type="dxa"/>
          <w:right w:w="0" w:type="dxa"/>
        </w:tblCellMar>
      </w:tblPr>
      <w:tblGrid>
        <w:gridCol w:w="60"/>
        <w:gridCol w:w="2225"/>
      </w:tblGrid>
      <w:tr>
        <w:trPr/>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CITY NATIONAL BANK</w:t>
            </w:r>
            <w:r>
              <w:rPr>
                <w:rFonts w:ascii="Times New Roman" w:hAnsi="Times New Roman"/>
                <w:caps w:val="false"/>
                <w:smallCaps w:val="false"/>
                <w:sz w:val="20"/>
              </w:rPr>
              <w: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Lender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15" w:type="dxa"/>
        <w:jc w:val="left"/>
        <w:tblInd w:w="0" w:type="dxa"/>
        <w:tblLayout w:type="fixed"/>
        <w:tblCellMar>
          <w:top w:w="0" w:type="dxa"/>
          <w:left w:w="0" w:type="dxa"/>
          <w:bottom w:w="0" w:type="dxa"/>
          <w:right w:w="0" w:type="dxa"/>
        </w:tblCellMar>
      </w:tblPr>
      <w:tblGrid>
        <w:gridCol w:w="60"/>
        <w:gridCol w:w="5255"/>
      </w:tblGrid>
      <w:tr>
        <w:trPr/>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THE TORONTO-DOMINION BANK, NEW YORK BRANCH</w:t>
            </w:r>
            <w:r>
              <w:rPr>
                <w:rFonts w:ascii="Times New Roman" w:hAnsi="Times New Roman"/>
                <w:caps w:val="false"/>
                <w:smallCaps w:val="false"/>
                <w:sz w:val="20"/>
              </w:rPr>
              <w: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Lender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w:t>
            </w:r>
          </w:p>
        </w:tc>
      </w:tr>
      <w:tr>
        <w:trPr/>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22" w:name="ex_1000730.htm"/>
      <w:bookmarkStart w:id="23" w:name="ksex_1000730"/>
      <w:bookmarkEnd w:id="22"/>
      <w:bookmarkEnd w:id="23"/>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RULES 13a-14(a) AND 15d-14(a) UNDER THE SECURITIES EXCHANGE ACT OF 1934,</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Irwin D. Simon, certify that:</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170"/>
        <w:gridCol w:w="4370"/>
      </w:tblGrid>
      <w:tr>
        <w:trPr/>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43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Form 10-Q of Tilray Brands,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5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9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1006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4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1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460" w:type="dxa"/>
        <w:jc w:val="left"/>
        <w:tblInd w:w="0" w:type="dxa"/>
        <w:tblLayout w:type="fixed"/>
        <w:tblCellMar>
          <w:top w:w="0" w:type="dxa"/>
          <w:left w:w="0" w:type="dxa"/>
          <w:bottom w:w="0" w:type="dxa"/>
          <w:right w:w="0" w:type="dxa"/>
        </w:tblCellMar>
      </w:tblPr>
      <w:tblGrid>
        <w:gridCol w:w="1805"/>
        <w:gridCol w:w="60"/>
        <w:gridCol w:w="320"/>
        <w:gridCol w:w="3275"/>
      </w:tblGrid>
      <w:tr>
        <w:trPr/>
        <w:tc>
          <w:tcPr>
            <w:tcW w:w="18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October 8,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327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Irwin D. Simon</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Irwin D. Simon</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24" w:name="ex_1000731.htm"/>
      <w:bookmarkStart w:id="25" w:name="ksex_1000731"/>
      <w:bookmarkEnd w:id="24"/>
      <w:bookmarkEnd w:id="25"/>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RULES 13a-14(a) AND 15d-14(a) UNDER THE SECURITIES EXCHANGE ACT OF 1934,</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Carl A. Merton, certify that:</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170"/>
        <w:gridCol w:w="4370"/>
      </w:tblGrid>
      <w:tr>
        <w:trPr/>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43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Form 10-Q of Tilray Brands,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5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9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1006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4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1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155" w:type="dxa"/>
        <w:jc w:val="left"/>
        <w:tblInd w:w="0" w:type="dxa"/>
        <w:tblLayout w:type="fixed"/>
        <w:tblCellMar>
          <w:top w:w="0" w:type="dxa"/>
          <w:left w:w="0" w:type="dxa"/>
          <w:bottom w:w="0" w:type="dxa"/>
          <w:right w:w="0" w:type="dxa"/>
        </w:tblCellMar>
      </w:tblPr>
      <w:tblGrid>
        <w:gridCol w:w="1805"/>
        <w:gridCol w:w="60"/>
        <w:gridCol w:w="320"/>
        <w:gridCol w:w="1970"/>
      </w:tblGrid>
      <w:tr>
        <w:trPr/>
        <w:tc>
          <w:tcPr>
            <w:tcW w:w="18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October 8,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197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Carl A. Merton</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Carl A. Merton</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26" w:name="ex_1000732.htm"/>
      <w:bookmarkStart w:id="27" w:name="ksex_1000732"/>
      <w:bookmarkEnd w:id="26"/>
      <w:bookmarkEnd w:id="27"/>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18 U.S.C. SECTION 1350, AS ADOPTED PURSUANT TO</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Tilray Brands, Inc. (the “Company”) on Form 10-Q for the period ending </w:t>
      </w:r>
      <w:bookmarkStart w:id="28" w:name="led276483F20227121660341970993"/>
      <w:bookmarkEnd w:id="28"/>
      <w:r>
        <w:rPr>
          <w:rFonts w:ascii="Times New Roman" w:hAnsi="Times New Roman"/>
          <w:caps w:val="false"/>
          <w:smallCaps w:val="false"/>
          <w:sz w:val="20"/>
        </w:rPr>
        <w:t>August 31, 2026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60"/>
        <w:gridCol w:w="245"/>
        <w:gridCol w:w="956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95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99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460" w:type="dxa"/>
        <w:jc w:val="left"/>
        <w:tblInd w:w="0" w:type="dxa"/>
        <w:tblLayout w:type="fixed"/>
        <w:tblCellMar>
          <w:top w:w="0" w:type="dxa"/>
          <w:left w:w="0" w:type="dxa"/>
          <w:bottom w:w="0" w:type="dxa"/>
          <w:right w:w="0" w:type="dxa"/>
        </w:tblCellMar>
      </w:tblPr>
      <w:tblGrid>
        <w:gridCol w:w="1805"/>
        <w:gridCol w:w="60"/>
        <w:gridCol w:w="320"/>
        <w:gridCol w:w="3275"/>
      </w:tblGrid>
      <w:tr>
        <w:trPr/>
        <w:tc>
          <w:tcPr>
            <w:tcW w:w="18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October 8,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327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Irwin D. Simon</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Irwin D. Simon</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29" w:name="ex_1000733.htm"/>
      <w:bookmarkStart w:id="30" w:name="ksex_1000733"/>
      <w:bookmarkEnd w:id="29"/>
      <w:bookmarkEnd w:id="30"/>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18 U.S.C. SECTION 1350, AS ADOPTED PURSUANT TO</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Tilray Brands, Inc. (the “Company”) on Form 10-Q for the period ending </w:t>
      </w:r>
      <w:bookmarkStart w:id="31" w:name="led276483F20227121660341998326"/>
      <w:bookmarkEnd w:id="31"/>
      <w:r>
        <w:rPr>
          <w:rFonts w:ascii="Times New Roman" w:hAnsi="Times New Roman"/>
          <w:caps w:val="false"/>
          <w:smallCaps w:val="false"/>
          <w:sz w:val="20"/>
        </w:rPr>
        <w:t>August 31, 2026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60"/>
        <w:gridCol w:w="245"/>
        <w:gridCol w:w="956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95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99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155" w:type="dxa"/>
        <w:jc w:val="left"/>
        <w:tblInd w:w="0" w:type="dxa"/>
        <w:tblLayout w:type="fixed"/>
        <w:tblCellMar>
          <w:top w:w="0" w:type="dxa"/>
          <w:left w:w="0" w:type="dxa"/>
          <w:bottom w:w="0" w:type="dxa"/>
          <w:right w:w="0" w:type="dxa"/>
        </w:tblCellMar>
      </w:tblPr>
      <w:tblGrid>
        <w:gridCol w:w="1805"/>
        <w:gridCol w:w="60"/>
        <w:gridCol w:w="320"/>
        <w:gridCol w:w="1970"/>
      </w:tblGrid>
      <w:tr>
        <w:trPr/>
        <w:tc>
          <w:tcPr>
            <w:tcW w:w="18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October 8,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197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Carl A. Merton</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Carl A. Merton</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31348/000143774925036448/ex_892363.htm" TargetMode="External"/><Relationship Id="rId3" Type="http://schemas.openxmlformats.org/officeDocument/2006/relationships/hyperlink" Target="http://www.sec.gov/Archives/edgar/data/1731348/000143774926024698/ex_993238.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31601</Words>
  <Characters>177508</Characters>
  <CharactersWithSpaces>213265</CharactersWithSpaces>
  <Paragraphs>10395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