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0" w:lineRule="exact"/>
        <w:rPr>
          <w:sz w:val="24"/>
          <w:szCs w:val="24"/>
          <w:color w:val="auto"/>
        </w:rPr>
      </w:pPr>
    </w:p>
    <w:p>
      <w:pPr>
        <w:jc w:val="right"/>
        <w:ind w:right="599"/>
        <w:spacing w:after="0"/>
        <w:rPr>
          <w:sz w:val="20"/>
          <w:szCs w:val="20"/>
          <w:color w:val="auto"/>
        </w:rPr>
      </w:pPr>
      <w:r>
        <w:rPr>
          <w:rFonts w:ascii="Times New Roman" w:cs="Times New Roman" w:eastAsia="Times New Roman" w:hAnsi="Times New Roman"/>
          <w:sz w:val="17"/>
          <w:szCs w:val="17"/>
          <w:b w:val="1"/>
          <w:bCs w:val="1"/>
          <w:color w:val="auto"/>
        </w:rPr>
        <w:t>Filed Pursuant to Rule 424(b)(5)</w:t>
      </w:r>
    </w:p>
    <w:p>
      <w:pPr>
        <w:spacing w:after="0" w:line="33" w:lineRule="exact"/>
        <w:rPr>
          <w:sz w:val="24"/>
          <w:szCs w:val="24"/>
          <w:color w:val="auto"/>
        </w:rPr>
      </w:pPr>
    </w:p>
    <w:p>
      <w:pPr>
        <w:jc w:val="right"/>
        <w:ind w:right="559"/>
        <w:spacing w:after="0"/>
        <w:rPr>
          <w:sz w:val="20"/>
          <w:szCs w:val="20"/>
          <w:color w:val="auto"/>
        </w:rPr>
      </w:pPr>
      <w:r>
        <w:rPr>
          <w:rFonts w:ascii="Times New Roman" w:cs="Times New Roman" w:eastAsia="Times New Roman" w:hAnsi="Times New Roman"/>
          <w:sz w:val="17"/>
          <w:szCs w:val="17"/>
          <w:b w:val="1"/>
          <w:bCs w:val="1"/>
          <w:color w:val="auto"/>
        </w:rPr>
        <w:t>Registration No. 333-290806</w:t>
      </w:r>
    </w:p>
    <w:p>
      <w:pPr>
        <w:spacing w:after="0" w:line="332"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33"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(To Prospectus dated October 9, 2025)</w:t>
      </w:r>
    </w:p>
    <w:p>
      <w:pPr>
        <w:spacing w:after="0" w:line="3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Up to $180,000,000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2032000</wp:posOffset>
            </wp:positionH>
            <wp:positionV relativeFrom="paragraph">
              <wp:posOffset>156210</wp:posOffset>
            </wp:positionV>
            <wp:extent cx="1664335" cy="4470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64335" cy="447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7"/>
          <w:szCs w:val="17"/>
          <w:color w:val="auto"/>
        </w:rPr>
        <w:t> </w:t>
      </w:r>
    </w:p>
    <w:p>
      <w:pPr>
        <w:spacing w:after="0" w:line="365"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21"/>
          <w:szCs w:val="21"/>
          <w:b w:val="1"/>
          <w:bCs w:val="1"/>
          <w:color w:val="auto"/>
        </w:rPr>
        <w:t>Tilray Brands, Inc.</w:t>
      </w:r>
    </w:p>
    <w:p>
      <w:pPr>
        <w:spacing w:after="0" w:line="2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21"/>
          <w:szCs w:val="21"/>
          <w:b w:val="1"/>
          <w:bCs w:val="1"/>
          <w:color w:val="auto"/>
        </w:rPr>
        <w:t>Common Stock</w:t>
      </w:r>
    </w:p>
    <w:p>
      <w:pPr>
        <w:spacing w:after="0" w:line="88" w:lineRule="exact"/>
        <w:rPr>
          <w:sz w:val="24"/>
          <w:szCs w:val="24"/>
          <w:color w:val="auto"/>
        </w:rPr>
      </w:pPr>
    </w:p>
    <w:p>
      <w:pPr>
        <w:ind w:left="540" w:right="819" w:firstLine="348"/>
        <w:spacing w:after="0" w:line="266" w:lineRule="auto"/>
        <w:rPr>
          <w:sz w:val="20"/>
          <w:szCs w:val="20"/>
          <w:color w:val="auto"/>
        </w:rPr>
      </w:pPr>
      <w:r>
        <w:rPr>
          <w:rFonts w:ascii="Times New Roman" w:cs="Times New Roman" w:eastAsia="Times New Roman" w:hAnsi="Times New Roman"/>
          <w:sz w:val="17"/>
          <w:szCs w:val="17"/>
          <w:color w:val="auto"/>
        </w:rPr>
        <w:t>This prospectus supplement amends and supplements the prospectus filed October 9, 2025. This prospectus supplement should be read together with the accompanying prospectus, which is to be delivered with this prospectus supplement. This prospectus supplement amends only the cover page and the sections of the accompanying prospectus listed herein.</w:t>
      </w:r>
    </w:p>
    <w:p>
      <w:pPr>
        <w:spacing w:after="0" w:line="60" w:lineRule="exact"/>
        <w:rPr>
          <w:sz w:val="24"/>
          <w:szCs w:val="24"/>
          <w:color w:val="auto"/>
        </w:rPr>
      </w:pPr>
    </w:p>
    <w:p>
      <w:pPr>
        <w:ind w:left="540" w:right="599" w:firstLine="348"/>
        <w:spacing w:after="0"/>
        <w:rPr>
          <w:sz w:val="20"/>
          <w:szCs w:val="20"/>
          <w:color w:val="auto"/>
        </w:rPr>
      </w:pPr>
      <w:r>
        <w:rPr>
          <w:rFonts w:ascii="Times New Roman" w:cs="Times New Roman" w:eastAsia="Times New Roman" w:hAnsi="Times New Roman"/>
          <w:sz w:val="17"/>
          <w:szCs w:val="17"/>
          <w:color w:val="auto"/>
        </w:rPr>
        <w:t>We have entered into an Open Market Sales Agreement</w:t>
      </w:r>
      <w:r>
        <w:rPr>
          <w:rFonts w:ascii="Times New Roman" w:cs="Times New Roman" w:eastAsia="Times New Roman" w:hAnsi="Times New Roman"/>
          <w:sz w:val="28"/>
          <w:szCs w:val="28"/>
          <w:color w:val="auto"/>
          <w:vertAlign w:val="superscript"/>
        </w:rPr>
        <w:t>SM</w:t>
      </w:r>
      <w:r>
        <w:rPr>
          <w:rFonts w:ascii="Times New Roman" w:cs="Times New Roman" w:eastAsia="Times New Roman" w:hAnsi="Times New Roman"/>
          <w:sz w:val="17"/>
          <w:szCs w:val="17"/>
          <w:color w:val="auto"/>
        </w:rPr>
        <w:t xml:space="preserve"> (the “Sales Agreement”) with Jefferies LLC (“Jefferies”), TD Securities (USA) LLC (“TD Securities”) and Roth Capital Partners, LLC (“Roth Capital Partners”), as sales agents (each, a “sales agent” and, collectively, the “sales agents”), relating to shares of our common stock, par value $0.0001 per share (the “Common Stock”) offered by this prospectus supplement and the accompanying prospectus. In accordance with the terms of the Sales Agreement, under this prospectus supplement and the accompanying prospectus, we may offer and sell shares of our Common Stock having an aggregate offering price of up to $180,000,000 from time to time through the sales agents, acting as our sales agents, or directly to the sales agents, acting as principals.</w:t>
      </w:r>
    </w:p>
    <w:p>
      <w:pPr>
        <w:spacing w:after="0" w:line="95" w:lineRule="exact"/>
        <w:rPr>
          <w:sz w:val="24"/>
          <w:szCs w:val="24"/>
          <w:color w:val="auto"/>
        </w:rPr>
      </w:pPr>
    </w:p>
    <w:p>
      <w:pPr>
        <w:ind w:left="540" w:right="879" w:firstLine="348"/>
        <w:spacing w:after="0" w:line="272" w:lineRule="auto"/>
        <w:rPr>
          <w:sz w:val="20"/>
          <w:szCs w:val="20"/>
          <w:color w:val="auto"/>
        </w:rPr>
      </w:pPr>
      <w:r>
        <w:rPr>
          <w:rFonts w:ascii="Times New Roman" w:cs="Times New Roman" w:eastAsia="Times New Roman" w:hAnsi="Times New Roman"/>
          <w:sz w:val="17"/>
          <w:szCs w:val="17"/>
          <w:color w:val="auto"/>
        </w:rPr>
        <w:t>Our Common Stock is listed on The Nasdaq Global Select Market (“Nasdaq”) and the Toronto Stock Exchange (the “TSX”) under the trading symbol “TLRY.” On April 14, 2026, the last sale price of shares of our Common Stock was $6.91 per share on Nasdaq and C$9.52 per share on the TSX.</w:t>
      </w:r>
    </w:p>
    <w:p>
      <w:pPr>
        <w:spacing w:after="0" w:line="66" w:lineRule="exact"/>
        <w:rPr>
          <w:sz w:val="24"/>
          <w:szCs w:val="24"/>
          <w:color w:val="auto"/>
        </w:rPr>
      </w:pPr>
    </w:p>
    <w:p>
      <w:pPr>
        <w:ind w:left="540" w:right="559" w:firstLine="348"/>
        <w:spacing w:after="0" w:line="260" w:lineRule="auto"/>
        <w:rPr>
          <w:sz w:val="20"/>
          <w:szCs w:val="20"/>
          <w:color w:val="auto"/>
        </w:rPr>
      </w:pPr>
      <w:r>
        <w:rPr>
          <w:rFonts w:ascii="Times New Roman" w:cs="Times New Roman" w:eastAsia="Times New Roman" w:hAnsi="Times New Roman"/>
          <w:sz w:val="17"/>
          <w:szCs w:val="17"/>
          <w:color w:val="auto"/>
        </w:rPr>
        <w:t>Sales of our Common Stock, if any, under this prospectus supplement and the accompanying prospectus will be made in sales deemed to be “at the market offerings” as defined in Rule 415(a)(4) promulgated under the Securities Act of 1933, as amended (the “Securities Act”). The sales agents are not required to sell any specific number or dollar amount of securities, but will act as our sales agents using commercially reasonable efforts to sell on our behalf all of the shares of Common Stock requested to be sold by us, consistent with their normal trading and sales practices, on mutually agreed terms between the sales agents and us. There is no arrangement for funds to be received in any escrow, trust, or similar arrangement. Sales of our Common Stock under the Sales Agreement and this prospectus supplement will be made through only one sales agent on any particular trading day.</w:t>
      </w:r>
    </w:p>
    <w:p>
      <w:pPr>
        <w:spacing w:after="0" w:line="79" w:lineRule="exact"/>
        <w:rPr>
          <w:sz w:val="24"/>
          <w:szCs w:val="24"/>
          <w:color w:val="auto"/>
        </w:rPr>
      </w:pPr>
    </w:p>
    <w:p>
      <w:pPr>
        <w:ind w:left="540" w:right="759" w:firstLine="348"/>
        <w:spacing w:after="0" w:line="262" w:lineRule="auto"/>
        <w:rPr>
          <w:sz w:val="20"/>
          <w:szCs w:val="20"/>
          <w:color w:val="auto"/>
        </w:rPr>
      </w:pPr>
      <w:r>
        <w:rPr>
          <w:rFonts w:ascii="Times New Roman" w:cs="Times New Roman" w:eastAsia="Times New Roman" w:hAnsi="Times New Roman"/>
          <w:sz w:val="17"/>
          <w:szCs w:val="17"/>
          <w:color w:val="auto"/>
        </w:rPr>
        <w:t>Each sales agent will be entitled to compensation at a fixed commission rate of up to 3.0% of the gross sales price per share sold under the Sales Agreement. In connection with the sale of our Common Stock on our behalf, each sales agent will be deemed to be an “underwriter” within the meaning of the Securities Act, and the compensation of each sales agent will be deemed to be underwriting commissions or discounts. We have also agreed to provide indemnification and contribution to the sales agents with respect to certain liabilities, including liabilities under the Securities Act.</w:t>
      </w:r>
    </w:p>
    <w:p>
      <w:pPr>
        <w:spacing w:after="0" w:line="70" w:lineRule="exact"/>
        <w:rPr>
          <w:sz w:val="24"/>
          <w:szCs w:val="24"/>
          <w:color w:val="auto"/>
        </w:rPr>
      </w:pPr>
    </w:p>
    <w:p>
      <w:pPr>
        <w:ind w:left="540" w:right="639" w:firstLine="348"/>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Investing in our Common Stock involves risks. See “Risk Factors” on page S-</w:t>
      </w:r>
      <w:r>
        <w:rPr>
          <w:rFonts w:ascii="Times New Roman" w:cs="Times New Roman" w:eastAsia="Times New Roman" w:hAnsi="Times New Roman"/>
          <w:sz w:val="17"/>
          <w:szCs w:val="17"/>
          <w:b w:val="1"/>
          <w:bCs w:val="1"/>
          <w:i w:val="1"/>
          <w:iCs w:val="1"/>
          <w:u w:val="single" w:color="auto"/>
          <w:color w:val="0000EE"/>
        </w:rPr>
        <w:t>4</w:t>
      </w:r>
      <w:r>
        <w:rPr>
          <w:rFonts w:ascii="Times New Roman" w:cs="Times New Roman" w:eastAsia="Times New Roman" w:hAnsi="Times New Roman"/>
          <w:sz w:val="17"/>
          <w:szCs w:val="17"/>
          <w:b w:val="1"/>
          <w:bCs w:val="1"/>
          <w:i w:val="1"/>
          <w:iCs w:val="1"/>
          <w:color w:val="auto"/>
        </w:rPr>
        <w:t xml:space="preserve"> of this prospectus supplement, and on page </w:t>
      </w:r>
      <w:r>
        <w:rPr>
          <w:rFonts w:ascii="Times New Roman" w:cs="Times New Roman" w:eastAsia="Times New Roman" w:hAnsi="Times New Roman"/>
          <w:sz w:val="17"/>
          <w:szCs w:val="17"/>
          <w:b w:val="1"/>
          <w:bCs w:val="1"/>
          <w:i w:val="1"/>
          <w:iCs w:val="1"/>
          <w:u w:val="single" w:color="auto"/>
          <w:color w:val="0000EE"/>
        </w:rPr>
        <w:t>5</w:t>
      </w:r>
      <w:r>
        <w:rPr>
          <w:rFonts w:ascii="Times New Roman" w:cs="Times New Roman" w:eastAsia="Times New Roman" w:hAnsi="Times New Roman"/>
          <w:sz w:val="17"/>
          <w:szCs w:val="17"/>
          <w:b w:val="1"/>
          <w:bCs w:val="1"/>
          <w:i w:val="1"/>
          <w:iCs w:val="1"/>
          <w:color w:val="auto"/>
        </w:rPr>
        <w:t xml:space="preserve"> of the accompanying prospectus, as well as our other filings that are incorporated by reference into this prospectus supplement and the accompanying prospectus.</w:t>
      </w:r>
    </w:p>
    <w:p>
      <w:pPr>
        <w:spacing w:after="0" w:line="60" w:lineRule="exact"/>
        <w:rPr>
          <w:sz w:val="24"/>
          <w:szCs w:val="24"/>
          <w:color w:val="auto"/>
        </w:rPr>
      </w:pPr>
    </w:p>
    <w:p>
      <w:pPr>
        <w:jc w:val="both"/>
        <w:ind w:left="540" w:right="639" w:firstLine="348"/>
        <w:spacing w:after="0" w:line="274"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61" w:lineRule="exact"/>
        <w:rPr>
          <w:sz w:val="24"/>
          <w:szCs w:val="24"/>
          <w:color w:val="auto"/>
        </w:rPr>
      </w:pPr>
    </w:p>
    <w:p>
      <w:pPr>
        <w:ind w:left="540" w:right="559" w:firstLine="348"/>
        <w:spacing w:after="0" w:line="263" w:lineRule="auto"/>
        <w:rPr>
          <w:sz w:val="20"/>
          <w:szCs w:val="20"/>
          <w:color w:val="auto"/>
        </w:rPr>
      </w:pPr>
      <w:r>
        <w:rPr>
          <w:rFonts w:ascii="Times New Roman" w:cs="Times New Roman" w:eastAsia="Times New Roman" w:hAnsi="Times New Roman"/>
          <w:sz w:val="17"/>
          <w:szCs w:val="17"/>
          <w:b w:val="1"/>
          <w:bCs w:val="1"/>
          <w:color w:val="auto"/>
        </w:rPr>
        <w:t>The Common Stock offered by this prospectus supplement has not been and will not be qualified for sale under the securities law of any province or territory of Canada and may not be offered or sold under the Sales Agreement in Canada. This prospectus supplement and the accompanying prospectus have not been filed in respect of, and will not qualify, any distribution of the Common Stock in any province or territory of Canada. No Common Stock will be sold on the Toronto Stock Exchange or on other trading markets in Canada as at-the-market distributions.</w:t>
      </w:r>
    </w:p>
    <w:p>
      <w:pPr>
        <w:spacing w:after="0" w:line="161" w:lineRule="exact"/>
        <w:rPr>
          <w:sz w:val="24"/>
          <w:szCs w:val="24"/>
          <w:color w:val="auto"/>
        </w:rPr>
      </w:pPr>
    </w:p>
    <w:p>
      <w:pPr>
        <w:ind w:left="1420"/>
        <w:spacing w:after="0"/>
        <w:tabs>
          <w:tab w:leader="none" w:pos="3880" w:val="left"/>
          <w:tab w:leader="none" w:pos="6200" w:val="left"/>
        </w:tabs>
        <w:rPr>
          <w:sz w:val="20"/>
          <w:szCs w:val="20"/>
          <w:color w:val="auto"/>
        </w:rPr>
      </w:pPr>
      <w:r>
        <w:rPr>
          <w:rFonts w:ascii="Times New Roman" w:cs="Times New Roman" w:eastAsia="Times New Roman" w:hAnsi="Times New Roman"/>
          <w:sz w:val="21"/>
          <w:szCs w:val="21"/>
          <w:b w:val="1"/>
          <w:bCs w:val="1"/>
          <w:color w:val="auto"/>
        </w:rPr>
        <w:t>Jefferies</w:t>
      </w:r>
      <w:r>
        <w:rPr>
          <w:sz w:val="20"/>
          <w:szCs w:val="20"/>
          <w:color w:val="auto"/>
        </w:rPr>
        <w:tab/>
      </w:r>
      <w:r>
        <w:rPr>
          <w:rFonts w:ascii="Times New Roman" w:cs="Times New Roman" w:eastAsia="Times New Roman" w:hAnsi="Times New Roman"/>
          <w:sz w:val="21"/>
          <w:szCs w:val="21"/>
          <w:b w:val="1"/>
          <w:bCs w:val="1"/>
          <w:color w:val="auto"/>
        </w:rPr>
        <w:t>TD Securities</w:t>
      </w:r>
      <w:r>
        <w:rPr>
          <w:sz w:val="20"/>
          <w:szCs w:val="20"/>
          <w:color w:val="auto"/>
        </w:rPr>
        <w:tab/>
      </w:r>
      <w:r>
        <w:rPr>
          <w:rFonts w:ascii="Times New Roman" w:cs="Times New Roman" w:eastAsia="Times New Roman" w:hAnsi="Times New Roman"/>
          <w:sz w:val="20"/>
          <w:szCs w:val="20"/>
          <w:b w:val="1"/>
          <w:bCs w:val="1"/>
          <w:color w:val="auto"/>
        </w:rPr>
        <w:t>Roth Capital Partners</w:t>
      </w:r>
    </w:p>
    <w:p>
      <w:pPr>
        <w:sectPr>
          <w:pgSz w:w="11900" w:h="16838" w:orient="portrait"/>
          <w:cols w:equalWidth="0" w:num="1">
            <w:col w:w="9019"/>
          </w:cols>
          <w:pgMar w:left="1440" w:top="219" w:right="1440" w:bottom="1440" w:gutter="0" w:footer="0" w:header="0"/>
        </w:sectPr>
      </w:pP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This prospectus supplement is dated April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-517525</wp:posOffset>
            </wp:positionH>
            <wp:positionV relativeFrom="paragraph">
              <wp:posOffset>135890</wp:posOffset>
            </wp:positionV>
            <wp:extent cx="675640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19" w:right="1440" w:bottom="1440" w:gutter="0" w:footer="0" w:header="0"/>
          <w:type w:val="continuous"/>
        </w:sectPr>
      </w:pPr>
    </w:p>
    <w:bookmarkStart w:id="1" w:name="page2"/>
    <w:bookmarkEnd w:id="1"/>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tbl>
      <w:tblPr>
        <w:tblLayout w:type="fixed"/>
        <w:tblInd w:w="440" w:type="dxa"/>
        <w:tblCellMar>
          <w:top w:w="0" w:type="dxa"/>
          <w:left w:w="0" w:type="dxa"/>
          <w:bottom w:w="0" w:type="dxa"/>
          <w:right w:w="0" w:type="dxa"/>
        </w:tblCellMar>
      </w:tblPr>
      <w:tr>
        <w:trPr>
          <w:trHeight w:val="229"/>
        </w:trPr>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80" w:type="dxa"/>
            <w:vAlign w:val="bottom"/>
            <w:gridSpan w:val="6"/>
          </w:tcPr>
          <w:p>
            <w:pPr>
              <w:jc w:val="center"/>
              <w:ind w:right="228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48"/>
        </w:trPr>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20" w:type="dxa"/>
            <w:vAlign w:val="bottom"/>
            <w:gridSpan w:val="5"/>
          </w:tcPr>
          <w:p>
            <w:pPr>
              <w:jc w:val="center"/>
              <w:ind w:right="2540"/>
              <w:spacing w:after="0"/>
              <w:rPr>
                <w:sz w:val="20"/>
                <w:szCs w:val="20"/>
                <w:color w:val="auto"/>
              </w:rPr>
            </w:pPr>
            <w:r>
              <w:rPr>
                <w:rFonts w:ascii="Times New Roman" w:cs="Times New Roman" w:eastAsia="Times New Roman" w:hAnsi="Times New Roman"/>
                <w:sz w:val="17"/>
                <w:szCs w:val="17"/>
                <w:b w:val="1"/>
                <w:bCs w:val="1"/>
                <w:color w:val="auto"/>
              </w:rPr>
              <w:t>Prospectus Supplement</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8"/>
        </w:trPr>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74"/>
        </w:trPr>
        <w:tc>
          <w:tcPr>
            <w:tcW w:w="33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7"/>
                <w:szCs w:val="17"/>
                <w:color w:val="0000EE"/>
              </w:rPr>
              <w:t>ABOUT THIS PROSPECTUS SUPPLEMENT</w:t>
            </w:r>
          </w:p>
        </w:tc>
        <w:tc>
          <w:tcPr>
            <w:tcW w:w="4180" w:type="dxa"/>
            <w:vAlign w:val="bottom"/>
            <w:gridSpan w:val="4"/>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340" w:type="dxa"/>
            <w:vAlign w:val="bottom"/>
            <w:gridSpan w:val="7"/>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0000EE"/>
              </w:rPr>
              <w:t>S-ii</w:t>
            </w:r>
          </w:p>
        </w:tc>
      </w:tr>
      <w:tr>
        <w:trPr>
          <w:trHeight w:val="32"/>
        </w:trPr>
        <w:tc>
          <w:tcPr>
            <w:tcW w:w="7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3"/>
        </w:trPr>
        <w:tc>
          <w:tcPr>
            <w:tcW w:w="3320" w:type="dxa"/>
            <w:vAlign w:val="bottom"/>
            <w:gridSpan w:val="13"/>
          </w:tcPr>
          <w:p>
            <w:pPr>
              <w:spacing w:after="0" w:line="183" w:lineRule="exact"/>
              <w:rPr>
                <w:sz w:val="20"/>
                <w:szCs w:val="20"/>
                <w:color w:val="auto"/>
              </w:rPr>
            </w:pPr>
            <w:r>
              <w:rPr>
                <w:rFonts w:ascii="Times New Roman" w:cs="Times New Roman" w:eastAsia="Times New Roman" w:hAnsi="Times New Roman"/>
                <w:sz w:val="17"/>
                <w:szCs w:val="17"/>
                <w:color w:val="0000EE"/>
              </w:rPr>
              <w:t>PROSPECTUS SUPPLEMENT SUMMARY</w:t>
            </w:r>
          </w:p>
        </w:tc>
        <w:tc>
          <w:tcPr>
            <w:tcW w:w="4180" w:type="dxa"/>
            <w:vAlign w:val="bottom"/>
            <w:gridSpan w:val="4"/>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gridSpan w:val="5"/>
          </w:tcPr>
          <w:p>
            <w:pPr>
              <w:jc w:val="right"/>
              <w:ind w:right="20"/>
              <w:spacing w:after="0" w:line="183" w:lineRule="exact"/>
              <w:rPr>
                <w:sz w:val="20"/>
                <w:szCs w:val="20"/>
                <w:color w:val="auto"/>
              </w:rPr>
            </w:pPr>
            <w:r>
              <w:rPr>
                <w:rFonts w:ascii="Times New Roman" w:cs="Times New Roman" w:eastAsia="Times New Roman" w:hAnsi="Times New Roman"/>
                <w:sz w:val="17"/>
                <w:szCs w:val="17"/>
                <w:color w:val="0000EE"/>
                <w:w w:val="92"/>
              </w:rPr>
              <w:t>S-1</w:t>
            </w:r>
          </w:p>
        </w:tc>
      </w:tr>
      <w:tr>
        <w:trPr>
          <w:trHeight w:val="32"/>
        </w:trPr>
        <w:tc>
          <w:tcPr>
            <w:tcW w:w="7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7500" w:type="dxa"/>
            <w:vAlign w:val="bottom"/>
            <w:gridSpan w:val="17"/>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rPr>
              <w:t>RISK FACTORS</w:t>
            </w: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gridSpan w:val="5"/>
            <w:shd w:val="clear" w:color="auto" w:fill="CCEEFF"/>
          </w:tcPr>
          <w:p>
            <w:pPr>
              <w:jc w:val="right"/>
              <w:ind w:right="20"/>
              <w:spacing w:after="0" w:line="183" w:lineRule="exact"/>
              <w:rPr>
                <w:sz w:val="20"/>
                <w:szCs w:val="20"/>
                <w:color w:val="auto"/>
              </w:rPr>
            </w:pPr>
            <w:r>
              <w:rPr>
                <w:rFonts w:ascii="Times New Roman" w:cs="Times New Roman" w:eastAsia="Times New Roman" w:hAnsi="Times New Roman"/>
                <w:sz w:val="17"/>
                <w:szCs w:val="17"/>
                <w:color w:val="0000EE"/>
                <w:w w:val="92"/>
              </w:rPr>
              <w:t>S-4</w:t>
            </w:r>
          </w:p>
        </w:tc>
      </w:tr>
      <w:tr>
        <w:trPr>
          <w:trHeight w:val="32"/>
        </w:trPr>
        <w:tc>
          <w:tcPr>
            <w:tcW w:w="7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3"/>
        </w:trPr>
        <w:tc>
          <w:tcPr>
            <w:tcW w:w="7500" w:type="dxa"/>
            <w:vAlign w:val="bottom"/>
            <w:gridSpan w:val="17"/>
          </w:tcPr>
          <w:p>
            <w:pPr>
              <w:spacing w:after="0" w:line="183" w:lineRule="exact"/>
              <w:rPr>
                <w:sz w:val="20"/>
                <w:szCs w:val="20"/>
                <w:color w:val="auto"/>
              </w:rPr>
            </w:pPr>
            <w:r>
              <w:rPr>
                <w:rFonts w:ascii="Times New Roman" w:cs="Times New Roman" w:eastAsia="Times New Roman" w:hAnsi="Times New Roman"/>
                <w:sz w:val="17"/>
                <w:szCs w:val="17"/>
                <w:color w:val="0000EE"/>
              </w:rPr>
              <w:t>SPECIAL NOTE REGARDING FORWARD-LOOKING STATEMENTS</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gridSpan w:val="5"/>
          </w:tcPr>
          <w:p>
            <w:pPr>
              <w:jc w:val="right"/>
              <w:ind w:right="20"/>
              <w:spacing w:after="0" w:line="183" w:lineRule="exact"/>
              <w:rPr>
                <w:sz w:val="20"/>
                <w:szCs w:val="20"/>
                <w:color w:val="auto"/>
              </w:rPr>
            </w:pPr>
            <w:r>
              <w:rPr>
                <w:rFonts w:ascii="Times New Roman" w:cs="Times New Roman" w:eastAsia="Times New Roman" w:hAnsi="Times New Roman"/>
                <w:sz w:val="17"/>
                <w:szCs w:val="17"/>
                <w:color w:val="0000EE"/>
                <w:w w:val="92"/>
              </w:rPr>
              <w:t>S-6</w:t>
            </w:r>
          </w:p>
        </w:tc>
      </w:tr>
      <w:tr>
        <w:trPr>
          <w:trHeight w:val="32"/>
        </w:trPr>
        <w:tc>
          <w:tcPr>
            <w:tcW w:w="7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3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7500" w:type="dxa"/>
            <w:vAlign w:val="bottom"/>
            <w:gridSpan w:val="17"/>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rPr>
              <w:t>USE OF PROCEEDS</w:t>
            </w: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gridSpan w:val="5"/>
            <w:shd w:val="clear" w:color="auto" w:fill="CCEEFF"/>
          </w:tcPr>
          <w:p>
            <w:pPr>
              <w:jc w:val="right"/>
              <w:ind w:right="20"/>
              <w:spacing w:after="0" w:line="183" w:lineRule="exact"/>
              <w:rPr>
                <w:sz w:val="20"/>
                <w:szCs w:val="20"/>
                <w:color w:val="auto"/>
              </w:rPr>
            </w:pPr>
            <w:r>
              <w:rPr>
                <w:rFonts w:ascii="Times New Roman" w:cs="Times New Roman" w:eastAsia="Times New Roman" w:hAnsi="Times New Roman"/>
                <w:sz w:val="17"/>
                <w:szCs w:val="17"/>
                <w:color w:val="0000EE"/>
                <w:w w:val="92"/>
              </w:rPr>
              <w:t>S-9</w:t>
            </w:r>
          </w:p>
        </w:tc>
      </w:tr>
      <w:tr>
        <w:trPr>
          <w:trHeight w:val="32"/>
        </w:trPr>
        <w:tc>
          <w:tcPr>
            <w:tcW w:w="7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3"/>
        </w:trPr>
        <w:tc>
          <w:tcPr>
            <w:tcW w:w="7500" w:type="dxa"/>
            <w:vAlign w:val="bottom"/>
            <w:gridSpan w:val="17"/>
          </w:tcPr>
          <w:p>
            <w:pPr>
              <w:spacing w:after="0" w:line="183" w:lineRule="exact"/>
              <w:rPr>
                <w:sz w:val="20"/>
                <w:szCs w:val="20"/>
                <w:color w:val="auto"/>
              </w:rPr>
            </w:pPr>
            <w:r>
              <w:rPr>
                <w:rFonts w:ascii="Times New Roman" w:cs="Times New Roman" w:eastAsia="Times New Roman" w:hAnsi="Times New Roman"/>
                <w:sz w:val="17"/>
                <w:szCs w:val="17"/>
                <w:color w:val="0000EE"/>
              </w:rPr>
              <w:t>PLAN OF DISTRIBUTION</w:t>
            </w:r>
          </w:p>
        </w:tc>
        <w:tc>
          <w:tcPr>
            <w:tcW w:w="640" w:type="dxa"/>
            <w:vAlign w:val="bottom"/>
            <w:gridSpan w:val="8"/>
          </w:tcPr>
          <w:p>
            <w:pPr>
              <w:jc w:val="right"/>
              <w:ind w:right="20"/>
              <w:spacing w:after="0" w:line="183" w:lineRule="exact"/>
              <w:rPr>
                <w:sz w:val="20"/>
                <w:szCs w:val="20"/>
                <w:color w:val="auto"/>
              </w:rPr>
            </w:pPr>
            <w:r>
              <w:rPr>
                <w:rFonts w:ascii="Times New Roman" w:cs="Times New Roman" w:eastAsia="Times New Roman" w:hAnsi="Times New Roman"/>
                <w:sz w:val="17"/>
                <w:szCs w:val="17"/>
                <w:color w:val="0000EE"/>
              </w:rPr>
              <w:t>S-10</w:t>
            </w:r>
          </w:p>
        </w:tc>
      </w:tr>
      <w:tr>
        <w:trPr>
          <w:trHeight w:val="32"/>
        </w:trPr>
        <w:tc>
          <w:tcPr>
            <w:tcW w:w="7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7500" w:type="dxa"/>
            <w:vAlign w:val="bottom"/>
            <w:gridSpan w:val="17"/>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rPr>
              <w:t>LEGAL MATTERS</w:t>
            </w:r>
          </w:p>
        </w:tc>
        <w:tc>
          <w:tcPr>
            <w:tcW w:w="640" w:type="dxa"/>
            <w:vAlign w:val="bottom"/>
            <w:gridSpan w:val="8"/>
            <w:shd w:val="clear" w:color="auto" w:fill="CCEEFF"/>
          </w:tcPr>
          <w:p>
            <w:pPr>
              <w:jc w:val="right"/>
              <w:ind w:right="20"/>
              <w:spacing w:after="0" w:line="183" w:lineRule="exact"/>
              <w:rPr>
                <w:sz w:val="20"/>
                <w:szCs w:val="20"/>
                <w:color w:val="auto"/>
              </w:rPr>
            </w:pPr>
            <w:r>
              <w:rPr>
                <w:rFonts w:ascii="Times New Roman" w:cs="Times New Roman" w:eastAsia="Times New Roman" w:hAnsi="Times New Roman"/>
                <w:sz w:val="17"/>
                <w:szCs w:val="17"/>
                <w:color w:val="0000EE"/>
              </w:rPr>
              <w:t>S-12</w:t>
            </w:r>
          </w:p>
        </w:tc>
      </w:tr>
      <w:tr>
        <w:trPr>
          <w:trHeight w:val="32"/>
        </w:trPr>
        <w:tc>
          <w:tcPr>
            <w:tcW w:w="7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3"/>
        </w:trPr>
        <w:tc>
          <w:tcPr>
            <w:tcW w:w="1400" w:type="dxa"/>
            <w:vAlign w:val="bottom"/>
            <w:gridSpan w:val="3"/>
          </w:tcPr>
          <w:p>
            <w:pPr>
              <w:spacing w:after="0" w:line="183" w:lineRule="exact"/>
              <w:rPr>
                <w:sz w:val="20"/>
                <w:szCs w:val="20"/>
                <w:color w:val="auto"/>
              </w:rPr>
            </w:pPr>
            <w:r>
              <w:rPr>
                <w:rFonts w:ascii="Times New Roman" w:cs="Times New Roman" w:eastAsia="Times New Roman" w:hAnsi="Times New Roman"/>
                <w:sz w:val="17"/>
                <w:szCs w:val="17"/>
                <w:color w:val="0000EE"/>
              </w:rPr>
              <w:t>EXPERTS</w:t>
            </w:r>
          </w:p>
        </w:tc>
        <w:tc>
          <w:tcPr>
            <w:tcW w:w="6100" w:type="dxa"/>
            <w:vAlign w:val="bottom"/>
            <w:gridSpan w:val="14"/>
          </w:tcPr>
          <w:p>
            <w:pPr>
              <w:spacing w:after="0"/>
              <w:rPr>
                <w:sz w:val="15"/>
                <w:szCs w:val="15"/>
                <w:color w:val="auto"/>
              </w:rPr>
            </w:pPr>
          </w:p>
        </w:tc>
        <w:tc>
          <w:tcPr>
            <w:tcW w:w="640" w:type="dxa"/>
            <w:vAlign w:val="bottom"/>
            <w:gridSpan w:val="8"/>
          </w:tcPr>
          <w:p>
            <w:pPr>
              <w:jc w:val="right"/>
              <w:ind w:right="20"/>
              <w:spacing w:after="0" w:line="183" w:lineRule="exact"/>
              <w:rPr>
                <w:sz w:val="20"/>
                <w:szCs w:val="20"/>
                <w:color w:val="auto"/>
              </w:rPr>
            </w:pPr>
            <w:r>
              <w:rPr>
                <w:rFonts w:ascii="Times New Roman" w:cs="Times New Roman" w:eastAsia="Times New Roman" w:hAnsi="Times New Roman"/>
                <w:sz w:val="17"/>
                <w:szCs w:val="17"/>
                <w:color w:val="0000EE"/>
              </w:rPr>
              <w:t>S-12</w:t>
            </w:r>
          </w:p>
        </w:tc>
      </w:tr>
      <w:tr>
        <w:trPr>
          <w:trHeight w:val="32"/>
        </w:trPr>
        <w:tc>
          <w:tcPr>
            <w:tcW w:w="74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3680" w:type="dxa"/>
            <w:vAlign w:val="bottom"/>
            <w:gridSpan w:val="14"/>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rPr>
              <w:t>WHERE YOU CAN FIND MORE INFORMATION</w:t>
            </w:r>
          </w:p>
        </w:tc>
        <w:tc>
          <w:tcPr>
            <w:tcW w:w="3820" w:type="dxa"/>
            <w:vAlign w:val="bottom"/>
            <w:gridSpan w:val="3"/>
            <w:shd w:val="clear" w:color="auto" w:fill="CCEEFF"/>
          </w:tcPr>
          <w:p>
            <w:pPr>
              <w:spacing w:after="0"/>
              <w:rPr>
                <w:sz w:val="15"/>
                <w:szCs w:val="15"/>
                <w:color w:val="auto"/>
              </w:rPr>
            </w:pPr>
          </w:p>
        </w:tc>
        <w:tc>
          <w:tcPr>
            <w:tcW w:w="640" w:type="dxa"/>
            <w:vAlign w:val="bottom"/>
            <w:gridSpan w:val="8"/>
            <w:shd w:val="clear" w:color="auto" w:fill="CCEEFF"/>
          </w:tcPr>
          <w:p>
            <w:pPr>
              <w:jc w:val="right"/>
              <w:ind w:right="20"/>
              <w:spacing w:after="0" w:line="183" w:lineRule="exact"/>
              <w:rPr>
                <w:sz w:val="20"/>
                <w:szCs w:val="20"/>
                <w:color w:val="auto"/>
              </w:rPr>
            </w:pPr>
            <w:r>
              <w:rPr>
                <w:rFonts w:ascii="Times New Roman" w:cs="Times New Roman" w:eastAsia="Times New Roman" w:hAnsi="Times New Roman"/>
                <w:sz w:val="17"/>
                <w:szCs w:val="17"/>
                <w:color w:val="0000EE"/>
              </w:rPr>
              <w:t>S-12</w:t>
            </w:r>
          </w:p>
        </w:tc>
      </w:tr>
      <w:tr>
        <w:trPr>
          <w:trHeight w:val="32"/>
        </w:trPr>
        <w:tc>
          <w:tcPr>
            <w:tcW w:w="7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3"/>
        </w:trPr>
        <w:tc>
          <w:tcPr>
            <w:tcW w:w="5000" w:type="dxa"/>
            <w:vAlign w:val="bottom"/>
            <w:gridSpan w:val="15"/>
          </w:tcPr>
          <w:p>
            <w:pPr>
              <w:spacing w:after="0" w:line="183" w:lineRule="exact"/>
              <w:rPr>
                <w:sz w:val="20"/>
                <w:szCs w:val="20"/>
                <w:color w:val="auto"/>
              </w:rPr>
            </w:pPr>
            <w:r>
              <w:rPr>
                <w:rFonts w:ascii="Times New Roman" w:cs="Times New Roman" w:eastAsia="Times New Roman" w:hAnsi="Times New Roman"/>
                <w:sz w:val="17"/>
                <w:szCs w:val="17"/>
                <w:color w:val="0000EE"/>
              </w:rPr>
              <w:t>INCORPORATION OF CERTAIN INFORMATION BY REFERENCE</w:t>
            </w:r>
          </w:p>
        </w:tc>
        <w:tc>
          <w:tcPr>
            <w:tcW w:w="2500" w:type="dxa"/>
            <w:vAlign w:val="bottom"/>
            <w:gridSpan w:val="2"/>
          </w:tcPr>
          <w:p>
            <w:pPr>
              <w:spacing w:after="0"/>
              <w:rPr>
                <w:sz w:val="15"/>
                <w:szCs w:val="15"/>
                <w:color w:val="auto"/>
              </w:rPr>
            </w:pPr>
          </w:p>
        </w:tc>
        <w:tc>
          <w:tcPr>
            <w:tcW w:w="640" w:type="dxa"/>
            <w:vAlign w:val="bottom"/>
            <w:gridSpan w:val="8"/>
          </w:tcPr>
          <w:p>
            <w:pPr>
              <w:jc w:val="right"/>
              <w:ind w:right="20"/>
              <w:spacing w:after="0" w:line="183" w:lineRule="exact"/>
              <w:rPr>
                <w:sz w:val="20"/>
                <w:szCs w:val="20"/>
                <w:color w:val="auto"/>
              </w:rPr>
            </w:pPr>
            <w:r>
              <w:rPr>
                <w:rFonts w:ascii="Times New Roman" w:cs="Times New Roman" w:eastAsia="Times New Roman" w:hAnsi="Times New Roman"/>
                <w:sz w:val="17"/>
                <w:szCs w:val="17"/>
                <w:color w:val="0000EE"/>
              </w:rPr>
              <w:t>S-13</w:t>
            </w:r>
          </w:p>
        </w:tc>
      </w:tr>
      <w:tr>
        <w:trPr>
          <w:trHeight w:val="593"/>
        </w:trPr>
        <w:tc>
          <w:tcPr>
            <w:tcW w:w="7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80" w:type="dxa"/>
            <w:vAlign w:val="bottom"/>
            <w:tcBorders>
              <w:top w:val="single" w:sz="8" w:color="0000EE"/>
            </w:tcBorders>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Prospectus</w:t>
            </w:r>
          </w:p>
        </w:tc>
        <w:tc>
          <w:tcPr>
            <w:tcW w:w="250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78"/>
        </w:trPr>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306"/>
        </w:trPr>
        <w:tc>
          <w:tcPr>
            <w:tcW w:w="750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7"/>
                <w:szCs w:val="17"/>
                <w:color w:val="0000EE"/>
              </w:rPr>
              <w:t>ABOUT THIS PROSPECTUS</w:t>
            </w:r>
          </w:p>
        </w:tc>
        <w:tc>
          <w:tcPr>
            <w:tcW w:w="3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000EE"/>
                <w:w w:val="84"/>
              </w:rPr>
              <w:t>ii</w:t>
            </w:r>
          </w:p>
        </w:tc>
      </w:tr>
      <w:tr>
        <w:trPr>
          <w:trHeight w:val="183"/>
        </w:trPr>
        <w:tc>
          <w:tcPr>
            <w:tcW w:w="2140" w:type="dxa"/>
            <w:vAlign w:val="bottom"/>
            <w:tcBorders>
              <w:top w:val="single" w:sz="8" w:color="0000EE"/>
            </w:tcBorders>
            <w:gridSpan w:val="7"/>
          </w:tcPr>
          <w:p>
            <w:pPr>
              <w:spacing w:after="0" w:line="183" w:lineRule="exact"/>
              <w:rPr>
                <w:sz w:val="20"/>
                <w:szCs w:val="20"/>
                <w:color w:val="auto"/>
              </w:rPr>
            </w:pPr>
            <w:r>
              <w:rPr>
                <w:rFonts w:ascii="Times New Roman" w:cs="Times New Roman" w:eastAsia="Times New Roman" w:hAnsi="Times New Roman"/>
                <w:sz w:val="17"/>
                <w:szCs w:val="17"/>
                <w:color w:val="0000EE"/>
              </w:rPr>
              <w:t>PROSPECTUS SUMMARY</w:t>
            </w:r>
          </w:p>
        </w:tc>
        <w:tc>
          <w:tcPr>
            <w:tcW w:w="5360" w:type="dxa"/>
            <w:vAlign w:val="bottom"/>
            <w:tcBorders>
              <w:top w:val="single" w:sz="8" w:color="CCEEFF"/>
            </w:tcBorders>
            <w:gridSpan w:val="10"/>
          </w:tcPr>
          <w:p>
            <w:pPr>
              <w:spacing w:after="0"/>
              <w:rPr>
                <w:sz w:val="15"/>
                <w:szCs w:val="15"/>
                <w:color w:val="auto"/>
              </w:rPr>
            </w:pPr>
          </w:p>
        </w:tc>
        <w:tc>
          <w:tcPr>
            <w:tcW w:w="520" w:type="dxa"/>
            <w:vAlign w:val="bottom"/>
            <w:tcBorders>
              <w:top w:val="single" w:sz="8" w:color="CCEEFF"/>
            </w:tcBorders>
            <w:gridSpan w:val="5"/>
          </w:tcPr>
          <w:p>
            <w:pPr>
              <w:spacing w:after="0"/>
              <w:rPr>
                <w:sz w:val="15"/>
                <w:szCs w:val="15"/>
                <w:color w:val="auto"/>
              </w:rPr>
            </w:pPr>
          </w:p>
        </w:tc>
        <w:tc>
          <w:tcPr>
            <w:tcW w:w="100" w:type="dxa"/>
            <w:vAlign w:val="bottom"/>
            <w:tcBorders>
              <w:top w:val="single" w:sz="8" w:color="0000EE"/>
            </w:tcBorders>
            <w:gridSpan w:val="2"/>
          </w:tcPr>
          <w:p>
            <w:pPr>
              <w:jc w:val="right"/>
              <w:spacing w:after="0" w:line="183" w:lineRule="exact"/>
              <w:rPr>
                <w:sz w:val="20"/>
                <w:szCs w:val="20"/>
                <w:color w:val="auto"/>
              </w:rPr>
            </w:pPr>
            <w:r>
              <w:rPr>
                <w:rFonts w:ascii="Times New Roman" w:cs="Times New Roman" w:eastAsia="Times New Roman" w:hAnsi="Times New Roman"/>
                <w:sz w:val="17"/>
                <w:szCs w:val="17"/>
                <w:color w:val="0000EE"/>
                <w:w w:val="93"/>
              </w:rPr>
              <w:t>1</w:t>
            </w:r>
          </w:p>
        </w:tc>
        <w:tc>
          <w:tcPr>
            <w:tcW w:w="20" w:type="dxa"/>
            <w:vAlign w:val="bottom"/>
            <w:tcBorders>
              <w:top w:val="single" w:sz="8" w:color="CCEEFF"/>
            </w:tcBorders>
          </w:tcPr>
          <w:p>
            <w:pPr>
              <w:spacing w:after="0"/>
              <w:rPr>
                <w:sz w:val="15"/>
                <w:szCs w:val="15"/>
                <w:color w:val="auto"/>
              </w:rPr>
            </w:pPr>
          </w:p>
        </w:tc>
      </w:tr>
      <w:tr>
        <w:trPr>
          <w:trHeight w:val="32"/>
        </w:trPr>
        <w:tc>
          <w:tcPr>
            <w:tcW w:w="7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7500" w:type="dxa"/>
            <w:vAlign w:val="bottom"/>
            <w:gridSpan w:val="17"/>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rPr>
              <w:t>RISK FACTORS</w:t>
            </w:r>
          </w:p>
        </w:tc>
        <w:tc>
          <w:tcPr>
            <w:tcW w:w="620" w:type="dxa"/>
            <w:vAlign w:val="bottom"/>
            <w:gridSpan w:val="7"/>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0000EE"/>
              </w:rPr>
              <w:t>5</w:t>
            </w:r>
          </w:p>
        </w:tc>
        <w:tc>
          <w:tcPr>
            <w:tcW w:w="20" w:type="dxa"/>
            <w:vAlign w:val="bottom"/>
            <w:shd w:val="clear" w:color="auto" w:fill="CCEEFF"/>
          </w:tcPr>
          <w:p>
            <w:pPr>
              <w:spacing w:after="0"/>
              <w:rPr>
                <w:sz w:val="15"/>
                <w:szCs w:val="15"/>
                <w:color w:val="auto"/>
              </w:rPr>
            </w:pPr>
          </w:p>
        </w:tc>
      </w:tr>
      <w:tr>
        <w:trPr>
          <w:trHeight w:val="32"/>
        </w:trPr>
        <w:tc>
          <w:tcPr>
            <w:tcW w:w="7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3"/>
        </w:trPr>
        <w:tc>
          <w:tcPr>
            <w:tcW w:w="7500" w:type="dxa"/>
            <w:vAlign w:val="bottom"/>
            <w:gridSpan w:val="17"/>
          </w:tcPr>
          <w:p>
            <w:pPr>
              <w:spacing w:after="0" w:line="183" w:lineRule="exact"/>
              <w:rPr>
                <w:sz w:val="20"/>
                <w:szCs w:val="20"/>
                <w:color w:val="auto"/>
              </w:rPr>
            </w:pPr>
            <w:r>
              <w:rPr>
                <w:rFonts w:ascii="Times New Roman" w:cs="Times New Roman" w:eastAsia="Times New Roman" w:hAnsi="Times New Roman"/>
                <w:sz w:val="17"/>
                <w:szCs w:val="17"/>
                <w:color w:val="0000EE"/>
              </w:rPr>
              <w:t>SPECIAL NOTE REGARDING FORWARD-LOOKING STATEMENTS</w:t>
            </w:r>
          </w:p>
        </w:tc>
        <w:tc>
          <w:tcPr>
            <w:tcW w:w="620" w:type="dxa"/>
            <w:vAlign w:val="bottom"/>
            <w:gridSpan w:val="7"/>
          </w:tcPr>
          <w:p>
            <w:pPr>
              <w:jc w:val="right"/>
              <w:spacing w:after="0" w:line="183" w:lineRule="exact"/>
              <w:rPr>
                <w:sz w:val="20"/>
                <w:szCs w:val="20"/>
                <w:color w:val="auto"/>
              </w:rPr>
            </w:pPr>
            <w:r>
              <w:rPr>
                <w:rFonts w:ascii="Times New Roman" w:cs="Times New Roman" w:eastAsia="Times New Roman" w:hAnsi="Times New Roman"/>
                <w:sz w:val="17"/>
                <w:szCs w:val="17"/>
                <w:color w:val="0000EE"/>
              </w:rPr>
              <w:t>6</w:t>
            </w:r>
          </w:p>
        </w:tc>
        <w:tc>
          <w:tcPr>
            <w:tcW w:w="20" w:type="dxa"/>
            <w:vAlign w:val="bottom"/>
          </w:tcPr>
          <w:p>
            <w:pPr>
              <w:spacing w:after="0"/>
              <w:rPr>
                <w:sz w:val="15"/>
                <w:szCs w:val="15"/>
                <w:color w:val="auto"/>
              </w:rPr>
            </w:pPr>
          </w:p>
        </w:tc>
      </w:tr>
      <w:tr>
        <w:trPr>
          <w:trHeight w:val="32"/>
        </w:trPr>
        <w:tc>
          <w:tcPr>
            <w:tcW w:w="7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3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7500" w:type="dxa"/>
            <w:vAlign w:val="bottom"/>
            <w:gridSpan w:val="17"/>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rPr>
              <w:t>DESCRIPTION OF CAPITAL STOCK</w:t>
            </w:r>
          </w:p>
        </w:tc>
        <w:tc>
          <w:tcPr>
            <w:tcW w:w="620" w:type="dxa"/>
            <w:vAlign w:val="bottom"/>
            <w:gridSpan w:val="7"/>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0000EE"/>
              </w:rPr>
              <w:t>9</w:t>
            </w:r>
          </w:p>
        </w:tc>
        <w:tc>
          <w:tcPr>
            <w:tcW w:w="20" w:type="dxa"/>
            <w:vAlign w:val="bottom"/>
            <w:shd w:val="clear" w:color="auto" w:fill="CCEEFF"/>
          </w:tcPr>
          <w:p>
            <w:pPr>
              <w:spacing w:after="0"/>
              <w:rPr>
                <w:sz w:val="15"/>
                <w:szCs w:val="15"/>
                <w:color w:val="auto"/>
              </w:rPr>
            </w:pPr>
          </w:p>
        </w:tc>
      </w:tr>
      <w:tr>
        <w:trPr>
          <w:trHeight w:val="32"/>
        </w:trPr>
        <w:tc>
          <w:tcPr>
            <w:tcW w:w="7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3"/>
        </w:trPr>
        <w:tc>
          <w:tcPr>
            <w:tcW w:w="7500" w:type="dxa"/>
            <w:vAlign w:val="bottom"/>
            <w:gridSpan w:val="17"/>
          </w:tcPr>
          <w:p>
            <w:pPr>
              <w:spacing w:after="0" w:line="183" w:lineRule="exact"/>
              <w:rPr>
                <w:sz w:val="20"/>
                <w:szCs w:val="20"/>
                <w:color w:val="auto"/>
              </w:rPr>
            </w:pPr>
            <w:r>
              <w:rPr>
                <w:rFonts w:ascii="Times New Roman" w:cs="Times New Roman" w:eastAsia="Times New Roman" w:hAnsi="Times New Roman"/>
                <w:sz w:val="17"/>
                <w:szCs w:val="17"/>
                <w:color w:val="0000EE"/>
              </w:rPr>
              <w:t>DESCRIPTION OF DEBT SECURITIES</w:t>
            </w:r>
          </w:p>
        </w:tc>
        <w:tc>
          <w:tcPr>
            <w:tcW w:w="640" w:type="dxa"/>
            <w:vAlign w:val="bottom"/>
            <w:gridSpan w:val="8"/>
          </w:tcPr>
          <w:p>
            <w:pPr>
              <w:jc w:val="right"/>
              <w:ind w:right="20"/>
              <w:spacing w:after="0" w:line="183" w:lineRule="exact"/>
              <w:rPr>
                <w:sz w:val="20"/>
                <w:szCs w:val="20"/>
                <w:color w:val="auto"/>
              </w:rPr>
            </w:pPr>
            <w:r>
              <w:rPr>
                <w:rFonts w:ascii="Times New Roman" w:cs="Times New Roman" w:eastAsia="Times New Roman" w:hAnsi="Times New Roman"/>
                <w:sz w:val="17"/>
                <w:szCs w:val="17"/>
                <w:color w:val="0000EE"/>
              </w:rPr>
              <w:t>13</w:t>
            </w:r>
          </w:p>
        </w:tc>
      </w:tr>
      <w:tr>
        <w:trPr>
          <w:trHeight w:val="32"/>
        </w:trPr>
        <w:tc>
          <w:tcPr>
            <w:tcW w:w="7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2400" w:type="dxa"/>
            <w:vAlign w:val="bottom"/>
            <w:gridSpan w:val="8"/>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rPr>
              <w:t>DESCRIPTION OF WARRANTS</w:t>
            </w:r>
          </w:p>
        </w:tc>
        <w:tc>
          <w:tcPr>
            <w:tcW w:w="5100" w:type="dxa"/>
            <w:vAlign w:val="bottom"/>
            <w:gridSpan w:val="9"/>
            <w:shd w:val="clear" w:color="auto" w:fill="CCEEFF"/>
          </w:tcPr>
          <w:p>
            <w:pPr>
              <w:spacing w:after="0"/>
              <w:rPr>
                <w:sz w:val="15"/>
                <w:szCs w:val="15"/>
                <w:color w:val="auto"/>
              </w:rPr>
            </w:pPr>
          </w:p>
        </w:tc>
        <w:tc>
          <w:tcPr>
            <w:tcW w:w="440" w:type="dxa"/>
            <w:vAlign w:val="bottom"/>
            <w:gridSpan w:val="4"/>
            <w:shd w:val="clear" w:color="auto" w:fill="CCEEFF"/>
          </w:tcPr>
          <w:p>
            <w:pPr>
              <w:spacing w:after="0"/>
              <w:rPr>
                <w:sz w:val="15"/>
                <w:szCs w:val="15"/>
                <w:color w:val="auto"/>
              </w:rPr>
            </w:pPr>
          </w:p>
        </w:tc>
        <w:tc>
          <w:tcPr>
            <w:tcW w:w="200" w:type="dxa"/>
            <w:vAlign w:val="bottom"/>
            <w:gridSpan w:val="4"/>
            <w:shd w:val="clear" w:color="auto" w:fill="CCEEFF"/>
          </w:tcPr>
          <w:p>
            <w:pPr>
              <w:jc w:val="right"/>
              <w:ind w:right="20"/>
              <w:spacing w:after="0" w:line="183" w:lineRule="exact"/>
              <w:rPr>
                <w:sz w:val="20"/>
                <w:szCs w:val="20"/>
                <w:color w:val="auto"/>
              </w:rPr>
            </w:pPr>
            <w:r>
              <w:rPr>
                <w:rFonts w:ascii="Times New Roman" w:cs="Times New Roman" w:eastAsia="Times New Roman" w:hAnsi="Times New Roman"/>
                <w:sz w:val="17"/>
                <w:szCs w:val="17"/>
                <w:color w:val="0000EE"/>
                <w:w w:val="93"/>
              </w:rPr>
              <w:t>19</w:t>
            </w:r>
          </w:p>
        </w:tc>
      </w:tr>
      <w:tr>
        <w:trPr>
          <w:trHeight w:val="32"/>
        </w:trPr>
        <w:tc>
          <w:tcPr>
            <w:tcW w:w="7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3"/>
        </w:trPr>
        <w:tc>
          <w:tcPr>
            <w:tcW w:w="7500" w:type="dxa"/>
            <w:vAlign w:val="bottom"/>
            <w:gridSpan w:val="17"/>
          </w:tcPr>
          <w:p>
            <w:pPr>
              <w:spacing w:after="0" w:line="183" w:lineRule="exact"/>
              <w:rPr>
                <w:sz w:val="20"/>
                <w:szCs w:val="20"/>
                <w:color w:val="auto"/>
              </w:rPr>
            </w:pPr>
            <w:r>
              <w:rPr>
                <w:rFonts w:ascii="Times New Roman" w:cs="Times New Roman" w:eastAsia="Times New Roman" w:hAnsi="Times New Roman"/>
                <w:sz w:val="17"/>
                <w:szCs w:val="17"/>
                <w:color w:val="0000EE"/>
              </w:rPr>
              <w:t>LEGAL OWNERSHIP OF SECURITIES</w:t>
            </w:r>
          </w:p>
        </w:tc>
        <w:tc>
          <w:tcPr>
            <w:tcW w:w="640" w:type="dxa"/>
            <w:vAlign w:val="bottom"/>
            <w:gridSpan w:val="8"/>
          </w:tcPr>
          <w:p>
            <w:pPr>
              <w:jc w:val="right"/>
              <w:ind w:right="20"/>
              <w:spacing w:after="0" w:line="183" w:lineRule="exact"/>
              <w:rPr>
                <w:sz w:val="20"/>
                <w:szCs w:val="20"/>
                <w:color w:val="auto"/>
              </w:rPr>
            </w:pPr>
            <w:r>
              <w:rPr>
                <w:rFonts w:ascii="Times New Roman" w:cs="Times New Roman" w:eastAsia="Times New Roman" w:hAnsi="Times New Roman"/>
                <w:sz w:val="17"/>
                <w:szCs w:val="17"/>
                <w:color w:val="0000EE"/>
              </w:rPr>
              <w:t>21</w:t>
            </w:r>
          </w:p>
        </w:tc>
      </w:tr>
      <w:tr>
        <w:trPr>
          <w:trHeight w:val="32"/>
        </w:trPr>
        <w:tc>
          <w:tcPr>
            <w:tcW w:w="7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2420" w:type="dxa"/>
            <w:vAlign w:val="bottom"/>
            <w:gridSpan w:val="9"/>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rPr>
              <w:t>SELLING SECURITYHOLDERS</w:t>
            </w:r>
          </w:p>
        </w:tc>
        <w:tc>
          <w:tcPr>
            <w:tcW w:w="5080" w:type="dxa"/>
            <w:vAlign w:val="bottom"/>
            <w:gridSpan w:val="8"/>
            <w:shd w:val="clear" w:color="auto" w:fill="CCEEFF"/>
          </w:tcPr>
          <w:p>
            <w:pPr>
              <w:spacing w:after="0"/>
              <w:rPr>
                <w:sz w:val="15"/>
                <w:szCs w:val="15"/>
                <w:color w:val="auto"/>
              </w:rPr>
            </w:pPr>
          </w:p>
        </w:tc>
        <w:tc>
          <w:tcPr>
            <w:tcW w:w="440" w:type="dxa"/>
            <w:vAlign w:val="bottom"/>
            <w:gridSpan w:val="4"/>
            <w:shd w:val="clear" w:color="auto" w:fill="CCEEFF"/>
          </w:tcPr>
          <w:p>
            <w:pPr>
              <w:spacing w:after="0"/>
              <w:rPr>
                <w:sz w:val="15"/>
                <w:szCs w:val="15"/>
                <w:color w:val="auto"/>
              </w:rPr>
            </w:pPr>
          </w:p>
        </w:tc>
        <w:tc>
          <w:tcPr>
            <w:tcW w:w="200" w:type="dxa"/>
            <w:vAlign w:val="bottom"/>
            <w:gridSpan w:val="4"/>
            <w:shd w:val="clear" w:color="auto" w:fill="CCEEFF"/>
          </w:tcPr>
          <w:p>
            <w:pPr>
              <w:jc w:val="right"/>
              <w:ind w:right="20"/>
              <w:spacing w:after="0" w:line="183" w:lineRule="exact"/>
              <w:rPr>
                <w:sz w:val="20"/>
                <w:szCs w:val="20"/>
                <w:color w:val="auto"/>
              </w:rPr>
            </w:pPr>
            <w:r>
              <w:rPr>
                <w:rFonts w:ascii="Times New Roman" w:cs="Times New Roman" w:eastAsia="Times New Roman" w:hAnsi="Times New Roman"/>
                <w:sz w:val="17"/>
                <w:szCs w:val="17"/>
                <w:color w:val="0000EE"/>
                <w:w w:val="93"/>
              </w:rPr>
              <w:t>24</w:t>
            </w:r>
          </w:p>
        </w:tc>
      </w:tr>
      <w:tr>
        <w:trPr>
          <w:trHeight w:val="32"/>
        </w:trPr>
        <w:tc>
          <w:tcPr>
            <w:tcW w:w="7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3"/>
        </w:trPr>
        <w:tc>
          <w:tcPr>
            <w:tcW w:w="2420" w:type="dxa"/>
            <w:vAlign w:val="bottom"/>
            <w:gridSpan w:val="9"/>
          </w:tcPr>
          <w:p>
            <w:pPr>
              <w:spacing w:after="0" w:line="183" w:lineRule="exact"/>
              <w:rPr>
                <w:sz w:val="20"/>
                <w:szCs w:val="20"/>
                <w:color w:val="auto"/>
              </w:rPr>
            </w:pPr>
            <w:r>
              <w:rPr>
                <w:rFonts w:ascii="Times New Roman" w:cs="Times New Roman" w:eastAsia="Times New Roman" w:hAnsi="Times New Roman"/>
                <w:sz w:val="17"/>
                <w:szCs w:val="17"/>
                <w:color w:val="0000EE"/>
              </w:rPr>
              <w:t>USE OF PROCEEDS</w:t>
            </w:r>
          </w:p>
        </w:tc>
        <w:tc>
          <w:tcPr>
            <w:tcW w:w="5080" w:type="dxa"/>
            <w:vAlign w:val="bottom"/>
            <w:gridSpan w:val="8"/>
          </w:tcPr>
          <w:p>
            <w:pPr>
              <w:spacing w:after="0"/>
              <w:rPr>
                <w:sz w:val="15"/>
                <w:szCs w:val="15"/>
                <w:color w:val="auto"/>
              </w:rPr>
            </w:pPr>
          </w:p>
        </w:tc>
        <w:tc>
          <w:tcPr>
            <w:tcW w:w="440" w:type="dxa"/>
            <w:vAlign w:val="bottom"/>
            <w:gridSpan w:val="4"/>
          </w:tcPr>
          <w:p>
            <w:pPr>
              <w:spacing w:after="0"/>
              <w:rPr>
                <w:sz w:val="15"/>
                <w:szCs w:val="15"/>
                <w:color w:val="auto"/>
              </w:rPr>
            </w:pPr>
          </w:p>
        </w:tc>
        <w:tc>
          <w:tcPr>
            <w:tcW w:w="200" w:type="dxa"/>
            <w:vAlign w:val="bottom"/>
            <w:gridSpan w:val="4"/>
          </w:tcPr>
          <w:p>
            <w:pPr>
              <w:jc w:val="right"/>
              <w:ind w:right="20"/>
              <w:spacing w:after="0" w:line="183" w:lineRule="exact"/>
              <w:rPr>
                <w:sz w:val="20"/>
                <w:szCs w:val="20"/>
                <w:color w:val="auto"/>
              </w:rPr>
            </w:pPr>
            <w:r>
              <w:rPr>
                <w:rFonts w:ascii="Times New Roman" w:cs="Times New Roman" w:eastAsia="Times New Roman" w:hAnsi="Times New Roman"/>
                <w:sz w:val="17"/>
                <w:szCs w:val="17"/>
                <w:color w:val="0000EE"/>
                <w:w w:val="93"/>
              </w:rPr>
              <w:t>25</w:t>
            </w:r>
          </w:p>
        </w:tc>
      </w:tr>
      <w:tr>
        <w:trPr>
          <w:trHeight w:val="32"/>
        </w:trPr>
        <w:tc>
          <w:tcPr>
            <w:tcW w:w="7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1980" w:type="dxa"/>
            <w:vAlign w:val="bottom"/>
            <w:gridSpan w:val="5"/>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rPr>
              <w:t>PLAN OF DISTRIBUTION</w:t>
            </w:r>
          </w:p>
        </w:tc>
        <w:tc>
          <w:tcPr>
            <w:tcW w:w="5520" w:type="dxa"/>
            <w:vAlign w:val="bottom"/>
            <w:gridSpan w:val="12"/>
            <w:shd w:val="clear" w:color="auto" w:fill="CCEEFF"/>
          </w:tcPr>
          <w:p>
            <w:pPr>
              <w:spacing w:after="0"/>
              <w:rPr>
                <w:sz w:val="15"/>
                <w:szCs w:val="15"/>
                <w:color w:val="auto"/>
              </w:rPr>
            </w:pPr>
          </w:p>
        </w:tc>
        <w:tc>
          <w:tcPr>
            <w:tcW w:w="440" w:type="dxa"/>
            <w:vAlign w:val="bottom"/>
            <w:gridSpan w:val="4"/>
            <w:shd w:val="clear" w:color="auto" w:fill="CCEEFF"/>
          </w:tcPr>
          <w:p>
            <w:pPr>
              <w:spacing w:after="0"/>
              <w:rPr>
                <w:sz w:val="15"/>
                <w:szCs w:val="15"/>
                <w:color w:val="auto"/>
              </w:rPr>
            </w:pPr>
          </w:p>
        </w:tc>
        <w:tc>
          <w:tcPr>
            <w:tcW w:w="200" w:type="dxa"/>
            <w:vAlign w:val="bottom"/>
            <w:gridSpan w:val="4"/>
            <w:shd w:val="clear" w:color="auto" w:fill="CCEEFF"/>
          </w:tcPr>
          <w:p>
            <w:pPr>
              <w:jc w:val="right"/>
              <w:ind w:right="20"/>
              <w:spacing w:after="0" w:line="183" w:lineRule="exact"/>
              <w:rPr>
                <w:sz w:val="20"/>
                <w:szCs w:val="20"/>
                <w:color w:val="auto"/>
              </w:rPr>
            </w:pPr>
            <w:r>
              <w:rPr>
                <w:rFonts w:ascii="Times New Roman" w:cs="Times New Roman" w:eastAsia="Times New Roman" w:hAnsi="Times New Roman"/>
                <w:sz w:val="17"/>
                <w:szCs w:val="17"/>
                <w:color w:val="0000EE"/>
                <w:w w:val="93"/>
              </w:rPr>
              <w:t>26</w:t>
            </w:r>
          </w:p>
        </w:tc>
      </w:tr>
      <w:tr>
        <w:trPr>
          <w:trHeight w:val="32"/>
        </w:trPr>
        <w:tc>
          <w:tcPr>
            <w:tcW w:w="7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3"/>
        </w:trPr>
        <w:tc>
          <w:tcPr>
            <w:tcW w:w="1980" w:type="dxa"/>
            <w:vAlign w:val="bottom"/>
            <w:gridSpan w:val="5"/>
          </w:tcPr>
          <w:p>
            <w:pPr>
              <w:spacing w:after="0" w:line="183" w:lineRule="exact"/>
              <w:rPr>
                <w:sz w:val="20"/>
                <w:szCs w:val="20"/>
                <w:color w:val="auto"/>
              </w:rPr>
            </w:pPr>
            <w:r>
              <w:rPr>
                <w:rFonts w:ascii="Times New Roman" w:cs="Times New Roman" w:eastAsia="Times New Roman" w:hAnsi="Times New Roman"/>
                <w:sz w:val="17"/>
                <w:szCs w:val="17"/>
                <w:color w:val="0000EE"/>
              </w:rPr>
              <w:t>LEGAL MATTERS</w:t>
            </w:r>
          </w:p>
        </w:tc>
        <w:tc>
          <w:tcPr>
            <w:tcW w:w="5520" w:type="dxa"/>
            <w:vAlign w:val="bottom"/>
            <w:gridSpan w:val="12"/>
          </w:tcPr>
          <w:p>
            <w:pPr>
              <w:spacing w:after="0"/>
              <w:rPr>
                <w:sz w:val="15"/>
                <w:szCs w:val="15"/>
                <w:color w:val="auto"/>
              </w:rPr>
            </w:pPr>
          </w:p>
        </w:tc>
        <w:tc>
          <w:tcPr>
            <w:tcW w:w="440" w:type="dxa"/>
            <w:vAlign w:val="bottom"/>
            <w:gridSpan w:val="4"/>
          </w:tcPr>
          <w:p>
            <w:pPr>
              <w:spacing w:after="0"/>
              <w:rPr>
                <w:sz w:val="15"/>
                <w:szCs w:val="15"/>
                <w:color w:val="auto"/>
              </w:rPr>
            </w:pPr>
          </w:p>
        </w:tc>
        <w:tc>
          <w:tcPr>
            <w:tcW w:w="200" w:type="dxa"/>
            <w:vAlign w:val="bottom"/>
            <w:gridSpan w:val="4"/>
          </w:tcPr>
          <w:p>
            <w:pPr>
              <w:jc w:val="right"/>
              <w:ind w:right="20"/>
              <w:spacing w:after="0" w:line="183" w:lineRule="exact"/>
              <w:rPr>
                <w:sz w:val="20"/>
                <w:szCs w:val="20"/>
                <w:color w:val="auto"/>
              </w:rPr>
            </w:pPr>
            <w:r>
              <w:rPr>
                <w:rFonts w:ascii="Times New Roman" w:cs="Times New Roman" w:eastAsia="Times New Roman" w:hAnsi="Times New Roman"/>
                <w:sz w:val="17"/>
                <w:szCs w:val="17"/>
                <w:color w:val="0000EE"/>
                <w:w w:val="93"/>
              </w:rPr>
              <w:t>28</w:t>
            </w:r>
          </w:p>
        </w:tc>
      </w:tr>
      <w:tr>
        <w:trPr>
          <w:trHeight w:val="32"/>
        </w:trPr>
        <w:tc>
          <w:tcPr>
            <w:tcW w:w="7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7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w w:val="97"/>
              </w:rPr>
              <w:t>EXPERTS</w:t>
            </w:r>
          </w:p>
        </w:tc>
        <w:tc>
          <w:tcPr>
            <w:tcW w:w="6760" w:type="dxa"/>
            <w:vAlign w:val="bottom"/>
            <w:gridSpan w:val="16"/>
            <w:shd w:val="clear" w:color="auto" w:fill="CCEEFF"/>
          </w:tcPr>
          <w:p>
            <w:pPr>
              <w:spacing w:after="0"/>
              <w:rPr>
                <w:sz w:val="15"/>
                <w:szCs w:val="15"/>
                <w:color w:val="auto"/>
              </w:rPr>
            </w:pPr>
          </w:p>
        </w:tc>
        <w:tc>
          <w:tcPr>
            <w:tcW w:w="440" w:type="dxa"/>
            <w:vAlign w:val="bottom"/>
            <w:gridSpan w:val="4"/>
            <w:shd w:val="clear" w:color="auto" w:fill="CCEEFF"/>
          </w:tcPr>
          <w:p>
            <w:pPr>
              <w:spacing w:after="0"/>
              <w:rPr>
                <w:sz w:val="15"/>
                <w:szCs w:val="15"/>
                <w:color w:val="auto"/>
              </w:rPr>
            </w:pPr>
          </w:p>
        </w:tc>
        <w:tc>
          <w:tcPr>
            <w:tcW w:w="200" w:type="dxa"/>
            <w:vAlign w:val="bottom"/>
            <w:gridSpan w:val="4"/>
            <w:shd w:val="clear" w:color="auto" w:fill="CCEEFF"/>
          </w:tcPr>
          <w:p>
            <w:pPr>
              <w:jc w:val="right"/>
              <w:ind w:right="20"/>
              <w:spacing w:after="0" w:line="183" w:lineRule="exact"/>
              <w:rPr>
                <w:sz w:val="20"/>
                <w:szCs w:val="20"/>
                <w:color w:val="auto"/>
              </w:rPr>
            </w:pPr>
            <w:r>
              <w:rPr>
                <w:rFonts w:ascii="Times New Roman" w:cs="Times New Roman" w:eastAsia="Times New Roman" w:hAnsi="Times New Roman"/>
                <w:sz w:val="17"/>
                <w:szCs w:val="17"/>
                <w:color w:val="0000EE"/>
                <w:w w:val="93"/>
              </w:rPr>
              <w:t>28</w:t>
            </w:r>
          </w:p>
        </w:tc>
      </w:tr>
      <w:tr>
        <w:trPr>
          <w:trHeight w:val="32"/>
        </w:trPr>
        <w:tc>
          <w:tcPr>
            <w:tcW w:w="7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3"/>
        </w:trPr>
        <w:tc>
          <w:tcPr>
            <w:tcW w:w="7500" w:type="dxa"/>
            <w:vAlign w:val="bottom"/>
            <w:gridSpan w:val="17"/>
          </w:tcPr>
          <w:p>
            <w:pPr>
              <w:spacing w:after="0" w:line="183" w:lineRule="exact"/>
              <w:rPr>
                <w:sz w:val="20"/>
                <w:szCs w:val="20"/>
                <w:color w:val="auto"/>
              </w:rPr>
            </w:pPr>
            <w:r>
              <w:rPr>
                <w:rFonts w:ascii="Times New Roman" w:cs="Times New Roman" w:eastAsia="Times New Roman" w:hAnsi="Times New Roman"/>
                <w:sz w:val="17"/>
                <w:szCs w:val="17"/>
                <w:color w:val="0000EE"/>
              </w:rPr>
              <w:t>WHERE YOU CAN FIND MORE INFORMATION</w:t>
            </w:r>
          </w:p>
        </w:tc>
        <w:tc>
          <w:tcPr>
            <w:tcW w:w="640" w:type="dxa"/>
            <w:vAlign w:val="bottom"/>
            <w:gridSpan w:val="8"/>
          </w:tcPr>
          <w:p>
            <w:pPr>
              <w:jc w:val="right"/>
              <w:ind w:right="20"/>
              <w:spacing w:after="0" w:line="183" w:lineRule="exact"/>
              <w:rPr>
                <w:sz w:val="20"/>
                <w:szCs w:val="20"/>
                <w:color w:val="auto"/>
              </w:rPr>
            </w:pPr>
            <w:r>
              <w:rPr>
                <w:rFonts w:ascii="Times New Roman" w:cs="Times New Roman" w:eastAsia="Times New Roman" w:hAnsi="Times New Roman"/>
                <w:sz w:val="17"/>
                <w:szCs w:val="17"/>
                <w:color w:val="0000EE"/>
              </w:rPr>
              <w:t>28</w:t>
            </w:r>
          </w:p>
        </w:tc>
      </w:tr>
      <w:tr>
        <w:trPr>
          <w:trHeight w:val="32"/>
        </w:trPr>
        <w:tc>
          <w:tcPr>
            <w:tcW w:w="7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7500" w:type="dxa"/>
            <w:vAlign w:val="bottom"/>
            <w:gridSpan w:val="17"/>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rPr>
              <w:t>INCORPORATION OF CERTAIN INFORMATION BY REFERENCE</w:t>
            </w:r>
          </w:p>
        </w:tc>
        <w:tc>
          <w:tcPr>
            <w:tcW w:w="640" w:type="dxa"/>
            <w:vAlign w:val="bottom"/>
            <w:gridSpan w:val="8"/>
            <w:shd w:val="clear" w:color="auto" w:fill="CCEEFF"/>
          </w:tcPr>
          <w:p>
            <w:pPr>
              <w:jc w:val="right"/>
              <w:ind w:right="20"/>
              <w:spacing w:after="0" w:line="183" w:lineRule="exact"/>
              <w:rPr>
                <w:sz w:val="20"/>
                <w:szCs w:val="20"/>
                <w:color w:val="auto"/>
              </w:rPr>
            </w:pPr>
            <w:r>
              <w:rPr>
                <w:rFonts w:ascii="Times New Roman" w:cs="Times New Roman" w:eastAsia="Times New Roman" w:hAnsi="Times New Roman"/>
                <w:sz w:val="17"/>
                <w:szCs w:val="17"/>
                <w:color w:val="0000EE"/>
              </w:rPr>
              <w:t>29</w:t>
            </w:r>
          </w:p>
        </w:tc>
      </w:tr>
      <w:tr>
        <w:trPr>
          <w:trHeight w:val="71"/>
        </w:trPr>
        <w:tc>
          <w:tcPr>
            <w:tcW w:w="7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3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3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127635</wp:posOffset>
            </wp:positionV>
            <wp:extent cx="675640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 w:name="page3"/>
    <w:bookmarkEnd w:id="2"/>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ABOUT THIS PROSPECTUS SUPPLEMENT</w:t>
      </w:r>
    </w:p>
    <w:p>
      <w:pPr>
        <w:spacing w:after="0" w:line="119" w:lineRule="exact"/>
        <w:rPr>
          <w:sz w:val="20"/>
          <w:szCs w:val="20"/>
          <w:color w:val="auto"/>
        </w:rPr>
      </w:pPr>
    </w:p>
    <w:p>
      <w:pPr>
        <w:ind w:left="440" w:right="699" w:firstLine="347"/>
        <w:spacing w:after="0" w:line="268" w:lineRule="auto"/>
        <w:rPr>
          <w:sz w:val="20"/>
          <w:szCs w:val="20"/>
          <w:color w:val="auto"/>
        </w:rPr>
      </w:pPr>
      <w:r>
        <w:rPr>
          <w:rFonts w:ascii="Times New Roman" w:cs="Times New Roman" w:eastAsia="Times New Roman" w:hAnsi="Times New Roman"/>
          <w:sz w:val="17"/>
          <w:szCs w:val="17"/>
          <w:color w:val="auto"/>
        </w:rPr>
        <w:t>On October 9, 2025, we filed with the Securities and Exchange Commission (the “SEC”) a registration statement on Form S-3 (File No. 333-290806) (the “Registration Statement”) utilizing a shelf registration process relating to certain securities, including the securities described in this prospectus supplement, which Registration Statement became effective automatically upon filing.</w:t>
      </w:r>
    </w:p>
    <w:p>
      <w:pPr>
        <w:spacing w:after="0" w:line="66" w:lineRule="exact"/>
        <w:rPr>
          <w:sz w:val="20"/>
          <w:szCs w:val="20"/>
          <w:color w:val="auto"/>
        </w:rPr>
      </w:pPr>
    </w:p>
    <w:p>
      <w:pPr>
        <w:ind w:left="440" w:right="479" w:firstLine="347"/>
        <w:spacing w:after="0" w:line="260" w:lineRule="auto"/>
        <w:rPr>
          <w:sz w:val="20"/>
          <w:szCs w:val="20"/>
          <w:color w:val="auto"/>
        </w:rPr>
      </w:pPr>
      <w:r>
        <w:rPr>
          <w:rFonts w:ascii="Times New Roman" w:cs="Times New Roman" w:eastAsia="Times New Roman" w:hAnsi="Times New Roman"/>
          <w:sz w:val="17"/>
          <w:szCs w:val="17"/>
          <w:color w:val="auto"/>
        </w:rPr>
        <w:t>This document is in two parts. The first part is this prospectus supplement, which describes the specific terms of this offering. The second part, the accompanying prospectus, gives more general information, some of which may not apply to this offering. We urge you to read carefully this prospectus supplement and the accompanying prospectus, together with the information incorporated therein and herein by reference as described under the heading “Incorporation of Certain Information by Reference,” before buying any of the securities being offered. This prospectus supplement may add, update or change information contained in or incorporated by reference in the accompanying prospectus. If the information in this prospectus supplement is inconsistent with any information contained in or incorporated by reference in the accompanying prospectus, the information in this prospectus supplement will apply and will supersede the inconsistent information contained in or incorporated by reference in the accompanying prospectus.</w:t>
      </w:r>
    </w:p>
    <w:p>
      <w:pPr>
        <w:spacing w:after="0" w:line="73" w:lineRule="exact"/>
        <w:rPr>
          <w:sz w:val="20"/>
          <w:szCs w:val="20"/>
          <w:color w:val="auto"/>
        </w:rPr>
      </w:pPr>
    </w:p>
    <w:p>
      <w:pPr>
        <w:ind w:left="440" w:right="459" w:firstLine="347"/>
        <w:spacing w:after="0" w:line="261" w:lineRule="auto"/>
        <w:rPr>
          <w:sz w:val="20"/>
          <w:szCs w:val="20"/>
          <w:color w:val="auto"/>
        </w:rPr>
      </w:pPr>
      <w:r>
        <w:rPr>
          <w:rFonts w:ascii="Times New Roman" w:cs="Times New Roman" w:eastAsia="Times New Roman" w:hAnsi="Times New Roman"/>
          <w:sz w:val="17"/>
          <w:szCs w:val="17"/>
          <w:color w:val="auto"/>
        </w:rPr>
        <w:t>You should rely only on the information contained in, or incorporated by reference into, this prospectus supplement, the accompanying prospectus and any free writing prospectus prepared by or on our behalf that we have authorized for use in connection with this offering. We have not, and the sales agents have not, authorized any dealer, salesperson or other person to provide any information or to make any representation other than those contained or incorporated by reference into this prospectus supplement or into any free writing prospectus prepared by or on our behalf or to which we have referred you. If anyone provides you with additional, different or inconsistent information, you should not rely on it. We and the sales agents take no responsibility for, and can provide no assurance as to the reliability of, any other information that others may give you.</w:t>
      </w:r>
    </w:p>
    <w:p>
      <w:pPr>
        <w:spacing w:after="0" w:line="73" w:lineRule="exact"/>
        <w:rPr>
          <w:sz w:val="20"/>
          <w:szCs w:val="20"/>
          <w:color w:val="auto"/>
        </w:rPr>
      </w:pPr>
    </w:p>
    <w:p>
      <w:pPr>
        <w:ind w:left="440" w:right="479" w:firstLine="347"/>
        <w:spacing w:after="0" w:line="261" w:lineRule="auto"/>
        <w:rPr>
          <w:sz w:val="20"/>
          <w:szCs w:val="20"/>
          <w:color w:val="auto"/>
        </w:rPr>
      </w:pPr>
      <w:r>
        <w:rPr>
          <w:rFonts w:ascii="Times New Roman" w:cs="Times New Roman" w:eastAsia="Times New Roman" w:hAnsi="Times New Roman"/>
          <w:sz w:val="17"/>
          <w:szCs w:val="17"/>
          <w:color w:val="auto"/>
        </w:rPr>
        <w:t>You should assume that the information appearing or incorporated by reference into this prospectus supplement and in any free writing prospectus prepared by or on our behalf that we have authorized for use in connection with this offering, is accurate only as of the date of each such respective document. Our business, financial condition, results of operations and prospects may have changed since those dates. You should read this prospectus supplement, including the documents incorporated by reference, and any free writing prospectus prepared by or on our behalf that we have authorized for use in connection with this offering, in their entirety before making an investment decision. You should also read and consider the information in the documents we have referred you to in the sections of this prospectus supplement entitled “Where You Can Find More Information.”</w:t>
      </w:r>
    </w:p>
    <w:p>
      <w:pPr>
        <w:spacing w:after="0" w:line="73" w:lineRule="exact"/>
        <w:rPr>
          <w:sz w:val="20"/>
          <w:szCs w:val="20"/>
          <w:color w:val="auto"/>
        </w:rPr>
      </w:pPr>
    </w:p>
    <w:p>
      <w:pPr>
        <w:ind w:left="440" w:right="579" w:firstLine="347"/>
        <w:spacing w:after="0" w:line="265" w:lineRule="auto"/>
        <w:rPr>
          <w:sz w:val="20"/>
          <w:szCs w:val="20"/>
          <w:color w:val="auto"/>
        </w:rPr>
      </w:pPr>
      <w:r>
        <w:rPr>
          <w:rFonts w:ascii="Times New Roman" w:cs="Times New Roman" w:eastAsia="Times New Roman" w:hAnsi="Times New Roman"/>
          <w:sz w:val="17"/>
          <w:szCs w:val="17"/>
          <w:color w:val="auto"/>
        </w:rPr>
        <w:t>This prospectus supplement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or incorporated by reference as exhibits to the Registration Statement, and you may obtain copies of those documents as described below under the section entitled “Where You Can Find More Information.”</w:t>
      </w:r>
    </w:p>
    <w:p>
      <w:pPr>
        <w:spacing w:after="0" w:line="68" w:lineRule="exact"/>
        <w:rPr>
          <w:sz w:val="20"/>
          <w:szCs w:val="20"/>
          <w:color w:val="auto"/>
        </w:rPr>
      </w:pPr>
    </w:p>
    <w:p>
      <w:pPr>
        <w:ind w:left="440" w:right="459" w:firstLine="347"/>
        <w:spacing w:after="0" w:line="260" w:lineRule="auto"/>
        <w:rPr>
          <w:sz w:val="20"/>
          <w:szCs w:val="20"/>
          <w:color w:val="auto"/>
        </w:rPr>
      </w:pPr>
      <w:r>
        <w:rPr>
          <w:rFonts w:ascii="Times New Roman" w:cs="Times New Roman" w:eastAsia="Times New Roman" w:hAnsi="Times New Roman"/>
          <w:sz w:val="17"/>
          <w:szCs w:val="17"/>
          <w:color w:val="auto"/>
        </w:rPr>
        <w:t>Unless the context requires otherwise, references in this prospectus supplement to “Tilray,” the “company,” “we,” “us” and “our” refer to Tilray Brands, Inc. and its wholly-owned subsidiaries. Tilray, our logo and our other registered or common law trademarks, trade names or service marks appearing in this prospectus supplement are owned by us. Solely for convenience, trademarks and trade names referred to in this prospectus supplement, including logos, artwork and other visual displays, may appear without the ® or ™ symbols, but such references are not intended to indicate in any way that we will not assert, to the fullest extent under applicable law, our rights of the applicable licensor to these trademarks and trade names. Unless otherwise stated in this prospectus supplement, we do not intend our use or display of other companies’ trade names or trademarks to imply a relationship with, or endorsement or sponsorship of us by, any other companies.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135890</wp:posOffset>
            </wp:positionV>
            <wp:extent cx="675640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3" w:name="page4"/>
    <w:bookmarkEnd w:id="3"/>
    <w:p>
      <w:pPr>
        <w:ind w:left="2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85090</wp:posOffset>
            </wp:positionV>
            <wp:extent cx="5460365" cy="7447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60365" cy="744791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PROSPECTUS SUPPLEMENT SUMMARY</w:t>
      </w:r>
    </w:p>
    <w:p>
      <w:pPr>
        <w:spacing w:after="0" w:line="117" w:lineRule="exact"/>
        <w:rPr>
          <w:sz w:val="20"/>
          <w:szCs w:val="20"/>
          <w:color w:val="auto"/>
        </w:rPr>
      </w:pPr>
    </w:p>
    <w:p>
      <w:pPr>
        <w:ind w:left="460" w:right="659" w:firstLine="348"/>
        <w:spacing w:after="0" w:line="261" w:lineRule="auto"/>
        <w:rPr>
          <w:sz w:val="20"/>
          <w:szCs w:val="20"/>
          <w:color w:val="auto"/>
        </w:rPr>
      </w:pPr>
      <w:r>
        <w:rPr>
          <w:rFonts w:ascii="Times New Roman" w:cs="Times New Roman" w:eastAsia="Times New Roman" w:hAnsi="Times New Roman"/>
          <w:sz w:val="17"/>
          <w:szCs w:val="17"/>
          <w:i w:val="1"/>
          <w:iCs w:val="1"/>
          <w:color w:val="auto"/>
        </w:rPr>
        <w:t>This summary highlights certain information about us, this offering and selected information contained elsewhere in or incorporated by reference into this prospectus supplement. This summary provides an overview of selected information and does not contain all of the information you should consider before deciding whether to invest in our Common Stock. Therefore, you should read the entire prospectus supplement and the accompanying prospectus carefully (including the documents incorporated by reference herein and therein), especially the</w:t>
      </w:r>
    </w:p>
    <w:p>
      <w:pPr>
        <w:ind w:left="460" w:right="459"/>
        <w:spacing w:after="0" w:line="259" w:lineRule="auto"/>
        <w:rPr>
          <w:sz w:val="20"/>
          <w:szCs w:val="20"/>
          <w:color w:val="auto"/>
        </w:rPr>
      </w:pPr>
      <w:r>
        <w:rPr>
          <w:rFonts w:ascii="Times New Roman" w:cs="Times New Roman" w:eastAsia="Times New Roman" w:hAnsi="Times New Roman"/>
          <w:sz w:val="17"/>
          <w:szCs w:val="17"/>
          <w:i w:val="1"/>
          <w:iCs w:val="1"/>
          <w:color w:val="auto"/>
        </w:rPr>
        <w:t>“Risk Factors” section beginning on page S-</w:t>
      </w:r>
      <w:r>
        <w:rPr>
          <w:rFonts w:ascii="Times New Roman" w:cs="Times New Roman" w:eastAsia="Times New Roman" w:hAnsi="Times New Roman"/>
          <w:sz w:val="17"/>
          <w:szCs w:val="17"/>
          <w:i w:val="1"/>
          <w:iCs w:val="1"/>
          <w:u w:val="single" w:color="auto"/>
          <w:color w:val="0000EE"/>
        </w:rPr>
        <w:t>4</w:t>
      </w:r>
      <w:r>
        <w:rPr>
          <w:rFonts w:ascii="Times New Roman" w:cs="Times New Roman" w:eastAsia="Times New Roman" w:hAnsi="Times New Roman"/>
          <w:sz w:val="17"/>
          <w:szCs w:val="17"/>
          <w:i w:val="1"/>
          <w:iCs w:val="1"/>
          <w:color w:val="auto"/>
        </w:rPr>
        <w:t xml:space="preserve"> and in the documents incorporated by reference and our consolidated financial statements and the related notes incorporated by reference in this prospectus supplement and the accompanying prospectus, before deciding to invest in our Common Stock. You should also carefully read the information incorporated by reference into this prospectus supplement, including our financial statements, and the exhibits to the registration statement of which this prospectus supplement is a part. See “Special Note Regarding Forward-Looking Statements.”</w:t>
      </w:r>
    </w:p>
    <w:p>
      <w:pPr>
        <w:spacing w:after="0" w:line="3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Our Company</w:t>
      </w:r>
    </w:p>
    <w:p>
      <w:pPr>
        <w:spacing w:after="0" w:line="119" w:lineRule="exact"/>
        <w:rPr>
          <w:sz w:val="20"/>
          <w:szCs w:val="20"/>
          <w:color w:val="auto"/>
        </w:rPr>
      </w:pPr>
    </w:p>
    <w:p>
      <w:pPr>
        <w:ind w:left="460" w:right="519" w:firstLine="348"/>
        <w:spacing w:after="0" w:line="263" w:lineRule="auto"/>
        <w:rPr>
          <w:sz w:val="20"/>
          <w:szCs w:val="20"/>
          <w:color w:val="auto"/>
        </w:rPr>
      </w:pPr>
      <w:r>
        <w:rPr>
          <w:rFonts w:ascii="Times New Roman" w:cs="Times New Roman" w:eastAsia="Times New Roman" w:hAnsi="Times New Roman"/>
          <w:sz w:val="17"/>
          <w:szCs w:val="17"/>
          <w:color w:val="auto"/>
        </w:rPr>
        <w:t>Tilray is a leading global lifestyle consumer products company, which was incorporated on January 24, 2018 and is headquartered in Leamington and New York, with operations in Canada, the United States, Europe, Australia and Latin America that is leading as a transformative force at the nexus of cannabis, beverage, wellness, and entertainment, elevating lives through moments of connection. Tilray’s mission is to be a leading premium lifestyle company with a house of brands and innovative products that inspire joy, wellness and create memorable experiences.</w:t>
      </w:r>
    </w:p>
    <w:p>
      <w:pPr>
        <w:spacing w:after="0" w:line="3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119" w:lineRule="exact"/>
        <w:rPr>
          <w:sz w:val="20"/>
          <w:szCs w:val="20"/>
          <w:color w:val="auto"/>
        </w:rPr>
      </w:pPr>
    </w:p>
    <w:p>
      <w:pPr>
        <w:ind w:left="460" w:right="459" w:firstLine="348"/>
        <w:spacing w:after="0" w:line="263" w:lineRule="auto"/>
        <w:rPr>
          <w:sz w:val="20"/>
          <w:szCs w:val="20"/>
          <w:color w:val="auto"/>
        </w:rPr>
      </w:pPr>
      <w:r>
        <w:rPr>
          <w:rFonts w:ascii="Times New Roman" w:cs="Times New Roman" w:eastAsia="Times New Roman" w:hAnsi="Times New Roman"/>
          <w:sz w:val="17"/>
          <w:szCs w:val="17"/>
          <w:color w:val="auto"/>
        </w:rPr>
        <w:t>Tilray Brands, Inc. was incorporated in Delaware in January 2018. Prior to January 2018, Tilray Brands, Inc. operated its business under Decatur Holdings, BV, a Dutch private limited liability company (“Decatur”), which was formed in March 2016. Decatur was incorporated under the laws of the Netherlands on March 8, 2016 as a wholly-owned subsidiary of Privateer Holdings, Inc. (“Privateer Holdings”) to hold a 100% ownership interest in Tilray Brands, Inc.’s direct and indirect subsidiaries through which Tilray Brands, Inc. operated its business. Decatur was dissolved on December 27, 2018.</w:t>
      </w:r>
    </w:p>
    <w:p>
      <w:pPr>
        <w:spacing w:after="0" w:line="71" w:lineRule="exact"/>
        <w:rPr>
          <w:sz w:val="20"/>
          <w:szCs w:val="20"/>
          <w:color w:val="auto"/>
        </w:rPr>
      </w:pPr>
    </w:p>
    <w:p>
      <w:pPr>
        <w:ind w:left="460" w:right="479" w:firstLine="348"/>
        <w:spacing w:after="0" w:line="294" w:lineRule="auto"/>
        <w:rPr>
          <w:sz w:val="20"/>
          <w:szCs w:val="20"/>
          <w:color w:val="auto"/>
        </w:rPr>
      </w:pPr>
      <w:r>
        <w:rPr>
          <w:rFonts w:ascii="Times New Roman" w:cs="Times New Roman" w:eastAsia="Times New Roman" w:hAnsi="Times New Roman"/>
          <w:sz w:val="17"/>
          <w:szCs w:val="17"/>
          <w:color w:val="auto"/>
        </w:rPr>
        <w:t>On December 12, 2019, Privateer Holdings merged with and into a wholly owned subsidiary of Tilray pursuant to the agreement and plan of merger and reorganization.</w:t>
      </w:r>
    </w:p>
    <w:p>
      <w:pPr>
        <w:spacing w:after="0" w:line="43" w:lineRule="exact"/>
        <w:rPr>
          <w:sz w:val="20"/>
          <w:szCs w:val="20"/>
          <w:color w:val="auto"/>
        </w:rPr>
      </w:pPr>
    </w:p>
    <w:p>
      <w:pPr>
        <w:ind w:left="460" w:right="459" w:firstLine="348"/>
        <w:spacing w:after="0" w:line="268" w:lineRule="auto"/>
        <w:rPr>
          <w:sz w:val="20"/>
          <w:szCs w:val="20"/>
          <w:color w:val="auto"/>
        </w:rPr>
      </w:pPr>
      <w:r>
        <w:rPr>
          <w:rFonts w:ascii="Times New Roman" w:cs="Times New Roman" w:eastAsia="Times New Roman" w:hAnsi="Times New Roman"/>
          <w:sz w:val="17"/>
          <w:szCs w:val="17"/>
          <w:color w:val="auto"/>
        </w:rPr>
        <w:t>Pursuant to an arrangement agreement, dated as of December 15, 2020, as amended on February 19, 2021, between Tilray and Aphria Inc., Tilray implemented an arrangement (the “Arrangement”) under the Business Corporations Act (Ontario) in accordance with a plan of arrangement. The Arrangement was completed on April 30, 2021.</w:t>
      </w:r>
    </w:p>
    <w:p>
      <w:pPr>
        <w:spacing w:after="0" w:line="66" w:lineRule="exact"/>
        <w:rPr>
          <w:sz w:val="20"/>
          <w:szCs w:val="20"/>
          <w:color w:val="auto"/>
        </w:rPr>
      </w:pPr>
    </w:p>
    <w:p>
      <w:pPr>
        <w:ind w:left="460" w:right="559" w:firstLine="348"/>
        <w:spacing w:after="0" w:line="275" w:lineRule="auto"/>
        <w:rPr>
          <w:sz w:val="20"/>
          <w:szCs w:val="20"/>
          <w:color w:val="auto"/>
        </w:rPr>
      </w:pPr>
      <w:r>
        <w:rPr>
          <w:rFonts w:ascii="Times New Roman" w:cs="Times New Roman" w:eastAsia="Times New Roman" w:hAnsi="Times New Roman"/>
          <w:sz w:val="17"/>
          <w:szCs w:val="17"/>
          <w:color w:val="auto"/>
        </w:rPr>
        <w:t>On January 10, 2022, Tilray, Inc. changed its corporate name to Tilray Brands, Inc., pursuant to a second certificate of amendment of the amended and restated certificate of incorporation filed with the Delaware Secretary of State (the “Name Change”), and amended and restated its Bylaws on that same date to reflect the Name Change.</w:t>
      </w:r>
    </w:p>
    <w:p>
      <w:pPr>
        <w:spacing w:after="0" w:line="58" w:lineRule="exact"/>
        <w:rPr>
          <w:sz w:val="20"/>
          <w:szCs w:val="20"/>
          <w:color w:val="auto"/>
        </w:rPr>
      </w:pPr>
    </w:p>
    <w:p>
      <w:pPr>
        <w:ind w:left="460" w:right="459" w:firstLine="348"/>
        <w:spacing w:after="0" w:line="267" w:lineRule="auto"/>
        <w:rPr>
          <w:sz w:val="20"/>
          <w:szCs w:val="20"/>
          <w:color w:val="auto"/>
        </w:rPr>
      </w:pPr>
      <w:r>
        <w:rPr>
          <w:rFonts w:ascii="Times New Roman" w:cs="Times New Roman" w:eastAsia="Times New Roman" w:hAnsi="Times New Roman"/>
          <w:sz w:val="17"/>
          <w:szCs w:val="17"/>
          <w:color w:val="auto"/>
        </w:rPr>
        <w:t>On March 16, 2023, Tilray’s stockholders formally approved a proposal to amend its certificate of incorporation (the “Charter Amendment”), which modified Tilray’s existing certificate of incorporation by canceling its Class 1 common stock and re-allocating such authorized shares to Class 2 common stock. In addition, the Charter Amendment reclassified each issued and outstanding share of Class 2 common stock as one share of Common Stock of Tilray.</w:t>
      </w:r>
    </w:p>
    <w:p>
      <w:pPr>
        <w:spacing w:after="0" w:line="278" w:lineRule="exact"/>
        <w:rPr>
          <w:sz w:val="20"/>
          <w:szCs w:val="20"/>
          <w:color w:val="auto"/>
        </w:rPr>
      </w:pPr>
    </w:p>
    <w:p>
      <w:pPr>
        <w:ind w:left="460" w:right="499" w:firstLine="348"/>
        <w:spacing w:after="0" w:line="263" w:lineRule="auto"/>
        <w:rPr>
          <w:sz w:val="20"/>
          <w:szCs w:val="20"/>
          <w:color w:val="auto"/>
        </w:rPr>
      </w:pPr>
      <w:r>
        <w:rPr>
          <w:rFonts w:ascii="Times New Roman" w:cs="Times New Roman" w:eastAsia="Times New Roman" w:hAnsi="Times New Roman"/>
          <w:sz w:val="17"/>
          <w:szCs w:val="17"/>
          <w:color w:val="auto"/>
        </w:rPr>
        <w:t>On April 10, 2023, Tilray entered into an arrangement agreement, as amended on June 1, 2023, with HEXO Corp. (“HEXO”), pursuant to which Tilray agreed to acquire all of the issued and outstanding common shares of HEXO pursuant to a plan of arrangement under the Business Corporations Act (Ontario). This transaction builds on the successful strategic alliance between the two companies and positions Tilray for continued strong growth and market leadership in Canada, the largest federally legal cannabis market in the world. The acquisition of HEXO closed on June 22, 2023.</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127635</wp:posOffset>
            </wp:positionV>
            <wp:extent cx="675640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4" w:name="page5"/>
    <w:bookmarkEnd w:id="4"/>
    <w:p>
      <w:pPr>
        <w:ind w:left="2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85090</wp:posOffset>
            </wp:positionV>
            <wp:extent cx="5460365" cy="20243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60365" cy="202438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460" w:right="479" w:firstLine="348"/>
        <w:spacing w:after="0" w:line="261" w:lineRule="auto"/>
        <w:rPr>
          <w:sz w:val="20"/>
          <w:szCs w:val="20"/>
          <w:color w:val="auto"/>
        </w:rPr>
      </w:pPr>
      <w:r>
        <w:rPr>
          <w:rFonts w:ascii="Times New Roman" w:cs="Times New Roman" w:eastAsia="Times New Roman" w:hAnsi="Times New Roman"/>
          <w:sz w:val="17"/>
          <w:szCs w:val="17"/>
          <w:color w:val="auto"/>
        </w:rPr>
        <w:t>Effective December 1, 2025, Tilray effected a one-for-ten reverse stock split of its outstanding Common Stock (the “Reverse Stock Split”), pursuant to a certificate of amendment to its certificate of incorporation filed on November 26, 2025, as approved at a special meeting of stockholders on June 10, 2025 and by Tilray’s board of directors. The Common Stock began trading on Nasdaq and the TSX on a split-adjusted basis on December 2, 2025, under the existing symbol “TLRY” with a new CUSIP number of 88688T209. Fractional shares resulting from the Reverse Stock Split were rounded down to the nearest whole share, with stockholders receiving cash in lieu thereof. All outstanding securities convertible into or exercisable for Common Stock were adjusted to reflect the Reverse Stock Split in accordance with their terms.</w:t>
      </w:r>
    </w:p>
    <w:p>
      <w:pPr>
        <w:spacing w:after="0" w:line="73" w:lineRule="exact"/>
        <w:rPr>
          <w:sz w:val="20"/>
          <w:szCs w:val="20"/>
          <w:color w:val="auto"/>
        </w:rPr>
      </w:pPr>
    </w:p>
    <w:p>
      <w:pPr>
        <w:ind w:left="460" w:right="519" w:firstLine="348"/>
        <w:spacing w:after="0" w:line="268" w:lineRule="auto"/>
        <w:rPr>
          <w:sz w:val="20"/>
          <w:szCs w:val="20"/>
          <w:color w:val="auto"/>
        </w:rPr>
      </w:pPr>
      <w:r>
        <w:rPr>
          <w:rFonts w:ascii="Times New Roman" w:cs="Times New Roman" w:eastAsia="Times New Roman" w:hAnsi="Times New Roman"/>
          <w:sz w:val="17"/>
          <w:szCs w:val="17"/>
          <w:color w:val="auto"/>
        </w:rPr>
        <w:t>Tilray’s principal executive office is located at 265 Talbot Street West, Leamington, Ontario, Canada and its telephone number is (844) 845-7291. Its corporate website address is www.tilray.com. Information contained on or accessible through such website is not a part of this prospectus supplement, and the inclusion of the website address in this prospectus supplement is an inactive textual reference only.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127635</wp:posOffset>
            </wp:positionV>
            <wp:extent cx="675640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5" w:name="page6"/>
    <w:bookmarkEnd w:id="5"/>
    <w:p>
      <w:pPr>
        <w:ind w:left="22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92075</wp:posOffset>
            </wp:positionV>
            <wp:extent cx="5460365" cy="76136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60365" cy="761365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9019"/>
          </w:cols>
          <w:pgMar w:left="1440" w:top="258" w:right="1440" w:bottom="1440" w:gutter="0" w:footer="0" w:header="0"/>
        </w:sectPr>
      </w:pP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Common Stock offered by us</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jc w:val="both"/>
        <w:ind w:right="719"/>
        <w:spacing w:after="0" w:line="275" w:lineRule="auto"/>
        <w:rPr>
          <w:sz w:val="20"/>
          <w:szCs w:val="20"/>
          <w:color w:val="auto"/>
        </w:rPr>
      </w:pPr>
      <w:r>
        <w:rPr>
          <w:rFonts w:ascii="Times New Roman" w:cs="Times New Roman" w:eastAsia="Times New Roman" w:hAnsi="Times New Roman"/>
          <w:sz w:val="17"/>
          <w:szCs w:val="17"/>
          <w:color w:val="auto"/>
        </w:rPr>
        <w:t>Shares of our Common Stock having an aggregate offering price of up to $180,000,000 from time to time through the sales agents.</w:t>
      </w:r>
    </w:p>
    <w:p>
      <w:pPr>
        <w:spacing w:after="0" w:line="56" w:lineRule="exact"/>
        <w:rPr>
          <w:sz w:val="20"/>
          <w:szCs w:val="20"/>
          <w:color w:val="auto"/>
        </w:rPr>
      </w:pPr>
    </w:p>
    <w:p>
      <w:pPr>
        <w:sectPr>
          <w:pgSz w:w="11900" w:h="16838" w:orient="portrait"/>
          <w:cols w:equalWidth="0" w:num="2">
            <w:col w:w="3480" w:space="720"/>
            <w:col w:w="4819"/>
          </w:cols>
          <w:pgMar w:left="1440" w:top="258" w:right="1440" w:bottom="1440" w:gutter="0" w:footer="0" w:header="0"/>
          <w:type w:val="continuous"/>
        </w:sectPr>
      </w:pPr>
    </w:p>
    <w:p>
      <w:pPr>
        <w:ind w:left="620" w:hanging="173"/>
        <w:spacing w:after="0" w:line="297" w:lineRule="auto"/>
        <w:rPr>
          <w:sz w:val="20"/>
          <w:szCs w:val="20"/>
          <w:color w:val="auto"/>
        </w:rPr>
      </w:pPr>
      <w:r>
        <w:rPr>
          <w:rFonts w:ascii="Times New Roman" w:cs="Times New Roman" w:eastAsia="Times New Roman" w:hAnsi="Times New Roman"/>
          <w:sz w:val="17"/>
          <w:szCs w:val="17"/>
          <w:b w:val="1"/>
          <w:bCs w:val="1"/>
          <w:color w:val="auto"/>
        </w:rPr>
        <w:t>Common Stock to be outstanding immediately after this offering</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 to 144,485,331 shares (as more fully described in the notes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following this table), assuming sales of 26,049,204 shares of</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Common Stock in this offering at an offering price of</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$6.91 per share, which was the last sale price of our Common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 on Nasdaq on April 14, 2026. The actual number of</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Common Stock issued will vary depending on the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sales price under this offering.</w:t>
      </w:r>
    </w:p>
    <w:p>
      <w:pPr>
        <w:spacing w:after="0" w:line="136" w:lineRule="exact"/>
        <w:rPr>
          <w:sz w:val="20"/>
          <w:szCs w:val="20"/>
          <w:color w:val="auto"/>
        </w:rPr>
      </w:pPr>
    </w:p>
    <w:p>
      <w:pPr>
        <w:sectPr>
          <w:pgSz w:w="11900" w:h="16838" w:orient="portrait"/>
          <w:cols w:equalWidth="0" w:num="2">
            <w:col w:w="3880" w:space="320"/>
            <w:col w:w="4819"/>
          </w:cols>
          <w:pgMar w:left="1440" w:top="258"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b w:val="1"/>
          <w:bCs w:val="1"/>
          <w:color w:val="auto"/>
        </w:rPr>
        <w:t>Manner of offering</w:t>
      </w:r>
    </w:p>
    <w:p>
      <w:pPr>
        <w:spacing w:after="0" w:line="20" w:lineRule="exact"/>
        <w:rPr>
          <w:sz w:val="20"/>
          <w:szCs w:val="20"/>
          <w:color w:val="auto"/>
        </w:rPr>
      </w:pPr>
      <w:r>
        <w:rPr>
          <w:sz w:val="20"/>
          <w:szCs w:val="20"/>
          <w:color w:val="auto"/>
        </w:rPr>
        <w:br w:type="column"/>
      </w:r>
    </w:p>
    <w:p>
      <w:pPr>
        <w:ind w:right="559"/>
        <w:spacing w:after="0" w:line="294" w:lineRule="auto"/>
        <w:rPr>
          <w:sz w:val="20"/>
          <w:szCs w:val="20"/>
          <w:color w:val="auto"/>
        </w:rPr>
      </w:pPr>
      <w:r>
        <w:rPr>
          <w:rFonts w:ascii="Times New Roman" w:cs="Times New Roman" w:eastAsia="Times New Roman" w:hAnsi="Times New Roman"/>
          <w:sz w:val="17"/>
          <w:szCs w:val="17"/>
          <w:color w:val="auto"/>
        </w:rPr>
        <w:t>“At the market offering” that may be made from time to time through our sales agents.</w:t>
      </w:r>
    </w:p>
    <w:p>
      <w:pPr>
        <w:spacing w:after="0" w:line="43" w:lineRule="exact"/>
        <w:rPr>
          <w:sz w:val="20"/>
          <w:szCs w:val="20"/>
          <w:color w:val="auto"/>
        </w:rPr>
      </w:pPr>
    </w:p>
    <w:p>
      <w:pPr>
        <w:sectPr>
          <w:pgSz w:w="11900" w:h="16838" w:orient="portrait"/>
          <w:cols w:equalWidth="0" w:num="2">
            <w:col w:w="3480" w:space="720"/>
            <w:col w:w="4819"/>
          </w:cols>
          <w:pgMar w:left="1440" w:top="258" w:right="1440" w:bottom="1440" w:gutter="0" w:footer="0" w:header="0"/>
          <w:type w:val="continuous"/>
        </w:sectPr>
      </w:pPr>
    </w:p>
    <w:p>
      <w:pPr>
        <w:ind w:left="4200"/>
        <w:spacing w:after="0"/>
        <w:rPr>
          <w:sz w:val="20"/>
          <w:szCs w:val="20"/>
          <w:color w:val="auto"/>
        </w:rPr>
      </w:pPr>
      <w:r>
        <w:rPr>
          <w:rFonts w:ascii="Times New Roman" w:cs="Times New Roman" w:eastAsia="Times New Roman" w:hAnsi="Times New Roman"/>
          <w:sz w:val="17"/>
          <w:szCs w:val="17"/>
          <w:color w:val="auto"/>
        </w:rPr>
        <w:t>The Common Stock offered hereby have not been and will not</w:t>
      </w:r>
    </w:p>
    <w:p>
      <w:pPr>
        <w:spacing w:after="0" w:line="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color w:val="auto"/>
        </w:rPr>
        <w:t>be qualified for sale under the securities laws of any province</w:t>
      </w:r>
    </w:p>
    <w:p>
      <w:pPr>
        <w:spacing w:after="0" w:line="1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color w:val="auto"/>
        </w:rPr>
        <w:t>or territory of Canada and will not be offered or sold under the</w:t>
      </w:r>
    </w:p>
    <w:p>
      <w:pPr>
        <w:spacing w:after="0" w:line="1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color w:val="auto"/>
        </w:rPr>
        <w:t>Sales Agreement in Canada. No Common Stock will be sold</w:t>
      </w:r>
    </w:p>
    <w:p>
      <w:pPr>
        <w:spacing w:after="0" w:line="1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color w:val="auto"/>
        </w:rPr>
        <w:t>on the Toronto Stock Exchange or on other trading markets in</w:t>
      </w:r>
    </w:p>
    <w:p>
      <w:pPr>
        <w:spacing w:after="0" w:line="1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color w:val="auto"/>
        </w:rPr>
        <w:t>Canada as at-the-market distributions.</w:t>
      </w:r>
    </w:p>
    <w:p>
      <w:pPr>
        <w:spacing w:after="0" w:line="13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color w:val="auto"/>
        </w:rPr>
        <w:t>See “Plan of Distribution.”</w:t>
      </w:r>
    </w:p>
    <w:p>
      <w:pPr>
        <w:sectPr>
          <w:pgSz w:w="11900" w:h="16838" w:orient="portrait"/>
          <w:cols w:equalWidth="0" w:num="1">
            <w:col w:w="9019"/>
          </w:cols>
          <w:pgMar w:left="1440" w:top="258" w:right="1440" w:bottom="1440" w:gutter="0" w:footer="0" w:header="0"/>
          <w:type w:val="continuous"/>
        </w:sectPr>
      </w:pP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right="459"/>
        <w:spacing w:after="0" w:line="259" w:lineRule="auto"/>
        <w:rPr>
          <w:sz w:val="20"/>
          <w:szCs w:val="20"/>
          <w:color w:val="auto"/>
        </w:rPr>
      </w:pPr>
      <w:r>
        <w:rPr>
          <w:rFonts w:ascii="Times New Roman" w:cs="Times New Roman" w:eastAsia="Times New Roman" w:hAnsi="Times New Roman"/>
          <w:sz w:val="17"/>
          <w:szCs w:val="17"/>
          <w:color w:val="auto"/>
        </w:rPr>
        <w:t>We currently intend to use the net proceeds from the sale of the securities under this prospectus supplement for strategic and accretive acquisitions or investments in businesses, including potential acquisitions of assets in the U.S. and internationally in order to capitalize on expected regulatory advancements or expansion opportunities. Our management will have broad discretion in the timing and application of these net proceeds. We do not currently intend to use the net proceeds for general working capital purposes. Pending the use of the net proceeds, we intend to invest the net proceeds in short-term, investment-grade, interest-bearing securities.</w:t>
      </w:r>
    </w:p>
    <w:p>
      <w:pPr>
        <w:spacing w:after="0" w:line="118" w:lineRule="exact"/>
        <w:rPr>
          <w:sz w:val="20"/>
          <w:szCs w:val="20"/>
          <w:color w:val="auto"/>
        </w:rPr>
      </w:pPr>
    </w:p>
    <w:p>
      <w:pPr>
        <w:sectPr>
          <w:pgSz w:w="11900" w:h="16838" w:orient="portrait"/>
          <w:cols w:equalWidth="0" w:num="2">
            <w:col w:w="3480" w:space="720"/>
            <w:col w:w="4819"/>
          </w:cols>
          <w:pgMar w:left="1440" w:top="258" w:right="1440" w:bottom="1440" w:gutter="0" w:footer="0" w:header="0"/>
          <w:type w:val="continuous"/>
        </w:sectPr>
      </w:pPr>
    </w:p>
    <w:p>
      <w:pPr>
        <w:ind w:left="4200"/>
        <w:spacing w:after="0"/>
        <w:rPr>
          <w:sz w:val="20"/>
          <w:szCs w:val="20"/>
          <w:color w:val="auto"/>
        </w:rPr>
      </w:pPr>
      <w:r>
        <w:rPr>
          <w:rFonts w:ascii="Times New Roman" w:cs="Times New Roman" w:eastAsia="Times New Roman" w:hAnsi="Times New Roman"/>
          <w:sz w:val="17"/>
          <w:szCs w:val="17"/>
          <w:color w:val="auto"/>
        </w:rPr>
        <w:t>See “Use of Proceeds.”</w:t>
      </w:r>
    </w:p>
    <w:p>
      <w:pPr>
        <w:sectPr>
          <w:pgSz w:w="11900" w:h="16838" w:orient="portrait"/>
          <w:cols w:equalWidth="0" w:num="1">
            <w:col w:w="9019"/>
          </w:cols>
          <w:pgMar w:left="1440" w:top="258" w:right="1440" w:bottom="1440" w:gutter="0" w:footer="0" w:header="0"/>
          <w:type w:val="continuous"/>
        </w:sectPr>
      </w:pP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right="459"/>
        <w:spacing w:after="0" w:line="265" w:lineRule="auto"/>
        <w:rPr>
          <w:sz w:val="20"/>
          <w:szCs w:val="20"/>
          <w:color w:val="auto"/>
        </w:rPr>
      </w:pPr>
      <w:r>
        <w:rPr>
          <w:rFonts w:ascii="Times New Roman" w:cs="Times New Roman" w:eastAsia="Times New Roman" w:hAnsi="Times New Roman"/>
          <w:sz w:val="17"/>
          <w:szCs w:val="17"/>
          <w:color w:val="auto"/>
        </w:rPr>
        <w:t>Investing in our Common Stock involves significant risks. See the disclosure under the heading “Risk Factors” in this prospectus supplement and under similar headings in other documents incorporated by reference into this prospectus supplement.</w:t>
      </w:r>
    </w:p>
    <w:p>
      <w:pPr>
        <w:spacing w:after="0" w:line="92" w:lineRule="exact"/>
        <w:rPr>
          <w:sz w:val="20"/>
          <w:szCs w:val="20"/>
          <w:color w:val="auto"/>
        </w:rPr>
      </w:pPr>
    </w:p>
    <w:p>
      <w:pPr>
        <w:sectPr>
          <w:pgSz w:w="11900" w:h="16838" w:orient="portrait"/>
          <w:cols w:equalWidth="0" w:num="2">
            <w:col w:w="3480" w:space="720"/>
            <w:col w:w="4819"/>
          </w:cols>
          <w:pgMar w:left="1440" w:top="258"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b w:val="1"/>
          <w:bCs w:val="1"/>
          <w:color w:val="auto"/>
        </w:rPr>
        <w:t>Nasdaq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“TLRY”</w:t>
      </w:r>
    </w:p>
    <w:p>
      <w:pPr>
        <w:spacing w:after="0" w:line="117" w:lineRule="exact"/>
        <w:rPr>
          <w:sz w:val="20"/>
          <w:szCs w:val="20"/>
          <w:color w:val="auto"/>
        </w:rPr>
      </w:pPr>
    </w:p>
    <w:p>
      <w:pPr>
        <w:sectPr>
          <w:pgSz w:w="11900" w:h="16838" w:orient="portrait"/>
          <w:cols w:equalWidth="0" w:num="2">
            <w:col w:w="3480" w:space="720"/>
            <w:col w:w="4819"/>
          </w:cols>
          <w:pgMar w:left="1440" w:top="258" w:right="1440" w:bottom="1440" w:gutter="0" w:footer="0" w:header="0"/>
          <w:type w:val="continuous"/>
        </w:sectPr>
      </w:pPr>
    </w:p>
    <w:p>
      <w:pPr>
        <w:ind w:left="460" w:right="459" w:firstLine="348"/>
        <w:spacing w:after="0" w:line="294" w:lineRule="auto"/>
        <w:rPr>
          <w:sz w:val="20"/>
          <w:szCs w:val="20"/>
          <w:color w:val="auto"/>
        </w:rPr>
      </w:pPr>
      <w:r>
        <w:rPr>
          <w:rFonts w:ascii="Times New Roman" w:cs="Times New Roman" w:eastAsia="Times New Roman" w:hAnsi="Times New Roman"/>
          <w:sz w:val="17"/>
          <w:szCs w:val="17"/>
          <w:color w:val="auto"/>
        </w:rPr>
        <w:t>The number of shares of our Common Stock outstanding is based on 116,548,663 shares of our Common Stock outstanding as of March 30, 2026 and excludes:</w:t>
      </w:r>
    </w:p>
    <w:p>
      <w:pPr>
        <w:spacing w:after="0" w:line="43" w:lineRule="exact"/>
        <w:rPr>
          <w:sz w:val="20"/>
          <w:szCs w:val="20"/>
          <w:color w:val="auto"/>
        </w:rPr>
      </w:pPr>
    </w:p>
    <w:p>
      <w:pPr>
        <w:ind w:left="1140" w:right="779" w:hanging="339"/>
        <w:spacing w:after="0" w:line="294" w:lineRule="auto"/>
        <w:tabs>
          <w:tab w:leader="none" w:pos="11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303,199 shares of Common Stock issuable upon exercise of outstanding stock options as of March 30, 2026, at a weighted-average exercise price of $279.55 per share;</w:t>
      </w:r>
    </w:p>
    <w:p>
      <w:pPr>
        <w:spacing w:after="0" w:line="42" w:lineRule="exact"/>
        <w:rPr>
          <w:rFonts w:ascii="Times New Roman" w:cs="Times New Roman" w:eastAsia="Times New Roman" w:hAnsi="Times New Roman"/>
          <w:sz w:val="17"/>
          <w:szCs w:val="17"/>
          <w:color w:val="auto"/>
        </w:rPr>
      </w:pPr>
    </w:p>
    <w:p>
      <w:pPr>
        <w:ind w:left="1140" w:right="459" w:hanging="339"/>
        <w:spacing w:after="0" w:line="294" w:lineRule="auto"/>
        <w:tabs>
          <w:tab w:leader="none" w:pos="11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5,839,286 shares of Common Stock issuable upon vesting of restricted stock units outstanding as of March 30, 2026; and</w:t>
      </w:r>
    </w:p>
    <w:p>
      <w:pPr>
        <w:spacing w:after="0" w:line="42" w:lineRule="exact"/>
        <w:rPr>
          <w:rFonts w:ascii="Times New Roman" w:cs="Times New Roman" w:eastAsia="Times New Roman" w:hAnsi="Times New Roman"/>
          <w:sz w:val="17"/>
          <w:szCs w:val="17"/>
          <w:color w:val="auto"/>
        </w:rPr>
      </w:pPr>
    </w:p>
    <w:p>
      <w:pPr>
        <w:ind w:left="1140" w:right="619" w:hanging="339"/>
        <w:spacing w:after="0" w:line="294" w:lineRule="auto"/>
        <w:tabs>
          <w:tab w:leader="none" w:pos="11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637,748 shares of Common Stock reserved for future issuance under the Company’s 2018 Amended and Restated Tilray Brands, Inc. Equity Incentive Plan.</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127635</wp:posOffset>
            </wp:positionV>
            <wp:extent cx="675640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type w:val="continuous"/>
        </w:sectPr>
      </w:pPr>
    </w:p>
    <w:bookmarkStart w:id="6" w:name="page7"/>
    <w:bookmarkEnd w:id="6"/>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ind w:left="440" w:right="459" w:firstLine="347"/>
        <w:spacing w:after="0" w:line="258" w:lineRule="auto"/>
        <w:rPr>
          <w:sz w:val="20"/>
          <w:szCs w:val="20"/>
          <w:color w:val="auto"/>
        </w:rPr>
      </w:pPr>
      <w:r>
        <w:rPr>
          <w:rFonts w:ascii="Times New Roman" w:cs="Times New Roman" w:eastAsia="Times New Roman" w:hAnsi="Times New Roman"/>
          <w:sz w:val="17"/>
          <w:szCs w:val="17"/>
          <w:color w:val="auto"/>
        </w:rPr>
        <w:t>Investing in our securities involves a high degree of risk. Before deciding whether to invest in our securities, you should consider carefully the risks and uncertainties described under the heading “Risk Factors” contained herein and in the accompanying prospectus, and any related free writing prospectus, and described under the section entitled “Risk Factors” contained in our most recent annual report on Form 10-K, as well as any amendments thereto reflected in subsequent filings with the SEC, which are incorporated by reference into this prospectus supplement in their entirety, together with other information in this prospectus supplement, the accompanying prospectus, documents incorporated by reference and any free writing prospectus that we may authorize for use in connection with a specific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cash flow or prospects could be seriously harmed. This could cause the trading price of our securities to decline, resulting in a loss of all or part of your investment. Please also carefully read the section below entitled “Special Note Regarding Forward-Looking Statements.”</w:t>
      </w:r>
    </w:p>
    <w:p>
      <w:pPr>
        <w:spacing w:after="0" w:line="2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Risks Related to This Offering</w:t>
      </w:r>
    </w:p>
    <w:p>
      <w:pPr>
        <w:spacing w:after="0" w:line="115" w:lineRule="exact"/>
        <w:rPr>
          <w:sz w:val="20"/>
          <w:szCs w:val="20"/>
          <w:color w:val="auto"/>
        </w:rPr>
      </w:pPr>
    </w:p>
    <w:p>
      <w:pPr>
        <w:ind w:left="440" w:right="799"/>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You may experience significant dilution as a result of sales of shares pursuant to this prospectus supplement, which may adversely affect the per share trading price of our Common Stock.</w:t>
      </w:r>
    </w:p>
    <w:p>
      <w:pPr>
        <w:spacing w:after="0" w:line="38" w:lineRule="exact"/>
        <w:rPr>
          <w:sz w:val="20"/>
          <w:szCs w:val="20"/>
          <w:color w:val="auto"/>
        </w:rPr>
      </w:pPr>
    </w:p>
    <w:p>
      <w:pPr>
        <w:ind w:left="440" w:right="499" w:firstLine="347"/>
        <w:spacing w:after="0" w:line="265" w:lineRule="auto"/>
        <w:rPr>
          <w:sz w:val="20"/>
          <w:szCs w:val="20"/>
          <w:color w:val="auto"/>
        </w:rPr>
      </w:pPr>
      <w:r>
        <w:rPr>
          <w:rFonts w:ascii="Times New Roman" w:cs="Times New Roman" w:eastAsia="Times New Roman" w:hAnsi="Times New Roman"/>
          <w:sz w:val="17"/>
          <w:szCs w:val="17"/>
          <w:color w:val="auto"/>
        </w:rPr>
        <w:t>Sales of shares pursuant to this prospectus supplement may have a dilutive effect on our earnings per share and funds from operations per share after giving effect to the issuance of our Common Stock and the application of the expected net proceeds. The actual amount of dilution from sales of shares pursuant to this prospectus supplement, or from any future offering of common or preferred stock, will be based on numerous factors, particularly the use of proceeds and the return generated by such investment, and cannot be determined at this time.</w:t>
      </w:r>
    </w:p>
    <w:p>
      <w:pPr>
        <w:spacing w:after="0" w:line="168" w:lineRule="exact"/>
        <w:rPr>
          <w:sz w:val="20"/>
          <w:szCs w:val="20"/>
          <w:color w:val="auto"/>
        </w:rPr>
      </w:pPr>
    </w:p>
    <w:p>
      <w:pPr>
        <w:ind w:left="440" w:right="519"/>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The actual number of shares we will issue under the Sales Agreement with the sales agents, at any one time or in total, is uncertain.</w:t>
      </w:r>
    </w:p>
    <w:p>
      <w:pPr>
        <w:spacing w:after="0" w:line="38" w:lineRule="exact"/>
        <w:rPr>
          <w:sz w:val="20"/>
          <w:szCs w:val="20"/>
          <w:color w:val="auto"/>
        </w:rPr>
      </w:pPr>
    </w:p>
    <w:p>
      <w:pPr>
        <w:ind w:left="440" w:right="519" w:firstLine="347"/>
        <w:spacing w:after="0" w:line="268" w:lineRule="auto"/>
        <w:rPr>
          <w:sz w:val="20"/>
          <w:szCs w:val="20"/>
          <w:color w:val="auto"/>
        </w:rPr>
      </w:pPr>
      <w:r>
        <w:rPr>
          <w:rFonts w:ascii="Times New Roman" w:cs="Times New Roman" w:eastAsia="Times New Roman" w:hAnsi="Times New Roman"/>
          <w:sz w:val="17"/>
          <w:szCs w:val="17"/>
          <w:color w:val="auto"/>
        </w:rPr>
        <w:t>Subject to certain limitations in the Sales Agreement with the sales agents and compliance with applicable law, we have the discretion to deliver placement notices to a sales agent at any time throughout the term of the Sales Agreement. The number of shares that are sold by the sales agent after delivering a placement notice will fluctuate based on the market price of the Common Stock during the sales period and limits we set with that sales agent.</w:t>
      </w:r>
    </w:p>
    <w:p>
      <w:pPr>
        <w:spacing w:after="0" w:line="166" w:lineRule="exact"/>
        <w:rPr>
          <w:sz w:val="20"/>
          <w:szCs w:val="20"/>
          <w:color w:val="auto"/>
        </w:rPr>
      </w:pPr>
    </w:p>
    <w:p>
      <w:pPr>
        <w:ind w:left="440" w:right="539"/>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Sales of our Common Stock in this offering, or the perception that such sales may occur, could cause the market price of our Common Stock to fall.</w:t>
      </w:r>
    </w:p>
    <w:p>
      <w:pPr>
        <w:spacing w:after="0" w:line="38" w:lineRule="exact"/>
        <w:rPr>
          <w:sz w:val="20"/>
          <w:szCs w:val="20"/>
          <w:color w:val="auto"/>
        </w:rPr>
      </w:pPr>
    </w:p>
    <w:p>
      <w:pPr>
        <w:ind w:left="440" w:right="499" w:firstLine="347"/>
        <w:spacing w:after="0" w:line="261" w:lineRule="auto"/>
        <w:rPr>
          <w:sz w:val="20"/>
          <w:szCs w:val="20"/>
          <w:color w:val="auto"/>
        </w:rPr>
      </w:pPr>
      <w:r>
        <w:rPr>
          <w:rFonts w:ascii="Times New Roman" w:cs="Times New Roman" w:eastAsia="Times New Roman" w:hAnsi="Times New Roman"/>
          <w:sz w:val="17"/>
          <w:szCs w:val="17"/>
          <w:color w:val="auto"/>
        </w:rPr>
        <w:t>We may issue and sell shares of our Common Stock for aggregate gross proceeds of up to $180,000,000 from time to time in connection with this offering. The actual number of shares of Common Stock that may be issued and sold in this offering, as well as the timing of any such sales, will depend on a number of factors, including, among others, the prices at which any shares are actually sold this offering (which may be influenced by market conditions, the trading price of our Common Stock and other factors) and our determinations as to the appropriate timing, sources and amounts of funding we need. The issuance and sale from time to time of these new shares of Common Stock, or the mere fact that we are able to issue and sell these shares in this offering, could cause the market price of our Common Stock to decline.</w:t>
      </w:r>
    </w:p>
    <w:p>
      <w:pPr>
        <w:spacing w:after="0" w:line="2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Our stockholders may be subject to dilution resulting from future offerings of Common Stock by us.</w:t>
      </w:r>
    </w:p>
    <w:p>
      <w:pPr>
        <w:spacing w:after="0" w:line="121" w:lineRule="exact"/>
        <w:rPr>
          <w:sz w:val="20"/>
          <w:szCs w:val="20"/>
          <w:color w:val="auto"/>
        </w:rPr>
      </w:pPr>
    </w:p>
    <w:p>
      <w:pPr>
        <w:ind w:left="440" w:right="519" w:firstLine="347"/>
        <w:spacing w:after="0" w:line="262" w:lineRule="auto"/>
        <w:rPr>
          <w:sz w:val="20"/>
          <w:szCs w:val="20"/>
          <w:color w:val="auto"/>
        </w:rPr>
      </w:pPr>
      <w:r>
        <w:rPr>
          <w:rFonts w:ascii="Times New Roman" w:cs="Times New Roman" w:eastAsia="Times New Roman" w:hAnsi="Times New Roman"/>
          <w:sz w:val="17"/>
          <w:szCs w:val="17"/>
          <w:color w:val="auto"/>
        </w:rPr>
        <w:t>We may raise additional funds in the future by issuing Common Stock or equity-linked securities. Holders of our securities have no preemptive rights in connection with such further issuances. Our board of directors has the discretion to determine if an issuance of our capital stock is warranted, the price at which such issuance is to be effected and the other terms of any future issuance of capital stock. In addition, additional Common Stock will be issued by us in connection with the exercise of options or grant of other equity awards granted by us. Such additional equity issuances could, depending on the price at which such securities are issued, substantially dilute the interests of the holders of our existing securities.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127635</wp:posOffset>
            </wp:positionV>
            <wp:extent cx="675640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7" w:name="page8"/>
    <w:bookmarkEnd w:id="7"/>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Our management team will have broad discretion with respect to the use of any net proceeds of this offering.</w:t>
      </w:r>
    </w:p>
    <w:p>
      <w:pPr>
        <w:spacing w:after="0" w:line="121" w:lineRule="exact"/>
        <w:rPr>
          <w:sz w:val="20"/>
          <w:szCs w:val="20"/>
          <w:color w:val="auto"/>
        </w:rPr>
      </w:pPr>
    </w:p>
    <w:p>
      <w:pPr>
        <w:ind w:left="440" w:right="559" w:firstLine="347"/>
        <w:spacing w:after="0" w:line="260" w:lineRule="auto"/>
        <w:rPr>
          <w:sz w:val="20"/>
          <w:szCs w:val="20"/>
          <w:color w:val="auto"/>
        </w:rPr>
      </w:pPr>
      <w:r>
        <w:rPr>
          <w:rFonts w:ascii="Times New Roman" w:cs="Times New Roman" w:eastAsia="Times New Roman" w:hAnsi="Times New Roman"/>
          <w:sz w:val="17"/>
          <w:szCs w:val="17"/>
          <w:color w:val="auto"/>
        </w:rPr>
        <w:t>Although we have described the intended use of any net proceeds of this offering in the section titled “Use of Proceeds,” our management will have broad discretion in the application of these net proceeds and could use them for purposes other than those contemplated at the time of this offering. Accordingly, you will be relying on the judgment of our management with regard to the use of these net proceeds, and you will not have the opportunity, as part of your investment decision, to assess whether the proceeds are being used appropriately. Our failure to apply these funds effectively could have a material adverse effect on our business, financial condition, results of operations, liquidity or ability to pay dividends and cause the price of our Common Stock to decline. Pending another use, we may invest the net proceeds in short-term interest-bearing investment grade instruments. These investments may not yield a favorable return to our stockholders.</w:t>
      </w:r>
    </w:p>
    <w:p>
      <w:pPr>
        <w:spacing w:after="0" w:line="3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There are risks, including stock market volatility, inherent in owning our Common Stock.</w:t>
      </w:r>
    </w:p>
    <w:p>
      <w:pPr>
        <w:spacing w:after="0" w:line="121" w:lineRule="exact"/>
        <w:rPr>
          <w:sz w:val="20"/>
          <w:szCs w:val="20"/>
          <w:color w:val="auto"/>
        </w:rPr>
      </w:pPr>
    </w:p>
    <w:p>
      <w:pPr>
        <w:ind w:left="440" w:right="519" w:firstLine="347"/>
        <w:spacing w:after="0" w:line="268" w:lineRule="auto"/>
        <w:rPr>
          <w:sz w:val="20"/>
          <w:szCs w:val="20"/>
          <w:color w:val="auto"/>
        </w:rPr>
      </w:pPr>
      <w:r>
        <w:rPr>
          <w:rFonts w:ascii="Times New Roman" w:cs="Times New Roman" w:eastAsia="Times New Roman" w:hAnsi="Times New Roman"/>
          <w:sz w:val="17"/>
          <w:szCs w:val="17"/>
          <w:color w:val="auto"/>
        </w:rPr>
        <w:t>The market price and volume of our Common Stock have been, and may continue to be, subject to significant fluctuations. These fluctuations may arise from general stock market conditions, the impact of risk factors described herein on our results of operations and financial position, or a change in opinion in the market regarding our business prospects, financial performance and other factors.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127635</wp:posOffset>
            </wp:positionV>
            <wp:extent cx="675640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8" w:name="page9"/>
    <w:bookmarkEnd w:id="8"/>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119" w:lineRule="exact"/>
        <w:rPr>
          <w:sz w:val="20"/>
          <w:szCs w:val="20"/>
          <w:color w:val="auto"/>
        </w:rPr>
      </w:pPr>
    </w:p>
    <w:p>
      <w:pPr>
        <w:ind w:left="440" w:right="439" w:firstLine="347"/>
        <w:spacing w:after="0" w:line="257" w:lineRule="auto"/>
        <w:rPr>
          <w:sz w:val="20"/>
          <w:szCs w:val="20"/>
          <w:color w:val="auto"/>
        </w:rPr>
      </w:pPr>
      <w:r>
        <w:rPr>
          <w:rFonts w:ascii="Times New Roman" w:cs="Times New Roman" w:eastAsia="Times New Roman" w:hAnsi="Times New Roman"/>
          <w:sz w:val="17"/>
          <w:szCs w:val="17"/>
          <w:color w:val="auto"/>
        </w:rPr>
        <w:t>Certain statements in this prospectus supplement and the accompanying prospectus, including the documents incorporated by reference herein and therein, constitute forward-looking information or forward-looking statements within the meaning of Section 27A of the Securities Act, and Section 21E of the Securities Exchange Act of 1934, as amended (the “Exchange Act”), which are intended to be covered by the safe harbor created by such sections and other applicable laws. The forward-looking statements are expressly qualified by this cautionary statement. Forward-looking statements are provided for the purpose of presenting information about management’s current expectations and plans relating to the future, and readers are cautioned that such statements may not be appropriate for other purposes. These statements may include, without limitation, statements regarding our operations, business, financial condition, expected financial results, performance, prospects, opportunities, priorities, targets, goals, ongoing objectives, strategies and outlook. Forward-looking statements are typically identified by words such as “expect”, “intend”, “anticipate”, “believe”, “contemplate”, “foresee”, “forecast”, “future”, “could”, “enable”, “potential”, “estimate”, “project”, “goal”, “plan”, “seek”, “strive”, “will”, “would”, “may” and “should” and similar expressions, although not all forward-looking statements contain these identifying words. Forward-looking statements reflect current beliefs of management with respect to future events and are based on information currently available to management including based on reasonable assumptions, estimates, internal and external analysis and opinions of management concerning its experience, perception of trends, current conditions and expected developments as well as other factors that management believes to be relevant as at the date such statements are made. Forward-looking statements involve significant known and unknown risks and uncertainties. Many factors could cause actual results, performance or achievement to be materially different from any future forward-looking statements. Our estimates, beliefs and assumptions are inherently subject to significant business, economic, competitive and other uncertainties and contingencies regarding future events and as such, are subject to change. We can give no assurance that such estimates, beliefs and assumptions will prove to be correct.</w:t>
      </w:r>
    </w:p>
    <w:p>
      <w:pPr>
        <w:spacing w:after="0" w:line="89" w:lineRule="exact"/>
        <w:rPr>
          <w:sz w:val="20"/>
          <w:szCs w:val="20"/>
          <w:color w:val="auto"/>
        </w:rPr>
      </w:pPr>
    </w:p>
    <w:p>
      <w:pPr>
        <w:ind w:left="440" w:right="939" w:firstLine="347"/>
        <w:spacing w:after="0" w:line="268" w:lineRule="auto"/>
        <w:rPr>
          <w:sz w:val="20"/>
          <w:szCs w:val="20"/>
          <w:color w:val="auto"/>
        </w:rPr>
      </w:pPr>
      <w:r>
        <w:rPr>
          <w:rFonts w:ascii="Times New Roman" w:cs="Times New Roman" w:eastAsia="Times New Roman" w:hAnsi="Times New Roman"/>
          <w:sz w:val="17"/>
          <w:szCs w:val="17"/>
          <w:color w:val="auto"/>
        </w:rPr>
        <w:t>Any information or statements that are contained in this prospectus supplement and the accompanying prospectus, including the documents incorporated by reference herein and therein, that are not statements of historical fact may be deemed to be forward-looking statements, including, but not limited to, statements with regards to:</w:t>
      </w:r>
    </w:p>
    <w:p>
      <w:pPr>
        <w:spacing w:after="0" w:line="66" w:lineRule="exact"/>
        <w:rPr>
          <w:sz w:val="20"/>
          <w:szCs w:val="20"/>
          <w:color w:val="auto"/>
        </w:rPr>
      </w:pPr>
    </w:p>
    <w:p>
      <w:pPr>
        <w:ind w:left="1120" w:right="879" w:hanging="337"/>
        <w:spacing w:after="0" w:line="294" w:lineRule="auto"/>
        <w:tabs>
          <w:tab w:leader="none" w:pos="11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estimates of our financial information, including in respect of expected revenues, margins, cash flow, profitability, and production of cannabis;</w:t>
      </w:r>
    </w:p>
    <w:p>
      <w:pPr>
        <w:spacing w:after="0" w:line="42" w:lineRule="exact"/>
        <w:rPr>
          <w:rFonts w:ascii="Times New Roman" w:cs="Times New Roman" w:eastAsia="Times New Roman" w:hAnsi="Times New Roman"/>
          <w:sz w:val="17"/>
          <w:szCs w:val="17"/>
          <w:color w:val="auto"/>
        </w:rPr>
      </w:pPr>
    </w:p>
    <w:p>
      <w:pPr>
        <w:ind w:left="1120" w:right="1019" w:hanging="337"/>
        <w:spacing w:after="0" w:line="294" w:lineRule="auto"/>
        <w:tabs>
          <w:tab w:leader="none" w:pos="11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estimates of future costs applicable to sales, future capital expenditures, future cost reductions, and projected synergies including pre-tax synergies, cost savings and efficiencies;</w:t>
      </w:r>
    </w:p>
    <w:p>
      <w:pPr>
        <w:spacing w:after="0" w:line="42" w:lineRule="exact"/>
        <w:rPr>
          <w:rFonts w:ascii="Times New Roman" w:cs="Times New Roman" w:eastAsia="Times New Roman" w:hAnsi="Times New Roman"/>
          <w:sz w:val="17"/>
          <w:szCs w:val="17"/>
          <w:color w:val="auto"/>
        </w:rPr>
      </w:pPr>
    </w:p>
    <w:p>
      <w:pPr>
        <w:ind w:left="1120" w:right="779" w:hanging="337"/>
        <w:spacing w:after="0" w:line="294" w:lineRule="auto"/>
        <w:tabs>
          <w:tab w:leader="none" w:pos="11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 to have scalable medical and adult-use cannabis platforms to strengthen the leadership position in Canada, internationally, and eventually in the United States;</w:t>
      </w:r>
    </w:p>
    <w:p>
      <w:pPr>
        <w:spacing w:after="0" w:line="42"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position in the European cannabis markets, and our ability to leverage our current European platforms;</w:t>
      </w:r>
    </w:p>
    <w:p>
      <w:pPr>
        <w:spacing w:after="0" w:line="117"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strategic and financial benefits in connection with the Arrangement;</w:t>
      </w:r>
    </w:p>
    <w:p>
      <w:pPr>
        <w:spacing w:after="0" w:line="117"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legalization of cannabis in the United States and our position to compete in the United States;</w:t>
      </w:r>
    </w:p>
    <w:p>
      <w:pPr>
        <w:spacing w:after="0" w:line="117"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projected growth in our market share and the European market; and</w:t>
      </w:r>
    </w:p>
    <w:p>
      <w:pPr>
        <w:spacing w:after="0" w:line="117" w:lineRule="exact"/>
        <w:rPr>
          <w:rFonts w:ascii="Times New Roman" w:cs="Times New Roman" w:eastAsia="Times New Roman" w:hAnsi="Times New Roman"/>
          <w:sz w:val="17"/>
          <w:szCs w:val="17"/>
          <w:color w:val="auto"/>
        </w:rPr>
      </w:pPr>
    </w:p>
    <w:p>
      <w:pPr>
        <w:ind w:left="1120" w:right="599" w:hanging="337"/>
        <w:spacing w:after="0" w:line="294" w:lineRule="auto"/>
        <w:tabs>
          <w:tab w:leader="none" w:pos="11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 to offer a diversified and branded product offering and distribution footprint, world-class cultivation, processing and manufacturing facilities.</w:t>
      </w:r>
    </w:p>
    <w:p>
      <w:pPr>
        <w:spacing w:after="0" w:line="43" w:lineRule="exact"/>
        <w:rPr>
          <w:sz w:val="20"/>
          <w:szCs w:val="20"/>
          <w:color w:val="auto"/>
        </w:rPr>
      </w:pPr>
    </w:p>
    <w:p>
      <w:pPr>
        <w:ind w:left="440" w:right="519" w:firstLine="347"/>
        <w:spacing w:after="0" w:line="268" w:lineRule="auto"/>
        <w:rPr>
          <w:sz w:val="20"/>
          <w:szCs w:val="20"/>
          <w:color w:val="auto"/>
        </w:rPr>
      </w:pPr>
      <w:r>
        <w:rPr>
          <w:rFonts w:ascii="Times New Roman" w:cs="Times New Roman" w:eastAsia="Times New Roman" w:hAnsi="Times New Roman"/>
          <w:sz w:val="17"/>
          <w:szCs w:val="17"/>
          <w:color w:val="auto"/>
        </w:rPr>
        <w:t>The forward-looking statements contained in this prospectus supplement and the accompanying prospectus, including the documents incorporated by reference herein and therein, are subject to inherent risks and uncertainties and other factors which could cause actual results to differ materially from those anticipated by the forward-looking statements. The factors which could cause results to differ from current expectations include, but are not limited to:</w:t>
      </w:r>
    </w:p>
    <w:p>
      <w:pPr>
        <w:spacing w:after="0" w:line="66" w:lineRule="exact"/>
        <w:rPr>
          <w:sz w:val="20"/>
          <w:szCs w:val="20"/>
          <w:color w:val="auto"/>
        </w:rPr>
      </w:pPr>
    </w:p>
    <w:p>
      <w:pPr>
        <w:ind w:left="1120" w:right="639" w:hanging="337"/>
        <w:spacing w:after="0" w:line="294" w:lineRule="auto"/>
        <w:tabs>
          <w:tab w:leader="none" w:pos="11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achieve the expected revenue or other benefits from the craft beer operations we acquired in the past several years;</w:t>
      </w:r>
    </w:p>
    <w:p>
      <w:pPr>
        <w:spacing w:after="0" w:line="42" w:lineRule="exact"/>
        <w:rPr>
          <w:rFonts w:ascii="Times New Roman" w:cs="Times New Roman" w:eastAsia="Times New Roman" w:hAnsi="Times New Roman"/>
          <w:sz w:val="17"/>
          <w:szCs w:val="17"/>
          <w:color w:val="auto"/>
        </w:rPr>
      </w:pPr>
    </w:p>
    <w:p>
      <w:pPr>
        <w:ind w:left="1120" w:right="1079" w:hanging="337"/>
        <w:spacing w:after="0" w:line="294" w:lineRule="auto"/>
        <w:tabs>
          <w:tab w:leader="none" w:pos="11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experience difficulties integrating operations and realizing the expected benefits of recent acquisitions, including the Craft brands and BrewDog acquisitions;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135890</wp:posOffset>
            </wp:positionV>
            <wp:extent cx="675640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9" w:name="page10"/>
    <w:bookmarkEnd w:id="9"/>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ind w:left="1120" w:right="919" w:hanging="337"/>
        <w:spacing w:after="0" w:line="294" w:lineRule="auto"/>
        <w:tabs>
          <w:tab w:leader="none" w:pos="11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cannabis business is dependent upon regulatory approvals and licenses, ongoing compliance and reporting obligations, and timely renewals;</w:t>
      </w:r>
    </w:p>
    <w:p>
      <w:pPr>
        <w:spacing w:after="0" w:line="42" w:lineRule="exact"/>
        <w:rPr>
          <w:rFonts w:ascii="Times New Roman" w:cs="Times New Roman" w:eastAsia="Times New Roman" w:hAnsi="Times New Roman"/>
          <w:sz w:val="17"/>
          <w:szCs w:val="17"/>
          <w:color w:val="auto"/>
        </w:rPr>
      </w:pPr>
    </w:p>
    <w:p>
      <w:pPr>
        <w:ind w:left="1120" w:right="719" w:hanging="337"/>
        <w:spacing w:after="0" w:line="275" w:lineRule="auto"/>
        <w:tabs>
          <w:tab w:leader="none" w:pos="11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regulatory risks associated with the rescheduling of cannabis from Schedule I to Schedule III under the Controlled Substances Act in the U.S. and uncertainties in the implementation of our planned medical cannabis platform;</w:t>
      </w:r>
    </w:p>
    <w:p>
      <w:pPr>
        <w:spacing w:after="0" w:line="58" w:lineRule="exact"/>
        <w:rPr>
          <w:rFonts w:ascii="Times New Roman" w:cs="Times New Roman" w:eastAsia="Times New Roman" w:hAnsi="Times New Roman"/>
          <w:sz w:val="17"/>
          <w:szCs w:val="17"/>
          <w:color w:val="auto"/>
        </w:rPr>
      </w:pPr>
    </w:p>
    <w:p>
      <w:pPr>
        <w:ind w:left="1120" w:right="579" w:hanging="337"/>
        <w:spacing w:after="0" w:line="275" w:lineRule="auto"/>
        <w:tabs>
          <w:tab w:leader="none" w:pos="11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regulatory risks associated with evolving government regulations, including in November 2025, new U.S. federal regulation which was enacted and banned the production or sale of hemp-derived cannabis, including Delta-9. This restriction is scheduled to go into effect on November 12, 2026;</w:t>
      </w:r>
    </w:p>
    <w:p>
      <w:pPr>
        <w:spacing w:after="0" w:line="58" w:lineRule="exact"/>
        <w:rPr>
          <w:rFonts w:ascii="Times New Roman" w:cs="Times New Roman" w:eastAsia="Times New Roman" w:hAnsi="Times New Roman"/>
          <w:sz w:val="17"/>
          <w:szCs w:val="17"/>
          <w:color w:val="auto"/>
        </w:rPr>
      </w:pPr>
    </w:p>
    <w:p>
      <w:pPr>
        <w:ind w:left="1120" w:right="519" w:hanging="337"/>
        <w:spacing w:after="0" w:line="265" w:lineRule="auto"/>
        <w:tabs>
          <w:tab w:leader="none" w:pos="11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potential modifications to existing regulatory frameworks outside of North America, as well as uncertainties and potential delays in receiving required export/import permits in Europe and Australia. Any unfavorable changes to or lack of commercial legalization, or extended delays in receipt of required permits, could negatively impact our businesses and the potential planned expansion of our business;</w:t>
      </w:r>
    </w:p>
    <w:p>
      <w:pPr>
        <w:spacing w:after="0" w:line="68" w:lineRule="exact"/>
        <w:rPr>
          <w:rFonts w:ascii="Times New Roman" w:cs="Times New Roman" w:eastAsia="Times New Roman" w:hAnsi="Times New Roman"/>
          <w:sz w:val="17"/>
          <w:szCs w:val="17"/>
          <w:color w:val="auto"/>
        </w:rPr>
      </w:pPr>
    </w:p>
    <w:p>
      <w:pPr>
        <w:ind w:left="1120" w:right="739" w:hanging="337"/>
        <w:spacing w:after="0" w:line="294" w:lineRule="auto"/>
        <w:tabs>
          <w:tab w:leader="none" w:pos="11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intense competition, including from the illicit cannabis market, and anticipate competition will increase, which could hurt our business;</w:t>
      </w:r>
    </w:p>
    <w:p>
      <w:pPr>
        <w:spacing w:after="0" w:line="42" w:lineRule="exact"/>
        <w:rPr>
          <w:rFonts w:ascii="Times New Roman" w:cs="Times New Roman" w:eastAsia="Times New Roman" w:hAnsi="Times New Roman"/>
          <w:sz w:val="17"/>
          <w:szCs w:val="17"/>
          <w:color w:val="auto"/>
        </w:rPr>
      </w:pPr>
    </w:p>
    <w:p>
      <w:pPr>
        <w:ind w:left="1120" w:right="559" w:hanging="337"/>
        <w:spacing w:after="0" w:line="294" w:lineRule="auto"/>
        <w:tabs>
          <w:tab w:leader="none" w:pos="11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production and processing facilities are integral to our business and adverse changes or developments affecting our facilities may have an adverse impact on our business;</w:t>
      </w:r>
    </w:p>
    <w:p>
      <w:pPr>
        <w:spacing w:after="0" w:line="42"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regulations constrain our ability to market and distribute our products in Canada;</w:t>
      </w:r>
    </w:p>
    <w:p>
      <w:pPr>
        <w:spacing w:after="0" w:line="117" w:lineRule="exact"/>
        <w:rPr>
          <w:rFonts w:ascii="Times New Roman" w:cs="Times New Roman" w:eastAsia="Times New Roman" w:hAnsi="Times New Roman"/>
          <w:sz w:val="17"/>
          <w:szCs w:val="17"/>
          <w:color w:val="auto"/>
        </w:rPr>
      </w:pPr>
    </w:p>
    <w:p>
      <w:pPr>
        <w:ind w:left="1120" w:right="519" w:hanging="337"/>
        <w:spacing w:after="0" w:line="275" w:lineRule="auto"/>
        <w:tabs>
          <w:tab w:leader="none" w:pos="11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United States regulations relating to hemp-derived CBD products, Delta-9 products, and medical cannabis products are new and rapidly evolving, and changes may not develop in the timeframe or manner most favorable to our business objectives;</w:t>
      </w:r>
    </w:p>
    <w:p>
      <w:pPr>
        <w:spacing w:after="0" w:line="58" w:lineRule="exact"/>
        <w:rPr>
          <w:rFonts w:ascii="Times New Roman" w:cs="Times New Roman" w:eastAsia="Times New Roman" w:hAnsi="Times New Roman"/>
          <w:sz w:val="17"/>
          <w:szCs w:val="17"/>
          <w:color w:val="auto"/>
        </w:rPr>
      </w:pPr>
    </w:p>
    <w:p>
      <w:pPr>
        <w:ind w:left="1120" w:right="459" w:hanging="337"/>
        <w:spacing w:after="0" w:line="294" w:lineRule="auto"/>
        <w:tabs>
          <w:tab w:leader="none" w:pos="11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consumer preferences or public attitudes about alcohol could decrease demand for our beverage products;</w:t>
      </w:r>
    </w:p>
    <w:p>
      <w:pPr>
        <w:spacing w:after="0" w:line="42" w:lineRule="exact"/>
        <w:rPr>
          <w:rFonts w:ascii="Times New Roman" w:cs="Times New Roman" w:eastAsia="Times New Roman" w:hAnsi="Times New Roman"/>
          <w:sz w:val="17"/>
          <w:szCs w:val="17"/>
          <w:color w:val="auto"/>
        </w:rPr>
      </w:pPr>
    </w:p>
    <w:p>
      <w:pPr>
        <w:jc w:val="both"/>
        <w:ind w:left="1120" w:right="839" w:hanging="337"/>
        <w:spacing w:after="0" w:line="275" w:lineRule="auto"/>
        <w:tabs>
          <w:tab w:leader="none" w:pos="11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SweetWater, Breckenridge, Montauk, BrewDog and our recently-acquired craft beer brands each face substantial competition in the beer industry or the broader market for beverage products, which could impact our business and financial results;</w:t>
      </w:r>
    </w:p>
    <w:p>
      <w:pPr>
        <w:spacing w:after="0" w:line="58" w:lineRule="exact"/>
        <w:rPr>
          <w:rFonts w:ascii="Times New Roman" w:cs="Times New Roman" w:eastAsia="Times New Roman" w:hAnsi="Times New Roman"/>
          <w:sz w:val="17"/>
          <w:szCs w:val="17"/>
          <w:color w:val="auto"/>
        </w:rPr>
      </w:pPr>
    </w:p>
    <w:p>
      <w:pPr>
        <w:ind w:left="1120" w:right="639" w:hanging="337"/>
        <w:spacing w:after="0" w:line="294" w:lineRule="auto"/>
        <w:tabs>
          <w:tab w:leader="none" w:pos="11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litigation, arbitration and demands, which could result in significant liability and costs, and impact our resources and reputation;</w:t>
      </w:r>
    </w:p>
    <w:p>
      <w:pPr>
        <w:spacing w:after="0" w:line="42" w:lineRule="exact"/>
        <w:rPr>
          <w:rFonts w:ascii="Times New Roman" w:cs="Times New Roman" w:eastAsia="Times New Roman" w:hAnsi="Times New Roman"/>
          <w:sz w:val="17"/>
          <w:szCs w:val="17"/>
          <w:color w:val="auto"/>
        </w:rPr>
      </w:pPr>
    </w:p>
    <w:p>
      <w:pPr>
        <w:ind w:left="1120" w:right="679" w:hanging="337"/>
        <w:spacing w:after="0" w:line="294" w:lineRule="auto"/>
        <w:tabs>
          <w:tab w:leader="none" w:pos="11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may be materially adversely affected by the imposition of duties and tariffs and other trade barriers and retaliatory countermeasures implemented by the U.S. and other governments;</w:t>
      </w:r>
    </w:p>
    <w:p>
      <w:pPr>
        <w:spacing w:after="0" w:line="42" w:lineRule="exact"/>
        <w:rPr>
          <w:rFonts w:ascii="Times New Roman" w:cs="Times New Roman" w:eastAsia="Times New Roman" w:hAnsi="Times New Roman"/>
          <w:sz w:val="17"/>
          <w:szCs w:val="17"/>
          <w:color w:val="auto"/>
        </w:rPr>
      </w:pPr>
    </w:p>
    <w:p>
      <w:pPr>
        <w:ind w:left="1120" w:right="759" w:hanging="337"/>
        <w:spacing w:after="0" w:line="294" w:lineRule="auto"/>
        <w:tabs>
          <w:tab w:leader="none" w:pos="11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impairments of our goodwill and impairments of our long-lived assets could have a material adverse impact on our financial results;</w:t>
      </w:r>
    </w:p>
    <w:p>
      <w:pPr>
        <w:spacing w:after="0" w:line="42" w:lineRule="exact"/>
        <w:rPr>
          <w:rFonts w:ascii="Times New Roman" w:cs="Times New Roman" w:eastAsia="Times New Roman" w:hAnsi="Times New Roman"/>
          <w:sz w:val="17"/>
          <w:szCs w:val="17"/>
          <w:color w:val="auto"/>
        </w:rPr>
      </w:pPr>
    </w:p>
    <w:p>
      <w:pPr>
        <w:ind w:left="1120" w:right="999" w:hanging="337"/>
        <w:spacing w:after="0" w:line="294" w:lineRule="auto"/>
        <w:tabs>
          <w:tab w:leader="none" w:pos="11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limited operating history and a history of net losses, and we may not achieve or maintain profitability in the future;</w:t>
      </w:r>
    </w:p>
    <w:p>
      <w:pPr>
        <w:spacing w:after="0" w:line="42" w:lineRule="exact"/>
        <w:rPr>
          <w:rFonts w:ascii="Times New Roman" w:cs="Times New Roman" w:eastAsia="Times New Roman" w:hAnsi="Times New Roman"/>
          <w:sz w:val="17"/>
          <w:szCs w:val="17"/>
          <w:color w:val="auto"/>
        </w:rPr>
      </w:pPr>
    </w:p>
    <w:p>
      <w:pPr>
        <w:ind w:left="1120" w:right="519" w:hanging="337"/>
        <w:spacing w:after="0" w:line="294" w:lineRule="auto"/>
        <w:tabs>
          <w:tab w:leader="none" w:pos="11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strategic alliances and other third-party business relationships may not achieve the intended beneficial impact and expose us to risks;</w:t>
      </w:r>
    </w:p>
    <w:p>
      <w:pPr>
        <w:spacing w:after="0" w:line="42" w:lineRule="exact"/>
        <w:rPr>
          <w:rFonts w:ascii="Times New Roman" w:cs="Times New Roman" w:eastAsia="Times New Roman" w:hAnsi="Times New Roman"/>
          <w:sz w:val="17"/>
          <w:szCs w:val="17"/>
          <w:color w:val="auto"/>
        </w:rPr>
      </w:pPr>
    </w:p>
    <w:p>
      <w:pPr>
        <w:ind w:left="1120" w:right="699" w:hanging="337"/>
        <w:spacing w:after="0" w:line="294" w:lineRule="auto"/>
        <w:tabs>
          <w:tab w:leader="none" w:pos="11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successfully identify and execute future acquisitions, dispositions or other equity transactions or to successfully manage the impacts of such transactions on our operations;</w:t>
      </w:r>
    </w:p>
    <w:p>
      <w:pPr>
        <w:spacing w:after="0" w:line="42"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risks inherent in an agricultural business, including the risk of crop failure;</w:t>
      </w:r>
    </w:p>
    <w:p>
      <w:pPr>
        <w:spacing w:after="0" w:line="117" w:lineRule="exact"/>
        <w:rPr>
          <w:rFonts w:ascii="Times New Roman" w:cs="Times New Roman" w:eastAsia="Times New Roman" w:hAnsi="Times New Roman"/>
          <w:sz w:val="17"/>
          <w:szCs w:val="17"/>
          <w:color w:val="auto"/>
        </w:rPr>
      </w:pPr>
    </w:p>
    <w:p>
      <w:pPr>
        <w:ind w:left="1120" w:right="679" w:hanging="337"/>
        <w:spacing w:after="0" w:line="275" w:lineRule="auto"/>
        <w:tabs>
          <w:tab w:leader="none" w:pos="11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on recurring customers for a substantial portion of our revenue. If we fail to retain or expand our customer relationships or these customers reduce their purchases, our revenue could decline significantly;</w:t>
      </w:r>
    </w:p>
    <w:p>
      <w:pPr>
        <w:spacing w:after="0" w:line="58" w:lineRule="exact"/>
        <w:rPr>
          <w:rFonts w:ascii="Times New Roman" w:cs="Times New Roman" w:eastAsia="Times New Roman" w:hAnsi="Times New Roman"/>
          <w:sz w:val="17"/>
          <w:szCs w:val="17"/>
          <w:color w:val="auto"/>
        </w:rPr>
      </w:pPr>
    </w:p>
    <w:p>
      <w:pPr>
        <w:ind w:left="1120" w:right="1219" w:hanging="337"/>
        <w:spacing w:after="0" w:line="294" w:lineRule="auto"/>
        <w:tabs>
          <w:tab w:leader="none" w:pos="11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products may be subject to recalls for a variety of reasons, which could require us to expend significant management and capital resources;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135890</wp:posOffset>
            </wp:positionV>
            <wp:extent cx="675640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0" w:name="page11"/>
    <w:bookmarkEnd w:id="10"/>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ind w:left="1120" w:right="1019" w:hanging="337"/>
        <w:spacing w:after="0" w:line="294" w:lineRule="auto"/>
        <w:tabs>
          <w:tab w:leader="none" w:pos="11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interruptions in our access to certain supply chains for key inputs such as raw materials, supplies, electricity, water and other utilities may impair our operations;</w:t>
      </w:r>
    </w:p>
    <w:p>
      <w:pPr>
        <w:spacing w:after="0" w:line="42" w:lineRule="exact"/>
        <w:rPr>
          <w:rFonts w:ascii="Times New Roman" w:cs="Times New Roman" w:eastAsia="Times New Roman" w:hAnsi="Times New Roman"/>
          <w:sz w:val="17"/>
          <w:szCs w:val="17"/>
          <w:color w:val="auto"/>
        </w:rPr>
      </w:pPr>
    </w:p>
    <w:p>
      <w:pPr>
        <w:ind w:left="1120" w:right="1019" w:hanging="337"/>
        <w:spacing w:after="0" w:line="294" w:lineRule="auto"/>
        <w:tabs>
          <w:tab w:leader="none" w:pos="11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may not be able to successfully establish and maintain effective internal controls over financial reporting;</w:t>
      </w:r>
    </w:p>
    <w:p>
      <w:pPr>
        <w:spacing w:after="0" w:line="42" w:lineRule="exact"/>
        <w:rPr>
          <w:rFonts w:ascii="Times New Roman" w:cs="Times New Roman" w:eastAsia="Times New Roman" w:hAnsi="Times New Roman"/>
          <w:sz w:val="17"/>
          <w:szCs w:val="17"/>
          <w:color w:val="auto"/>
        </w:rPr>
      </w:pPr>
    </w:p>
    <w:p>
      <w:pPr>
        <w:ind w:left="1120" w:right="559" w:hanging="337"/>
        <w:spacing w:after="0" w:line="294" w:lineRule="auto"/>
        <w:tabs>
          <w:tab w:leader="none" w:pos="11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of our Common Stock in public markets has experienced and may continue to experience severe volatility and fluctuations;</w:t>
      </w:r>
    </w:p>
    <w:p>
      <w:pPr>
        <w:spacing w:after="0" w:line="42" w:lineRule="exact"/>
        <w:rPr>
          <w:rFonts w:ascii="Times New Roman" w:cs="Times New Roman" w:eastAsia="Times New Roman" w:hAnsi="Times New Roman"/>
          <w:sz w:val="17"/>
          <w:szCs w:val="17"/>
          <w:color w:val="auto"/>
        </w:rPr>
      </w:pPr>
    </w:p>
    <w:p>
      <w:pPr>
        <w:ind w:left="1120" w:right="639" w:hanging="337"/>
        <w:spacing w:after="0" w:line="294" w:lineRule="auto"/>
        <w:tabs>
          <w:tab w:leader="none" w:pos="11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volatility of our stock and the stockholder base may hinder or prevent us from engaging in beneficial corporate initiatives;</w:t>
      </w:r>
    </w:p>
    <w:p>
      <w:pPr>
        <w:spacing w:after="0" w:line="42" w:lineRule="exact"/>
        <w:rPr>
          <w:rFonts w:ascii="Times New Roman" w:cs="Times New Roman" w:eastAsia="Times New Roman" w:hAnsi="Times New Roman"/>
          <w:sz w:val="17"/>
          <w:szCs w:val="17"/>
          <w:color w:val="auto"/>
        </w:rPr>
      </w:pPr>
    </w:p>
    <w:p>
      <w:pPr>
        <w:ind w:left="1120" w:right="579" w:hanging="337"/>
        <w:spacing w:after="0" w:line="294" w:lineRule="auto"/>
        <w:tabs>
          <w:tab w:leader="none" w:pos="11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have the ability to raise the funds necessary to settle conversions of the convertible securities in cash or to repurchase the convertible securities upon a fundamental change;</w:t>
      </w:r>
    </w:p>
    <w:p>
      <w:pPr>
        <w:spacing w:after="0" w:line="42" w:lineRule="exact"/>
        <w:rPr>
          <w:rFonts w:ascii="Times New Roman" w:cs="Times New Roman" w:eastAsia="Times New Roman" w:hAnsi="Times New Roman"/>
          <w:sz w:val="17"/>
          <w:szCs w:val="17"/>
          <w:color w:val="auto"/>
        </w:rPr>
      </w:pPr>
    </w:p>
    <w:p>
      <w:pPr>
        <w:ind w:left="1120" w:right="719" w:hanging="337"/>
        <w:spacing w:after="0" w:line="294" w:lineRule="auto"/>
        <w:tabs>
          <w:tab w:leader="none" w:pos="11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cryptocurrency strategy faces high risk and uncertainty in light of market volatility and an evolving regulatory landscape;</w:t>
      </w:r>
    </w:p>
    <w:p>
      <w:pPr>
        <w:spacing w:after="0" w:line="42" w:lineRule="exact"/>
        <w:rPr>
          <w:rFonts w:ascii="Times New Roman" w:cs="Times New Roman" w:eastAsia="Times New Roman" w:hAnsi="Times New Roman"/>
          <w:sz w:val="17"/>
          <w:szCs w:val="17"/>
          <w:color w:val="auto"/>
        </w:rPr>
      </w:pPr>
    </w:p>
    <w:p>
      <w:pPr>
        <w:ind w:left="1120" w:right="599" w:hanging="337"/>
        <w:spacing w:after="0" w:line="294" w:lineRule="auto"/>
        <w:tabs>
          <w:tab w:leader="none" w:pos="11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exposed to financial losses and operational risks due to our decision to self-insure certain real property assets; and</w:t>
      </w:r>
    </w:p>
    <w:p>
      <w:pPr>
        <w:spacing w:after="0" w:line="42"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other risks generally applicable to our industry and the conduct of our business.</w:t>
      </w:r>
    </w:p>
    <w:p>
      <w:pPr>
        <w:spacing w:after="0" w:line="117" w:lineRule="exact"/>
        <w:rPr>
          <w:sz w:val="20"/>
          <w:szCs w:val="20"/>
          <w:color w:val="auto"/>
        </w:rPr>
      </w:pPr>
    </w:p>
    <w:p>
      <w:pPr>
        <w:ind w:left="440" w:right="539" w:firstLine="347"/>
        <w:spacing w:after="0" w:line="275" w:lineRule="auto"/>
        <w:rPr>
          <w:sz w:val="20"/>
          <w:szCs w:val="20"/>
          <w:color w:val="auto"/>
        </w:rPr>
      </w:pPr>
      <w:r>
        <w:rPr>
          <w:rFonts w:ascii="Times New Roman" w:cs="Times New Roman" w:eastAsia="Times New Roman" w:hAnsi="Times New Roman"/>
          <w:sz w:val="17"/>
          <w:szCs w:val="17"/>
          <w:color w:val="auto"/>
        </w:rPr>
        <w:t>Readers are cautioned that the foregoing list of factors is not exhaustive. Other risks and uncertainties not presently known to us or that we presently believe are not material could also cause actual results or events to differ materially from those expressed in the forward-looking statements contained herein.</w:t>
      </w:r>
    </w:p>
    <w:p>
      <w:pPr>
        <w:spacing w:after="0" w:line="58" w:lineRule="exact"/>
        <w:rPr>
          <w:sz w:val="20"/>
          <w:szCs w:val="20"/>
          <w:color w:val="auto"/>
        </w:rPr>
      </w:pPr>
    </w:p>
    <w:p>
      <w:pPr>
        <w:ind w:left="440" w:right="519" w:firstLine="347"/>
        <w:spacing w:after="0" w:line="263" w:lineRule="auto"/>
        <w:rPr>
          <w:sz w:val="20"/>
          <w:szCs w:val="20"/>
          <w:color w:val="auto"/>
        </w:rPr>
      </w:pPr>
      <w:r>
        <w:rPr>
          <w:rFonts w:ascii="Times New Roman" w:cs="Times New Roman" w:eastAsia="Times New Roman" w:hAnsi="Times New Roman"/>
          <w:sz w:val="17"/>
          <w:szCs w:val="17"/>
          <w:color w:val="auto"/>
        </w:rPr>
        <w:t>Additional information on these and other factors that could affect our operations or financial results are included in reports filed by us with applicable securities regulatory authorities and may be accessed through EDGAR (www.sec.gov). These risks and other factors are also discussed in more detail in the section entitled “Risk Factors” contained in our most recent Annual Report on Form 10-K, as well as any amendments thereto reflected in subsequent filings with the SEC and in our other filings that are incorporated by reference into this prospectus supplement and the accompanying prospectus.</w:t>
      </w:r>
    </w:p>
    <w:p>
      <w:pPr>
        <w:spacing w:after="0" w:line="71" w:lineRule="exact"/>
        <w:rPr>
          <w:sz w:val="20"/>
          <w:szCs w:val="20"/>
          <w:color w:val="auto"/>
        </w:rPr>
      </w:pPr>
    </w:p>
    <w:p>
      <w:pPr>
        <w:ind w:left="440" w:right="459" w:firstLine="347"/>
        <w:spacing w:after="0" w:line="259" w:lineRule="auto"/>
        <w:rPr>
          <w:sz w:val="20"/>
          <w:szCs w:val="20"/>
          <w:color w:val="auto"/>
        </w:rPr>
      </w:pPr>
      <w:r>
        <w:rPr>
          <w:rFonts w:ascii="Times New Roman" w:cs="Times New Roman" w:eastAsia="Times New Roman" w:hAnsi="Times New Roman"/>
          <w:sz w:val="17"/>
          <w:szCs w:val="17"/>
          <w:color w:val="auto"/>
        </w:rPr>
        <w:t>The forward-looking statements contained in this prospectus supplement and the accompanying prospectus, including the documents incorporated by reference herein and therein, are expressly qualified in their entirety by this cautionary statement. We cannot guarantee that the results or events expressed or implied in any forward-looking statement and information will materialize and accordingly, readers are cautioned not to place undue reliance on these forward-looking statements, which reflect our expectations only as of the date of the document containing the applicable statement. We disclaim any obligation to update or revise any forward-looking statements, whether as a result of new information, future events or otherwise, except as required by law. Thus, you should not assume that our silence over time means that actual events are bearing out as expressed or implied in such forward-looking statements. You should read this prospectus supplement, the accompany prospectus, together with the documents we have filed with the SEC that are incorporated by reference and any free writing prospectus we have authorized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135890</wp:posOffset>
            </wp:positionV>
            <wp:extent cx="675640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1" w:name="page12"/>
    <w:bookmarkEnd w:id="11"/>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119" w:lineRule="exact"/>
        <w:rPr>
          <w:sz w:val="20"/>
          <w:szCs w:val="20"/>
          <w:color w:val="auto"/>
        </w:rPr>
      </w:pPr>
    </w:p>
    <w:p>
      <w:pPr>
        <w:ind w:left="440" w:right="559" w:firstLine="347"/>
        <w:spacing w:after="0" w:line="262" w:lineRule="auto"/>
        <w:rPr>
          <w:sz w:val="20"/>
          <w:szCs w:val="20"/>
          <w:color w:val="auto"/>
        </w:rPr>
      </w:pPr>
      <w:r>
        <w:rPr>
          <w:rFonts w:ascii="Times New Roman" w:cs="Times New Roman" w:eastAsia="Times New Roman" w:hAnsi="Times New Roman"/>
          <w:sz w:val="17"/>
          <w:szCs w:val="17"/>
          <w:color w:val="auto"/>
        </w:rPr>
        <w:t>In accordance with the terms of the Sales Agreement, under this prospectus supplement, we may offer and sell shares of our Common Stock having an aggregate offering price of up to $180,000,000 from time to time through the sales agents, acting as our sales agents, or directly to the sales agents, acting as principals. Because there is no minimum offering amount required as a condition to close this offering, the actual total public offering amount, commissions and proceeds to us, if any, are not determinable at this time. There can be no assurance that, in the future, we will sell any shares under or fully utilize the Sales Agreement with the sales agents as a source of financing.</w:t>
      </w:r>
    </w:p>
    <w:p>
      <w:pPr>
        <w:spacing w:after="0" w:line="71" w:lineRule="exact"/>
        <w:rPr>
          <w:sz w:val="20"/>
          <w:szCs w:val="20"/>
          <w:color w:val="auto"/>
        </w:rPr>
      </w:pPr>
    </w:p>
    <w:p>
      <w:pPr>
        <w:ind w:left="440" w:right="519" w:firstLine="347"/>
        <w:spacing w:after="0" w:line="263" w:lineRule="auto"/>
        <w:rPr>
          <w:sz w:val="20"/>
          <w:szCs w:val="20"/>
          <w:color w:val="auto"/>
        </w:rPr>
      </w:pPr>
      <w:r>
        <w:rPr>
          <w:rFonts w:ascii="Times New Roman" w:cs="Times New Roman" w:eastAsia="Times New Roman" w:hAnsi="Times New Roman"/>
          <w:sz w:val="17"/>
          <w:szCs w:val="17"/>
          <w:color w:val="auto"/>
        </w:rPr>
        <w:t>We currently intend to use the net proceeds from the sale of the securities under this prospectus supplement for strategic and accretive acquisitions or investments in businesses, including potential acquisitions of assets in the U.S. and internationally in order to capitalize on expected regulatory advancements or expansion opportunities. Our management will have broad discretion in the timing and application of these net proceeds. We do not currently intend to use the net proceeds for general working capital purposes. Pending the use of the net proceeds, we intend to invest the net proceeds in short-term, investment-grade, interest-bearing securities.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135890</wp:posOffset>
            </wp:positionV>
            <wp:extent cx="675640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2" w:name="page13"/>
    <w:bookmarkEnd w:id="12"/>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11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We have entered into the Sales Agreement with the sales agents, under which we may offer and sell up to</w:t>
      </w:r>
    </w:p>
    <w:p>
      <w:pPr>
        <w:spacing w:after="0" w:line="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$180,000,000 of our shares of Common Stock from time to time through the sales agents acting as agents or directly</w:t>
      </w:r>
    </w:p>
    <w:p>
      <w:pPr>
        <w:spacing w:after="0" w:line="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to the sales agents acting as principals. Sales of our shares of Common Stock, if any, under this prospectus</w:t>
      </w:r>
    </w:p>
    <w:p>
      <w:pPr>
        <w:spacing w:after="0" w:line="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supplement and the accompanying prospectus will be made by any method that is deemed to be an “at the market</w:t>
      </w:r>
    </w:p>
    <w:p>
      <w:pPr>
        <w:spacing w:after="0" w:line="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offering” as defined in Rule 415(a)(4) under the Securities Act, including sales made directly on Nasdaq.</w:t>
      </w:r>
    </w:p>
    <w:p>
      <w:pPr>
        <w:spacing w:after="0" w:line="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Notwithstanding the foregoing, the Common Stock offered by this prospectus supplement and the accompany</w:t>
      </w:r>
    </w:p>
    <w:p>
      <w:pPr>
        <w:spacing w:after="0" w:line="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prospectus have not been and will not be qualified for sale under the securities laws of any province or territory of</w:t>
      </w:r>
    </w:p>
    <w:p>
      <w:pPr>
        <w:spacing w:after="0" w:line="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Canada and may not be offered or sold under the Sales Agreement in Canada. This prospectus supplement and the</w:t>
      </w:r>
    </w:p>
    <w:p>
      <w:pPr>
        <w:spacing w:after="0" w:line="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accompanying prospectus have not been filed in respect of, and will not qualify, any distribution of these securities</w:t>
      </w:r>
    </w:p>
    <w:p>
      <w:pPr>
        <w:spacing w:after="0" w:line="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 any province or territory of Canada. No Common Stock will be sold on the Toronto Stock Exchange or on other</w:t>
      </w:r>
    </w:p>
    <w:p>
      <w:pPr>
        <w:spacing w:after="0" w:line="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trading markets in Canada as at-the-market distributions. Sales pursuant to the Sales Agreement may be made</w:t>
      </w:r>
    </w:p>
    <w:p>
      <w:pPr>
        <w:spacing w:after="0" w:line="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through an affiliate of TD Securities.</w:t>
      </w:r>
    </w:p>
    <w:p>
      <w:pPr>
        <w:spacing w:after="0" w:line="99" w:lineRule="exact"/>
        <w:rPr>
          <w:sz w:val="20"/>
          <w:szCs w:val="20"/>
          <w:color w:val="auto"/>
        </w:rPr>
      </w:pPr>
    </w:p>
    <w:p>
      <w:pPr>
        <w:ind w:left="440" w:right="459" w:firstLine="347"/>
        <w:spacing w:after="0" w:line="261" w:lineRule="auto"/>
        <w:rPr>
          <w:sz w:val="20"/>
          <w:szCs w:val="20"/>
          <w:color w:val="auto"/>
        </w:rPr>
      </w:pPr>
      <w:r>
        <w:rPr>
          <w:rFonts w:ascii="Times New Roman" w:cs="Times New Roman" w:eastAsia="Times New Roman" w:hAnsi="Times New Roman"/>
          <w:sz w:val="17"/>
          <w:szCs w:val="17"/>
          <w:color w:val="auto"/>
        </w:rPr>
        <w:t>Each time we wish to issue and sell our shares of Common Stock under the Sales Agreement, we will notify a sales agent of the number of shares to be issued, the dates on which such sales are anticipated to be made, any limitation on the number of shares to be sold in any one day and any minimum price below which sales may not be made. Once we have so instructed such sales agent, unless the sales agent declines to accept the terms of such notice, such sales agent has agreed to use its commercially reasonable efforts consistent with its normal trading and sales practices to sell such shares up to the amount specified on such terms. The obligations of the sales agents under the Sales Agreement to sell our shares of Common Stock are subject to a number of conditions that we must meet. We may sell our shares of Common Stock through only one sales agent on any particular trading day.</w:t>
      </w:r>
    </w:p>
    <w:p>
      <w:pPr>
        <w:spacing w:after="0" w:line="73" w:lineRule="exact"/>
        <w:rPr>
          <w:sz w:val="20"/>
          <w:szCs w:val="20"/>
          <w:color w:val="auto"/>
        </w:rPr>
      </w:pPr>
    </w:p>
    <w:p>
      <w:pPr>
        <w:ind w:left="440" w:right="519" w:firstLine="347"/>
        <w:spacing w:after="0" w:line="265" w:lineRule="auto"/>
        <w:rPr>
          <w:sz w:val="20"/>
          <w:szCs w:val="20"/>
          <w:color w:val="auto"/>
        </w:rPr>
      </w:pPr>
      <w:r>
        <w:rPr>
          <w:rFonts w:ascii="Times New Roman" w:cs="Times New Roman" w:eastAsia="Times New Roman" w:hAnsi="Times New Roman"/>
          <w:sz w:val="17"/>
          <w:szCs w:val="17"/>
          <w:color w:val="auto"/>
        </w:rPr>
        <w:t>Settlement for sales of our shares of Common Stock will occur, unless the parties agree otherwise, on the first business day that is also a trading day following the date on which any sales were made in return for payment of the net proceeds to us. Sales of our shares of Common Stock as contemplated in this prospectus supplement will be settled through the facilities of The Depository Trust Company or by such other means as we and the sales agents may agree upon. There is no arrangement for funds to be received in an escrow, trust or similar arrangement.</w:t>
      </w:r>
    </w:p>
    <w:p>
      <w:pPr>
        <w:spacing w:after="0" w:line="68" w:lineRule="exact"/>
        <w:rPr>
          <w:sz w:val="20"/>
          <w:szCs w:val="20"/>
          <w:color w:val="auto"/>
        </w:rPr>
      </w:pPr>
    </w:p>
    <w:p>
      <w:pPr>
        <w:ind w:left="440" w:right="479" w:firstLine="347"/>
        <w:spacing w:after="0" w:line="260" w:lineRule="auto"/>
        <w:rPr>
          <w:sz w:val="20"/>
          <w:szCs w:val="20"/>
          <w:color w:val="auto"/>
        </w:rPr>
      </w:pPr>
      <w:r>
        <w:rPr>
          <w:rFonts w:ascii="Times New Roman" w:cs="Times New Roman" w:eastAsia="Times New Roman" w:hAnsi="Times New Roman"/>
          <w:sz w:val="17"/>
          <w:szCs w:val="17"/>
          <w:color w:val="auto"/>
        </w:rPr>
        <w:t>We will pay each sales agent a commission of up to 3.0% of the aggregate gross proceeds we receive from each sale of our shares of Common Stock made through such sales agent from time to time under the Sales Agreement. Because there is no minimum offering amount required as a condition to close this offering, the actual total public offering amount, commissions and proceeds to us, if any, are not determinable at this time. In addition, we have agreed to reimburse the sales agents for the fees and disbursements of their counsel, payable upon execution of the Sales Agreement, in an amount not to exceed $100,000. We estimate that the total expenses for the offering, excluding any commissions or expense reimbursement payable to the sales agents under the terms of the Sales Agreement, will be approximately $100,000. The remaining sale proceeds, after deducting any other transaction fees, will equal our net proceeds from the sale of such shares.</w:t>
      </w:r>
    </w:p>
    <w:p>
      <w:pPr>
        <w:spacing w:after="0" w:line="76" w:lineRule="exact"/>
        <w:rPr>
          <w:sz w:val="20"/>
          <w:szCs w:val="20"/>
          <w:color w:val="auto"/>
        </w:rPr>
      </w:pPr>
    </w:p>
    <w:p>
      <w:pPr>
        <w:jc w:val="both"/>
        <w:ind w:left="440" w:right="559" w:firstLine="347"/>
        <w:spacing w:after="0" w:line="275" w:lineRule="auto"/>
        <w:rPr>
          <w:sz w:val="20"/>
          <w:szCs w:val="20"/>
          <w:color w:val="auto"/>
        </w:rPr>
      </w:pPr>
      <w:r>
        <w:rPr>
          <w:rFonts w:ascii="Times New Roman" w:cs="Times New Roman" w:eastAsia="Times New Roman" w:hAnsi="Times New Roman"/>
          <w:sz w:val="17"/>
          <w:szCs w:val="17"/>
          <w:color w:val="auto"/>
        </w:rPr>
        <w:t>The sales agents will provide written confirmation to us before the open on Nasdaq on the day following each day on which our shares of Common Stock are sold under the Sales Agreement. Each confirmation will include the number of shares sold on that day, the aggregate gross proceeds of such sales and the proceeds to us.</w:t>
      </w:r>
    </w:p>
    <w:p>
      <w:pPr>
        <w:spacing w:after="0" w:line="58" w:lineRule="exact"/>
        <w:rPr>
          <w:sz w:val="20"/>
          <w:szCs w:val="20"/>
          <w:color w:val="auto"/>
        </w:rPr>
      </w:pPr>
    </w:p>
    <w:p>
      <w:pPr>
        <w:ind w:left="440" w:right="479" w:firstLine="347"/>
        <w:spacing w:after="0" w:line="294" w:lineRule="auto"/>
        <w:rPr>
          <w:sz w:val="20"/>
          <w:szCs w:val="20"/>
          <w:color w:val="auto"/>
        </w:rPr>
      </w:pPr>
      <w:r>
        <w:rPr>
          <w:rFonts w:ascii="Times New Roman" w:cs="Times New Roman" w:eastAsia="Times New Roman" w:hAnsi="Times New Roman"/>
          <w:sz w:val="17"/>
          <w:szCs w:val="17"/>
          <w:color w:val="auto"/>
        </w:rPr>
        <w:t>We will report at least quarterly the number of shares of Common Stock sold through the sales agents under the Sales Agreement and the net proceeds to us in connection with the sales of our shares of Common Stock.</w:t>
      </w:r>
    </w:p>
    <w:p>
      <w:pPr>
        <w:spacing w:after="0" w:line="43" w:lineRule="exact"/>
        <w:rPr>
          <w:sz w:val="20"/>
          <w:szCs w:val="20"/>
          <w:color w:val="auto"/>
        </w:rPr>
      </w:pPr>
    </w:p>
    <w:p>
      <w:pPr>
        <w:ind w:left="440" w:right="459" w:firstLine="347"/>
        <w:spacing w:after="0" w:line="263" w:lineRule="auto"/>
        <w:rPr>
          <w:sz w:val="20"/>
          <w:szCs w:val="20"/>
          <w:color w:val="auto"/>
        </w:rPr>
      </w:pPr>
      <w:r>
        <w:rPr>
          <w:rFonts w:ascii="Times New Roman" w:cs="Times New Roman" w:eastAsia="Times New Roman" w:hAnsi="Times New Roman"/>
          <w:sz w:val="17"/>
          <w:szCs w:val="17"/>
          <w:color w:val="auto"/>
        </w:rPr>
        <w:t>In connection with the sale of our shares of Common Stock on our behalf, each sales agent may be deemed to be an “underwriter” within the meaning of the Securities Act, and the compensation of the sales agents will be deemed to be underwriting commissions or discounts. We have agreed to indemnify the sales agents against certain civil liabilities, including liabilities under the Securities Act. We have also agreed to contribute to payments the sales agents may be required to make in respect of such liabilities. The sales agents will not engage in any transactions intended to stabilize our Common Stock.</w:t>
      </w:r>
    </w:p>
    <w:p>
      <w:pPr>
        <w:spacing w:after="0" w:line="7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The offering of our shares of Common Stock pursuant to the Sales Agreement will terminate upon the earlier of</w:t>
      </w:r>
    </w:p>
    <w:p>
      <w:pPr>
        <w:spacing w:after="0" w:line="31" w:lineRule="exact"/>
        <w:rPr>
          <w:sz w:val="20"/>
          <w:szCs w:val="20"/>
          <w:color w:val="auto"/>
        </w:rPr>
      </w:pPr>
    </w:p>
    <w:p>
      <w:pPr>
        <w:ind w:left="4340" w:right="1619" w:hanging="3904"/>
        <w:spacing w:after="0" w:line="528" w:lineRule="auto"/>
        <w:tabs>
          <w:tab w:leader="none" w:pos="64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of all shares of Common Stock subject to the Sales Agreement and (ii) the termination of 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-32385</wp:posOffset>
            </wp:positionV>
            <wp:extent cx="6756400"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3" w:name="page14"/>
    <w:bookmarkEnd w:id="13"/>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ind w:left="440" w:right="459"/>
        <w:spacing w:after="0" w:line="275" w:lineRule="auto"/>
        <w:rPr>
          <w:sz w:val="20"/>
          <w:szCs w:val="20"/>
          <w:color w:val="auto"/>
        </w:rPr>
      </w:pPr>
      <w:r>
        <w:rPr>
          <w:rFonts w:ascii="Times New Roman" w:cs="Times New Roman" w:eastAsia="Times New Roman" w:hAnsi="Times New Roman"/>
          <w:sz w:val="17"/>
          <w:szCs w:val="17"/>
          <w:color w:val="auto"/>
        </w:rPr>
        <w:t>the Sales Agreement as permitted therein. We and the sales agents may each terminate the Sales Agreement at any time upon ten days’ prior notice. The termination of the Sales Agreement by one sales agent will not affect the rights and obligations of the other sales agent under the Sales Agreement.</w:t>
      </w:r>
    </w:p>
    <w:p>
      <w:pPr>
        <w:spacing w:after="0" w:line="58" w:lineRule="exact"/>
        <w:rPr>
          <w:sz w:val="20"/>
          <w:szCs w:val="20"/>
          <w:color w:val="auto"/>
        </w:rPr>
      </w:pPr>
    </w:p>
    <w:p>
      <w:pPr>
        <w:ind w:left="440" w:right="479" w:firstLine="347"/>
        <w:spacing w:after="0" w:line="275" w:lineRule="auto"/>
        <w:rPr>
          <w:sz w:val="20"/>
          <w:szCs w:val="20"/>
          <w:color w:val="auto"/>
        </w:rPr>
      </w:pPr>
      <w:r>
        <w:rPr>
          <w:rFonts w:ascii="Times New Roman" w:cs="Times New Roman" w:eastAsia="Times New Roman" w:hAnsi="Times New Roman"/>
          <w:sz w:val="17"/>
          <w:szCs w:val="17"/>
          <w:color w:val="auto"/>
        </w:rPr>
        <w:t>This summary of the material provisions of the Sales Agreement does not purport to be a complete statement of its terms and conditions. A copy of the Sales Agreement is filed as an exhibit to a current report on Form 8-K filed under the Exchange Act and incorporated by reference in this prospectus supplement.</w:t>
      </w:r>
    </w:p>
    <w:p>
      <w:pPr>
        <w:spacing w:after="0" w:line="58" w:lineRule="exact"/>
        <w:rPr>
          <w:sz w:val="20"/>
          <w:szCs w:val="20"/>
          <w:color w:val="auto"/>
        </w:rPr>
      </w:pPr>
    </w:p>
    <w:p>
      <w:pPr>
        <w:ind w:left="440" w:right="459" w:firstLine="347"/>
        <w:spacing w:after="0" w:line="294" w:lineRule="auto"/>
        <w:rPr>
          <w:sz w:val="20"/>
          <w:szCs w:val="20"/>
          <w:color w:val="auto"/>
        </w:rPr>
      </w:pPr>
      <w:r>
        <w:rPr>
          <w:rFonts w:ascii="Times New Roman" w:cs="Times New Roman" w:eastAsia="Times New Roman" w:hAnsi="Times New Roman"/>
          <w:sz w:val="17"/>
          <w:szCs w:val="17"/>
          <w:color w:val="auto"/>
        </w:rPr>
        <w:t>Shares of our Common Stock are listed on Nasdaq and the TSX under the trading symbol “TLRY.” The transfer agent for our Common Stock is Pacific Stock Transfer Company.</w:t>
      </w:r>
    </w:p>
    <w:p>
      <w:pPr>
        <w:spacing w:after="0" w:line="43" w:lineRule="exact"/>
        <w:rPr>
          <w:sz w:val="20"/>
          <w:szCs w:val="20"/>
          <w:color w:val="auto"/>
        </w:rPr>
      </w:pPr>
    </w:p>
    <w:p>
      <w:pPr>
        <w:ind w:left="440" w:right="559" w:firstLine="347"/>
        <w:spacing w:after="0" w:line="265" w:lineRule="auto"/>
        <w:rPr>
          <w:sz w:val="20"/>
          <w:szCs w:val="20"/>
          <w:color w:val="auto"/>
        </w:rPr>
      </w:pPr>
      <w:r>
        <w:rPr>
          <w:rFonts w:ascii="Times New Roman" w:cs="Times New Roman" w:eastAsia="Times New Roman" w:hAnsi="Times New Roman"/>
          <w:sz w:val="17"/>
          <w:szCs w:val="17"/>
          <w:color w:val="auto"/>
        </w:rPr>
        <w:t>The sales agents and their affiliates have in the past provided, or may in the future provide, various investment banking, commercial banking, financial advisory and other financial services for us and our affiliates, for which services they have received, or may in the future receive, customary fees. In the course of its business, each sales agent may actively trade our securities for its own account or for the accounts of customers, and, accordingly, the sales agents may at any time hold long or short positions in such securities.</w:t>
      </w:r>
    </w:p>
    <w:p>
      <w:pPr>
        <w:spacing w:after="0" w:line="68" w:lineRule="exact"/>
        <w:rPr>
          <w:sz w:val="20"/>
          <w:szCs w:val="20"/>
          <w:color w:val="auto"/>
        </w:rPr>
      </w:pPr>
    </w:p>
    <w:p>
      <w:pPr>
        <w:ind w:left="440" w:right="699" w:firstLine="347"/>
        <w:spacing w:after="0" w:line="275" w:lineRule="auto"/>
        <w:rPr>
          <w:sz w:val="20"/>
          <w:szCs w:val="20"/>
          <w:color w:val="auto"/>
        </w:rPr>
      </w:pPr>
      <w:r>
        <w:rPr>
          <w:rFonts w:ascii="Times New Roman" w:cs="Times New Roman" w:eastAsia="Times New Roman" w:hAnsi="Times New Roman"/>
          <w:sz w:val="17"/>
          <w:szCs w:val="17"/>
          <w:color w:val="auto"/>
        </w:rPr>
        <w:t>A prospectus supplement and the accompanying prospectus in electronic format may be made available on a website maintained by Jefferies, TD Securities and/or Roth Capital Partners, and Jefferies, TD Securities and/or Roth Capital Partners may distribute the prospectus supplement and the accompanying prospectus electronically.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135890</wp:posOffset>
            </wp:positionV>
            <wp:extent cx="675640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4" w:name="page15"/>
    <w:bookmarkEnd w:id="14"/>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19" w:lineRule="exact"/>
        <w:rPr>
          <w:sz w:val="20"/>
          <w:szCs w:val="20"/>
          <w:color w:val="auto"/>
        </w:rPr>
      </w:pPr>
    </w:p>
    <w:p>
      <w:pPr>
        <w:ind w:left="440" w:right="679" w:firstLine="347"/>
        <w:spacing w:after="0" w:line="275" w:lineRule="auto"/>
        <w:rPr>
          <w:sz w:val="20"/>
          <w:szCs w:val="20"/>
          <w:color w:val="auto"/>
        </w:rPr>
      </w:pPr>
      <w:r>
        <w:rPr>
          <w:rFonts w:ascii="Times New Roman" w:cs="Times New Roman" w:eastAsia="Times New Roman" w:hAnsi="Times New Roman"/>
          <w:sz w:val="17"/>
          <w:szCs w:val="17"/>
          <w:color w:val="auto"/>
        </w:rPr>
        <w:t>The validity of the securities offered by this prospectus supplement will be passed upon for us by DLA Piper LLP (US), New York, New York. Jefferies, TD Securities and Roth Capital Partners are being represented in connection with this offering by Goodwin Procter LLP, New York, New York.</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119" w:lineRule="exact"/>
        <w:rPr>
          <w:sz w:val="20"/>
          <w:szCs w:val="20"/>
          <w:color w:val="auto"/>
        </w:rPr>
      </w:pPr>
    </w:p>
    <w:p>
      <w:pPr>
        <w:ind w:left="440" w:right="459" w:firstLine="347"/>
        <w:spacing w:after="0" w:line="260" w:lineRule="auto"/>
        <w:rPr>
          <w:sz w:val="20"/>
          <w:szCs w:val="20"/>
          <w:color w:val="auto"/>
        </w:rPr>
      </w:pPr>
      <w:r>
        <w:rPr>
          <w:rFonts w:ascii="Times New Roman" w:cs="Times New Roman" w:eastAsia="Times New Roman" w:hAnsi="Times New Roman"/>
          <w:sz w:val="17"/>
          <w:szCs w:val="17"/>
          <w:color w:val="auto"/>
        </w:rPr>
        <w:t>The financial statements and management’s assessment of the effectiveness of internal control over financial reporting (which is included in Management’s Report on Internal Control over Financial Reporting) incorporated by reference in this prospectus supplement by reference to the Annual Report on Form 10-K for the year ended May 31, 2025 have been so incorporated in reliance on the report (which contains a paragraph relating to the effectiveness of internal control over financial reporting due to the exclusion of the Craft Acquisition II, which includes Atwater Brewery, Hop Valley Brewing Company, Terrapin Beer Co., and Revolver Brewing, because they were acquired by the Company in purchase business combinations during the year ended May 31, 2025) of PricewaterhouseCoopers LLP, an independent registered public accounting firm, given on the authority of said firm as experts in auditing and accounting.</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119" w:lineRule="exact"/>
        <w:rPr>
          <w:sz w:val="20"/>
          <w:szCs w:val="20"/>
          <w:color w:val="auto"/>
        </w:rPr>
      </w:pPr>
    </w:p>
    <w:p>
      <w:pPr>
        <w:ind w:left="440" w:right="459" w:firstLine="347"/>
        <w:spacing w:after="0" w:line="262" w:lineRule="auto"/>
        <w:rPr>
          <w:sz w:val="20"/>
          <w:szCs w:val="20"/>
          <w:color w:val="auto"/>
        </w:rPr>
      </w:pPr>
      <w:r>
        <w:rPr>
          <w:rFonts w:ascii="Times New Roman" w:cs="Times New Roman" w:eastAsia="Times New Roman" w:hAnsi="Times New Roman"/>
          <w:sz w:val="17"/>
          <w:szCs w:val="17"/>
          <w:color w:val="auto"/>
        </w:rPr>
        <w:t>We are required to file periodic reports, proxy statements and other information with the SEC pursuant to the Exchange Act. Our SEC filings are available to the public on the SEC’s website at www.sec.gov, which contains reports, proxies and information statements and other information regarding registrants that file electronically. We also maintain a website at www.tilray.com, at which you may access these materials free of charge as soon as reasonably practicable after they are electronically filed with, or furnished to, the SEC. Information contained on, or that can be accessed through, our website is not a part of this prospectus supplement and the inclusion of our website address in this prospectus supplement is an inactive textual reference only.</w:t>
      </w:r>
    </w:p>
    <w:p>
      <w:pPr>
        <w:spacing w:after="0" w:line="71" w:lineRule="exact"/>
        <w:rPr>
          <w:sz w:val="20"/>
          <w:szCs w:val="20"/>
          <w:color w:val="auto"/>
        </w:rPr>
      </w:pPr>
    </w:p>
    <w:p>
      <w:pPr>
        <w:ind w:left="440" w:right="459" w:firstLine="347"/>
        <w:spacing w:after="0" w:line="264" w:lineRule="auto"/>
        <w:rPr>
          <w:sz w:val="20"/>
          <w:szCs w:val="20"/>
          <w:color w:val="auto"/>
        </w:rPr>
      </w:pPr>
      <w:r>
        <w:rPr>
          <w:rFonts w:ascii="Times New Roman" w:cs="Times New Roman" w:eastAsia="Times New Roman" w:hAnsi="Times New Roman"/>
          <w:sz w:val="17"/>
          <w:szCs w:val="17"/>
          <w:color w:val="auto"/>
        </w:rPr>
        <w:t>This prospectus supplement is part of the Registration Statement and does not contain all the information set forth or incorporated by reference in the Registration Statement. Whenever a reference is made in this prospectus supplement to any of our contracts, agreements or other documents, the reference may not be complete and you should refer to the exhibits that are a part of the Registration Statement or the exhibits to the reports or other documents incorporated by reference into this prospectus supplement for a copy of such contract, agreement or other document.</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127635</wp:posOffset>
            </wp:positionV>
            <wp:extent cx="675640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5" w:name="page16"/>
    <w:bookmarkEnd w:id="15"/>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INCORPORATION OF CERTAIN INFORMATION BY REFERENCE</w:t>
      </w:r>
    </w:p>
    <w:p>
      <w:pPr>
        <w:spacing w:after="0" w:line="119" w:lineRule="exact"/>
        <w:rPr>
          <w:sz w:val="20"/>
          <w:szCs w:val="20"/>
          <w:color w:val="auto"/>
        </w:rPr>
      </w:pPr>
    </w:p>
    <w:p>
      <w:pPr>
        <w:ind w:left="440" w:right="579" w:firstLine="347"/>
        <w:spacing w:after="0" w:line="263" w:lineRule="auto"/>
        <w:rPr>
          <w:sz w:val="20"/>
          <w:szCs w:val="20"/>
          <w:color w:val="auto"/>
        </w:rPr>
      </w:pPr>
      <w:r>
        <w:rPr>
          <w:rFonts w:ascii="Times New Roman" w:cs="Times New Roman" w:eastAsia="Times New Roman" w:hAnsi="Times New Roman"/>
          <w:sz w:val="17"/>
          <w:szCs w:val="17"/>
          <w:color w:val="auto"/>
        </w:rPr>
        <w:t>The SEC allows us to “incorporate by reference” into this prospectus supplement certain information. This means that we can disclose important information to you by referring you to those documents that contain the information. The information we incorporate by reference is considered a part of this prospectus supplement. We incorporate by reference into this prospectus supplement the documents listed below that we have filed with the SEC. Any report or information within any of the documents referenced below that is furnished, but not filed, shall not be incorporated by reference into this prospectus supplement.</w:t>
      </w:r>
    </w:p>
    <w:p>
      <w:pPr>
        <w:spacing w:after="0" w:line="71" w:lineRule="exact"/>
        <w:rPr>
          <w:sz w:val="20"/>
          <w:szCs w:val="20"/>
          <w:color w:val="auto"/>
        </w:rPr>
      </w:pPr>
    </w:p>
    <w:p>
      <w:pPr>
        <w:ind w:left="1120" w:right="639" w:hanging="337"/>
        <w:spacing w:after="0" w:line="294" w:lineRule="auto"/>
        <w:tabs>
          <w:tab w:leader="none" w:pos="1120" w:val="left"/>
        </w:tabs>
        <w:numPr>
          <w:ilvl w:val="0"/>
          <w:numId w:val="7"/>
        </w:numPr>
        <w:rPr>
          <w:rFonts w:ascii="Times New Roman" w:cs="Times New Roman" w:eastAsia="Times New Roman" w:hAnsi="Times New Roman"/>
          <w:sz w:val="17"/>
          <w:szCs w:val="17"/>
          <w:color w:val="0000EE"/>
        </w:rPr>
      </w:pPr>
      <w:hyperlink r:id="rId27">
        <w:r>
          <w:rPr>
            <w:rFonts w:ascii="Times New Roman" w:cs="Times New Roman" w:eastAsia="Times New Roman" w:hAnsi="Times New Roman"/>
            <w:sz w:val="17"/>
            <w:szCs w:val="17"/>
            <w:color w:val="auto"/>
          </w:rPr>
          <w:t xml:space="preserve">our Annual Report on Form 10-K for the fiscal year ended May 31, 2025, filed with the SEC on </w:t>
        </w:r>
        <w:r>
          <w:rPr>
            <w:rFonts w:ascii="Times New Roman" w:cs="Times New Roman" w:eastAsia="Times New Roman" w:hAnsi="Times New Roman"/>
            <w:sz w:val="17"/>
            <w:szCs w:val="17"/>
            <w:u w:val="single" w:color="auto"/>
            <w:color w:val="0000EE"/>
          </w:rPr>
          <w:t>July 29,</w:t>
        </w:r>
      </w:hyperlink>
      <w:r>
        <w:rPr>
          <w:rFonts w:ascii="Times New Roman" w:cs="Times New Roman" w:eastAsia="Times New Roman" w:hAnsi="Times New Roman"/>
          <w:sz w:val="17"/>
          <w:szCs w:val="17"/>
          <w:color w:val="auto"/>
        </w:rPr>
        <w:t xml:space="preserve"> </w:t>
      </w:r>
      <w:hyperlink r:id="rId27">
        <w:r>
          <w:rPr>
            <w:rFonts w:ascii="Times New Roman" w:cs="Times New Roman" w:eastAsia="Times New Roman" w:hAnsi="Times New Roman"/>
            <w:sz w:val="17"/>
            <w:szCs w:val="17"/>
            <w:u w:val="single" w:color="auto"/>
            <w:color w:val="0000EE"/>
          </w:rPr>
          <w:t>2025</w:t>
        </w:r>
        <w:r>
          <w:rPr>
            <w:rFonts w:ascii="Times New Roman" w:cs="Times New Roman" w:eastAsia="Times New Roman" w:hAnsi="Times New Roman"/>
            <w:sz w:val="17"/>
            <w:szCs w:val="17"/>
            <w:color w:val="000000"/>
          </w:rPr>
          <w:t>;</w:t>
        </w:r>
      </w:hyperlink>
    </w:p>
    <w:p>
      <w:pPr>
        <w:spacing w:after="0" w:line="42" w:lineRule="exact"/>
        <w:rPr>
          <w:rFonts w:ascii="Times New Roman" w:cs="Times New Roman" w:eastAsia="Times New Roman" w:hAnsi="Times New Roman"/>
          <w:sz w:val="17"/>
          <w:szCs w:val="17"/>
          <w:color w:val="0000EE"/>
        </w:rPr>
      </w:pPr>
    </w:p>
    <w:p>
      <w:pPr>
        <w:ind w:left="1120" w:right="679" w:hanging="337"/>
        <w:spacing w:after="0" w:line="294" w:lineRule="auto"/>
        <w:tabs>
          <w:tab w:leader="none" w:pos="11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information specifically incorporated by reference into the Form 10-K for the fiscal year ended May 31, 2025 from our definitive proxy statement on Schedule 14A, filed on </w:t>
      </w:r>
      <w:hyperlink r:id="rId28">
        <w:r>
          <w:rPr>
            <w:rFonts w:ascii="Times New Roman" w:cs="Times New Roman" w:eastAsia="Times New Roman" w:hAnsi="Times New Roman"/>
            <w:sz w:val="17"/>
            <w:szCs w:val="17"/>
            <w:u w:val="single" w:color="auto"/>
            <w:color w:val="0000EE"/>
          </w:rPr>
          <w:t>September 26, 2025</w:t>
        </w:r>
      </w:hyperlink>
      <w:r>
        <w:rPr>
          <w:rFonts w:ascii="Times New Roman" w:cs="Times New Roman" w:eastAsia="Times New Roman" w:hAnsi="Times New Roman"/>
          <w:sz w:val="17"/>
          <w:szCs w:val="17"/>
          <w:color w:val="auto"/>
        </w:rPr>
        <w:t>;</w:t>
      </w:r>
    </w:p>
    <w:p>
      <w:pPr>
        <w:spacing w:after="0" w:line="42" w:lineRule="exact"/>
        <w:rPr>
          <w:rFonts w:ascii="Times New Roman" w:cs="Times New Roman" w:eastAsia="Times New Roman" w:hAnsi="Times New Roman"/>
          <w:sz w:val="17"/>
          <w:szCs w:val="17"/>
          <w:color w:val="auto"/>
        </w:rPr>
      </w:pPr>
    </w:p>
    <w:p>
      <w:pPr>
        <w:ind w:left="1120" w:right="559" w:hanging="337"/>
        <w:spacing w:after="0" w:line="275" w:lineRule="auto"/>
        <w:tabs>
          <w:tab w:leader="none" w:pos="11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Quarterly Reports on Form 10-Q for the quarter ended August 31, 2025, filed on </w:t>
      </w:r>
      <w:hyperlink r:id="rId29">
        <w:r>
          <w:rPr>
            <w:rFonts w:ascii="Times New Roman" w:cs="Times New Roman" w:eastAsia="Times New Roman" w:hAnsi="Times New Roman"/>
            <w:sz w:val="17"/>
            <w:szCs w:val="17"/>
            <w:u w:val="single" w:color="auto"/>
            <w:color w:val="0000EE"/>
          </w:rPr>
          <w:t>October 9, 2025</w:t>
        </w:r>
      </w:hyperlink>
      <w:r>
        <w:rPr>
          <w:rFonts w:ascii="Times New Roman" w:cs="Times New Roman" w:eastAsia="Times New Roman" w:hAnsi="Times New Roman"/>
          <w:sz w:val="17"/>
          <w:szCs w:val="17"/>
          <w:color w:val="auto"/>
        </w:rPr>
        <w:t xml:space="preserve">, for the quarter ended November 30, 2025, filed on </w:t>
      </w:r>
      <w:hyperlink r:id="rId30">
        <w:r>
          <w:rPr>
            <w:rFonts w:ascii="Times New Roman" w:cs="Times New Roman" w:eastAsia="Times New Roman" w:hAnsi="Times New Roman"/>
            <w:sz w:val="17"/>
            <w:szCs w:val="17"/>
            <w:u w:val="single" w:color="auto"/>
            <w:color w:val="0000EE"/>
          </w:rPr>
          <w:t>January 8, 2026</w:t>
        </w:r>
      </w:hyperlink>
      <w:r>
        <w:rPr>
          <w:rFonts w:ascii="Times New Roman" w:cs="Times New Roman" w:eastAsia="Times New Roman" w:hAnsi="Times New Roman"/>
          <w:sz w:val="17"/>
          <w:szCs w:val="17"/>
          <w:color w:val="auto"/>
        </w:rPr>
        <w:t xml:space="preserve">, and for the quarter ended February 28, 2026, filed on </w:t>
      </w:r>
      <w:hyperlink r:id="rId31">
        <w:r>
          <w:rPr>
            <w:rFonts w:ascii="Times New Roman" w:cs="Times New Roman" w:eastAsia="Times New Roman" w:hAnsi="Times New Roman"/>
            <w:sz w:val="17"/>
            <w:szCs w:val="17"/>
            <w:u w:val="single" w:color="auto"/>
            <w:color w:val="0000EE"/>
          </w:rPr>
          <w:t>April 1, 2026</w:t>
        </w:r>
      </w:hyperlink>
      <w:r>
        <w:rPr>
          <w:rFonts w:ascii="Times New Roman" w:cs="Times New Roman" w:eastAsia="Times New Roman" w:hAnsi="Times New Roman"/>
          <w:sz w:val="17"/>
          <w:szCs w:val="17"/>
          <w:color w:val="auto"/>
        </w:rPr>
        <w:t>;</w:t>
      </w:r>
    </w:p>
    <w:p>
      <w:pPr>
        <w:spacing w:after="0" w:line="58" w:lineRule="exact"/>
        <w:rPr>
          <w:rFonts w:ascii="Times New Roman" w:cs="Times New Roman" w:eastAsia="Times New Roman" w:hAnsi="Times New Roman"/>
          <w:sz w:val="17"/>
          <w:szCs w:val="17"/>
          <w:color w:val="auto"/>
        </w:rPr>
      </w:pPr>
    </w:p>
    <w:p>
      <w:pPr>
        <w:ind w:left="1120" w:right="1339" w:hanging="337"/>
        <w:spacing w:after="0" w:line="294" w:lineRule="auto"/>
        <w:tabs>
          <w:tab w:leader="none" w:pos="1120" w:val="left"/>
        </w:tabs>
        <w:numPr>
          <w:ilvl w:val="0"/>
          <w:numId w:val="7"/>
        </w:numPr>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our Current Reports on Form 8-K, filed on </w:t>
      </w:r>
      <w:hyperlink r:id="rId32">
        <w:r>
          <w:rPr>
            <w:rFonts w:ascii="Times New Roman" w:cs="Times New Roman" w:eastAsia="Times New Roman" w:hAnsi="Times New Roman"/>
            <w:sz w:val="17"/>
            <w:szCs w:val="17"/>
            <w:u w:val="single" w:color="auto"/>
            <w:color w:val="0000EE"/>
          </w:rPr>
          <w:t>June 10, 2025</w:t>
        </w:r>
      </w:hyperlink>
      <w:r>
        <w:rPr>
          <w:rFonts w:ascii="Times New Roman" w:cs="Times New Roman" w:eastAsia="Times New Roman" w:hAnsi="Times New Roman"/>
          <w:sz w:val="17"/>
          <w:szCs w:val="17"/>
          <w:color w:val="auto"/>
        </w:rPr>
        <w:t xml:space="preserve">, </w:t>
      </w:r>
      <w:hyperlink r:id="rId33">
        <w:r>
          <w:rPr>
            <w:rFonts w:ascii="Times New Roman" w:cs="Times New Roman" w:eastAsia="Times New Roman" w:hAnsi="Times New Roman"/>
            <w:sz w:val="17"/>
            <w:szCs w:val="17"/>
            <w:u w:val="single" w:color="auto"/>
            <w:color w:val="0000EE"/>
          </w:rPr>
          <w:t>June 23, 2025</w:t>
        </w:r>
      </w:hyperlink>
      <w:r>
        <w:rPr>
          <w:rFonts w:ascii="Times New Roman" w:cs="Times New Roman" w:eastAsia="Times New Roman" w:hAnsi="Times New Roman"/>
          <w:sz w:val="17"/>
          <w:szCs w:val="17"/>
          <w:color w:val="auto"/>
        </w:rPr>
        <w:t xml:space="preserve">, </w:t>
      </w:r>
      <w:hyperlink r:id="rId34">
        <w:r>
          <w:rPr>
            <w:rFonts w:ascii="Times New Roman" w:cs="Times New Roman" w:eastAsia="Times New Roman" w:hAnsi="Times New Roman"/>
            <w:sz w:val="17"/>
            <w:szCs w:val="17"/>
            <w:u w:val="single" w:color="auto"/>
            <w:color w:val="0000EE"/>
          </w:rPr>
          <w:t>November 17, 2025</w:t>
        </w:r>
      </w:hyperlink>
      <w:r>
        <w:rPr>
          <w:rFonts w:ascii="Times New Roman" w:cs="Times New Roman" w:eastAsia="Times New Roman" w:hAnsi="Times New Roman"/>
          <w:sz w:val="17"/>
          <w:szCs w:val="17"/>
          <w:color w:val="auto"/>
        </w:rPr>
        <w:t xml:space="preserve">, </w:t>
      </w:r>
      <w:hyperlink r:id="rId35">
        <w:r>
          <w:rPr>
            <w:rFonts w:ascii="Times New Roman" w:cs="Times New Roman" w:eastAsia="Times New Roman" w:hAnsi="Times New Roman"/>
            <w:sz w:val="17"/>
            <w:szCs w:val="17"/>
            <w:u w:val="single" w:color="auto"/>
            <w:color w:val="0000EE"/>
          </w:rPr>
          <w:t>November 19, 2025</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36">
        <w:r>
          <w:rPr>
            <w:rFonts w:ascii="Times New Roman" w:cs="Times New Roman" w:eastAsia="Times New Roman" w:hAnsi="Times New Roman"/>
            <w:sz w:val="17"/>
            <w:szCs w:val="17"/>
            <w:u w:val="single" w:color="auto"/>
            <w:color w:val="0000EE"/>
          </w:rPr>
          <w:t>November 26, 2025</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37">
        <w:r>
          <w:rPr>
            <w:rFonts w:ascii="Times New Roman" w:cs="Times New Roman" w:eastAsia="Times New Roman" w:hAnsi="Times New Roman"/>
            <w:sz w:val="17"/>
            <w:szCs w:val="17"/>
            <w:u w:val="single" w:color="auto"/>
            <w:color w:val="0000EE"/>
          </w:rPr>
          <w:t>March 2, 2026</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38">
        <w:r>
          <w:rPr>
            <w:rFonts w:ascii="Times New Roman" w:cs="Times New Roman" w:eastAsia="Times New Roman" w:hAnsi="Times New Roman"/>
            <w:sz w:val="17"/>
            <w:szCs w:val="17"/>
            <w:u w:val="single" w:color="auto"/>
            <w:color w:val="0000EE"/>
          </w:rPr>
          <w:t xml:space="preserve">April 14, 2026 </w:t>
        </w:r>
      </w:hyperlink>
      <w:r>
        <w:rPr>
          <w:rFonts w:ascii="Times New Roman" w:cs="Times New Roman" w:eastAsia="Times New Roman" w:hAnsi="Times New Roman"/>
          <w:sz w:val="17"/>
          <w:szCs w:val="17"/>
          <w:color w:val="000000"/>
        </w:rPr>
        <w:t>and</w:t>
      </w:r>
      <w:r>
        <w:rPr>
          <w:rFonts w:ascii="Times New Roman" w:cs="Times New Roman" w:eastAsia="Times New Roman" w:hAnsi="Times New Roman"/>
          <w:sz w:val="17"/>
          <w:szCs w:val="17"/>
          <w:color w:val="0000EE"/>
        </w:rPr>
        <w:t xml:space="preserve"> </w:t>
      </w:r>
      <w:hyperlink r:id="rId39">
        <w:r>
          <w:rPr>
            <w:rFonts w:ascii="Times New Roman" w:cs="Times New Roman" w:eastAsia="Times New Roman" w:hAnsi="Times New Roman"/>
            <w:sz w:val="17"/>
            <w:szCs w:val="17"/>
            <w:u w:val="single" w:color="auto"/>
            <w:color w:val="0000EE"/>
          </w:rPr>
          <w:t>April 15, 2026</w:t>
        </w:r>
      </w:hyperlink>
      <w:r>
        <w:rPr>
          <w:rFonts w:ascii="Times New Roman" w:cs="Times New Roman" w:eastAsia="Times New Roman" w:hAnsi="Times New Roman"/>
          <w:sz w:val="17"/>
          <w:szCs w:val="17"/>
          <w:color w:val="000000"/>
        </w:rPr>
        <w:t>;</w:t>
      </w:r>
    </w:p>
    <w:p>
      <w:pPr>
        <w:spacing w:after="0" w:line="42" w:lineRule="exact"/>
        <w:rPr>
          <w:rFonts w:ascii="Times New Roman" w:cs="Times New Roman" w:eastAsia="Times New Roman" w:hAnsi="Times New Roman"/>
          <w:sz w:val="17"/>
          <w:szCs w:val="17"/>
          <w:color w:val="0000EE"/>
        </w:rPr>
      </w:pPr>
    </w:p>
    <w:p>
      <w:pPr>
        <w:ind w:left="1120" w:right="499" w:hanging="337"/>
        <w:spacing w:after="0" w:line="268" w:lineRule="auto"/>
        <w:tabs>
          <w:tab w:leader="none" w:pos="11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our securities as set forth in our registration statement on Form 8-A/A (File No. 001-38594), filed with the SEC on </w:t>
      </w:r>
      <w:hyperlink r:id="rId40">
        <w:r>
          <w:rPr>
            <w:rFonts w:ascii="Times New Roman" w:cs="Times New Roman" w:eastAsia="Times New Roman" w:hAnsi="Times New Roman"/>
            <w:sz w:val="17"/>
            <w:szCs w:val="17"/>
            <w:u w:val="single" w:color="auto"/>
            <w:color w:val="0000EE"/>
          </w:rPr>
          <w:t>October 1, 2020</w:t>
        </w:r>
      </w:hyperlink>
      <w:r>
        <w:rPr>
          <w:rFonts w:ascii="Times New Roman" w:cs="Times New Roman" w:eastAsia="Times New Roman" w:hAnsi="Times New Roman"/>
          <w:sz w:val="17"/>
          <w:szCs w:val="17"/>
          <w:color w:val="auto"/>
        </w:rPr>
        <w:t xml:space="preserve">, pursuant to Section 12(b) of the Exchange Act, including the description contained in </w:t>
      </w:r>
      <w:hyperlink r:id="rId41">
        <w:r>
          <w:rPr>
            <w:rFonts w:ascii="Times New Roman" w:cs="Times New Roman" w:eastAsia="Times New Roman" w:hAnsi="Times New Roman"/>
            <w:sz w:val="17"/>
            <w:szCs w:val="17"/>
            <w:u w:val="single" w:color="auto"/>
            <w:color w:val="0000EE"/>
          </w:rPr>
          <w:t>Exhibit 4.3</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our Annual Report on Form 10-K for the fiscal year ended May 31, 2025, and any subsequent amendments or reports filed for the purpose of updating such description.</w:t>
      </w:r>
    </w:p>
    <w:p>
      <w:pPr>
        <w:spacing w:after="0" w:line="66" w:lineRule="exact"/>
        <w:rPr>
          <w:rFonts w:ascii="Times New Roman" w:cs="Times New Roman" w:eastAsia="Times New Roman" w:hAnsi="Times New Roman"/>
          <w:sz w:val="17"/>
          <w:szCs w:val="17"/>
          <w:color w:val="auto"/>
        </w:rPr>
      </w:pPr>
    </w:p>
    <w:p>
      <w:pPr>
        <w:ind w:left="440" w:right="579" w:firstLine="347"/>
        <w:spacing w:after="0" w:line="263" w:lineRule="auto"/>
        <w:rPr>
          <w:sz w:val="20"/>
          <w:szCs w:val="20"/>
          <w:color w:val="auto"/>
        </w:rPr>
      </w:pPr>
      <w:r>
        <w:rPr>
          <w:rFonts w:ascii="Times New Roman" w:cs="Times New Roman" w:eastAsia="Times New Roman" w:hAnsi="Times New Roman"/>
          <w:sz w:val="17"/>
          <w:szCs w:val="17"/>
          <w:color w:val="auto"/>
        </w:rPr>
        <w:t>We will furnish without charge to you, on written or oral request, a copy of any or all of the documents incorporated by reference. You should direct any requests for documents to Tilray Brands, Inc., 265 Talbot Street West, Leamington, Ontario, Canada. Copies of the above reports may also be accessed from our web site at www.tilray.com. Information contained on, or that can be accessed through, our website is not a part of this prospectus supplement and the inclusion of our website address in this prospectus supplement is an inactive textual reference only.</w:t>
      </w:r>
    </w:p>
    <w:p>
      <w:pPr>
        <w:spacing w:after="0" w:line="71" w:lineRule="exact"/>
        <w:rPr>
          <w:rFonts w:ascii="Times New Roman" w:cs="Times New Roman" w:eastAsia="Times New Roman" w:hAnsi="Times New Roman"/>
          <w:sz w:val="17"/>
          <w:szCs w:val="17"/>
          <w:color w:val="auto"/>
        </w:rPr>
      </w:pPr>
    </w:p>
    <w:p>
      <w:pPr>
        <w:ind w:left="440" w:right="519" w:firstLine="347"/>
        <w:spacing w:after="0" w:line="261" w:lineRule="auto"/>
        <w:rPr>
          <w:sz w:val="20"/>
          <w:szCs w:val="20"/>
          <w:color w:val="auto"/>
        </w:rPr>
      </w:pPr>
      <w:r>
        <w:rPr>
          <w:rFonts w:ascii="Times New Roman" w:cs="Times New Roman" w:eastAsia="Times New Roman" w:hAnsi="Times New Roman"/>
          <w:sz w:val="17"/>
          <w:szCs w:val="17"/>
          <w:color w:val="auto"/>
        </w:rPr>
        <w:t>We also incorporate by reference in this prospectus supplement any future filings that we make with the SEC under Section 13(a), 13(c), 14 or 15(d) of the Exchange Act until we sell all the securities to which this prospectus supplement relates; provided, however, that we are not incorporating any information furnished under either Item 2.02 or Item 7.01 or any related exhibit furnished under Item 9.01(d) of any Current Report on Form 8-K unless, and except to the extent, specified in any such Current Report on Form 8-K or in any applicable prospectus supplement. Any statement contained in a document incorporated or deemed to be incorporated by reference in this prospectus supplement will be deemed modified, superseded or replaced for purposes of this prospectus supplement to the extent that a statement contained in this prospectus supplement modifies, supersedes or replaces such statement.</w:t>
      </w:r>
    </w:p>
    <w:p>
      <w:pPr>
        <w:spacing w:after="0" w:line="333" w:lineRule="exact"/>
        <w:rPr>
          <w:rFonts w:ascii="Times New Roman" w:cs="Times New Roman" w:eastAsia="Times New Roman" w:hAnsi="Times New Roman"/>
          <w:sz w:val="17"/>
          <w:szCs w:val="17"/>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Tilray Brands, Inc.</w:t>
      </w:r>
    </w:p>
    <w:p>
      <w:pPr>
        <w:spacing w:after="0" w:line="31" w:lineRule="exact"/>
        <w:rPr>
          <w:rFonts w:ascii="Times New Roman" w:cs="Times New Roman" w:eastAsia="Times New Roman" w:hAnsi="Times New Roman"/>
          <w:sz w:val="17"/>
          <w:szCs w:val="17"/>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265 Talbot Street West</w:t>
      </w:r>
    </w:p>
    <w:p>
      <w:pPr>
        <w:spacing w:after="0" w:line="13" w:lineRule="exact"/>
        <w:rPr>
          <w:rFonts w:ascii="Times New Roman" w:cs="Times New Roman" w:eastAsia="Times New Roman" w:hAnsi="Times New Roman"/>
          <w:sz w:val="17"/>
          <w:szCs w:val="17"/>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Leamington, Ontario, Canada</w:t>
      </w:r>
    </w:p>
    <w:p>
      <w:pPr>
        <w:spacing w:after="0" w:line="13" w:lineRule="exact"/>
        <w:rPr>
          <w:rFonts w:ascii="Times New Roman" w:cs="Times New Roman" w:eastAsia="Times New Roman" w:hAnsi="Times New Roman"/>
          <w:sz w:val="17"/>
          <w:szCs w:val="17"/>
          <w:color w:val="auto"/>
        </w:rPr>
      </w:pPr>
    </w:p>
    <w:p>
      <w:pPr>
        <w:ind w:left="4340" w:right="3979" w:hanging="379"/>
        <w:spacing w:after="0" w:line="528" w:lineRule="auto"/>
        <w:tabs>
          <w:tab w:leader="none" w:pos="4381"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845-7291 S-13</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-517525</wp:posOffset>
            </wp:positionH>
            <wp:positionV relativeFrom="paragraph">
              <wp:posOffset>-40640</wp:posOffset>
            </wp:positionV>
            <wp:extent cx="675640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6" w:name="page17"/>
    <w:bookmarkEnd w:id="16"/>
    <w:p>
      <w:pPr>
        <w:ind w:left="5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Tilray Brands, Inc.</w:t>
      </w:r>
    </w:p>
    <w:p>
      <w:pPr>
        <w:spacing w:after="0" w:line="34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1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7"/>
          <w:szCs w:val="17"/>
          <w:b w:val="1"/>
          <w:bCs w:val="1"/>
          <w:color w:val="auto"/>
        </w:rPr>
        <w:t>Debt Securities</w:t>
      </w:r>
    </w:p>
    <w:p>
      <w:pPr>
        <w:spacing w:after="0" w:line="1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99" w:lineRule="exact"/>
        <w:rPr>
          <w:sz w:val="20"/>
          <w:szCs w:val="20"/>
          <w:color w:val="auto"/>
        </w:rPr>
      </w:pPr>
    </w:p>
    <w:p>
      <w:pPr>
        <w:ind w:left="540" w:right="719" w:firstLine="348"/>
        <w:spacing w:after="0" w:line="265" w:lineRule="auto"/>
        <w:rPr>
          <w:sz w:val="20"/>
          <w:szCs w:val="20"/>
          <w:color w:val="auto"/>
        </w:rPr>
      </w:pPr>
      <w:r>
        <w:rPr>
          <w:rFonts w:ascii="Times New Roman" w:cs="Times New Roman" w:eastAsia="Times New Roman" w:hAnsi="Times New Roman"/>
          <w:sz w:val="17"/>
          <w:szCs w:val="17"/>
          <w:color w:val="auto"/>
        </w:rPr>
        <w:t>From time to time, we or selling securityholders may offer and sell any combination of the securities described in this prospectus, either individually or in combination with other securities. We or selling securityholders may also offer common stock or preferred stock upon conversion of debt securities, common stock upon conversion of preferred stock, or common stock, preferred stock or debt securities upon the exercise of warrants.</w:t>
      </w:r>
    </w:p>
    <w:p>
      <w:pPr>
        <w:spacing w:after="0" w:line="68" w:lineRule="exact"/>
        <w:rPr>
          <w:sz w:val="20"/>
          <w:szCs w:val="20"/>
          <w:color w:val="auto"/>
        </w:rPr>
      </w:pPr>
    </w:p>
    <w:p>
      <w:pPr>
        <w:ind w:left="540" w:right="599" w:firstLine="348"/>
        <w:spacing w:after="0" w:line="262" w:lineRule="auto"/>
        <w:rPr>
          <w:sz w:val="20"/>
          <w:szCs w:val="20"/>
          <w:color w:val="auto"/>
        </w:rPr>
      </w:pPr>
      <w:r>
        <w:rPr>
          <w:rFonts w:ascii="Times New Roman" w:cs="Times New Roman" w:eastAsia="Times New Roman" w:hAnsi="Times New Roman"/>
          <w:sz w:val="17"/>
          <w:szCs w:val="17"/>
          <w:color w:val="auto"/>
        </w:rPr>
        <w:t>Each time we sell securities pursuant to this prospectus, we will provide the specific terms of these offerings and securities in one or more prospectus supplements and attach it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the documents incorporated by reference, before buying any of the securities being offered.</w:t>
      </w:r>
    </w:p>
    <w:p>
      <w:pPr>
        <w:spacing w:after="0" w:line="71" w:lineRule="exact"/>
        <w:rPr>
          <w:sz w:val="20"/>
          <w:szCs w:val="20"/>
          <w:color w:val="auto"/>
        </w:rPr>
      </w:pPr>
    </w:p>
    <w:p>
      <w:pPr>
        <w:ind w:left="540" w:right="579" w:firstLine="348"/>
        <w:spacing w:after="0" w:line="265" w:lineRule="auto"/>
        <w:rPr>
          <w:sz w:val="20"/>
          <w:szCs w:val="20"/>
          <w:color w:val="auto"/>
        </w:rPr>
      </w:pPr>
      <w:r>
        <w:rPr>
          <w:rFonts w:ascii="Times New Roman" w:cs="Times New Roman" w:eastAsia="Times New Roman" w:hAnsi="Times New Roman"/>
          <w:sz w:val="17"/>
          <w:szCs w:val="17"/>
          <w:color w:val="auto"/>
        </w:rPr>
        <w:t>Our common stock is listed on The Nasdaq Global Select Market and the Toronto Stock Exchange under the trading symbol “TLRY.” On October 8, 2025, the last sale price of our common stock was $1.72 per share on The Nasdaq Global Select Market and C$2.36 per share on the Toronto Stock Exchange. The applicable prospectus supplement will contain information, where applicable, as to other listings, if any, on The Nasdaq Global Select Market or other securities exchange of the securities covered by the applicable prospectus supplement.</w:t>
      </w:r>
    </w:p>
    <w:p>
      <w:pPr>
        <w:spacing w:after="0" w:line="64" w:lineRule="exact"/>
        <w:rPr>
          <w:sz w:val="20"/>
          <w:szCs w:val="20"/>
          <w:color w:val="auto"/>
        </w:rPr>
      </w:pPr>
    </w:p>
    <w:p>
      <w:pPr>
        <w:ind w:left="540" w:right="679" w:firstLine="348"/>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Investing in our securities involves a high degree of risk. You should review carefully the risks and uncertainties described under the heading “Risk Factors”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61" w:lineRule="exact"/>
        <w:rPr>
          <w:sz w:val="20"/>
          <w:szCs w:val="20"/>
          <w:color w:val="auto"/>
        </w:rPr>
      </w:pPr>
    </w:p>
    <w:p>
      <w:pPr>
        <w:jc w:val="both"/>
        <w:ind w:left="540" w:right="579" w:firstLine="348"/>
        <w:spacing w:after="0" w:line="276"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This prospectus is dated October 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127635</wp:posOffset>
            </wp:positionV>
            <wp:extent cx="675640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7" w:name="page18"/>
    <w:bookmarkEnd w:id="17"/>
    <w:tbl>
      <w:tblPr>
        <w:tblLayout w:type="fixed"/>
        <w:tblInd w:w="440" w:type="dxa"/>
        <w:tblCellMar>
          <w:top w:w="0" w:type="dxa"/>
          <w:left w:w="0" w:type="dxa"/>
          <w:bottom w:w="0" w:type="dxa"/>
          <w:right w:w="0" w:type="dxa"/>
        </w:tblCellMar>
      </w:tblPr>
      <w:tr>
        <w:trPr>
          <w:trHeight w:val="161"/>
        </w:trPr>
        <w:tc>
          <w:tcPr>
            <w:tcW w:w="7500" w:type="dxa"/>
            <w:vAlign w:val="bottom"/>
            <w:gridSpan w:val="16"/>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2"/>
        </w:trPr>
        <w:tc>
          <w:tcPr>
            <w:tcW w:w="7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80" w:type="dxa"/>
            <w:vAlign w:val="bottom"/>
            <w:gridSpan w:val="4"/>
          </w:tcPr>
          <w:p>
            <w:pPr>
              <w:ind w:left="2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8"/>
        </w:trPr>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306"/>
        </w:trPr>
        <w:tc>
          <w:tcPr>
            <w:tcW w:w="75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7"/>
                <w:szCs w:val="17"/>
                <w:color w:val="0000EE"/>
              </w:rPr>
              <w:t>ABOUT THIS PROSPECTUS</w:t>
            </w:r>
          </w:p>
        </w:tc>
        <w:tc>
          <w:tcPr>
            <w:tcW w:w="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7"/>
                <w:szCs w:val="17"/>
                <w:color w:val="0000EE"/>
              </w:rPr>
              <w:t>ii</w:t>
            </w:r>
          </w:p>
        </w:tc>
      </w:tr>
      <w:tr>
        <w:trPr>
          <w:trHeight w:val="183"/>
        </w:trPr>
        <w:tc>
          <w:tcPr>
            <w:tcW w:w="2140" w:type="dxa"/>
            <w:vAlign w:val="bottom"/>
            <w:tcBorders>
              <w:top w:val="single" w:sz="8" w:color="0000EE"/>
            </w:tcBorders>
            <w:gridSpan w:val="8"/>
          </w:tcPr>
          <w:p>
            <w:pPr>
              <w:spacing w:after="0" w:line="183" w:lineRule="exact"/>
              <w:rPr>
                <w:sz w:val="20"/>
                <w:szCs w:val="20"/>
                <w:color w:val="auto"/>
              </w:rPr>
            </w:pPr>
            <w:r>
              <w:rPr>
                <w:rFonts w:ascii="Times New Roman" w:cs="Times New Roman" w:eastAsia="Times New Roman" w:hAnsi="Times New Roman"/>
                <w:sz w:val="17"/>
                <w:szCs w:val="17"/>
                <w:color w:val="0000EE"/>
              </w:rPr>
              <w:t>PROSPECTUS SUMMARY</w:t>
            </w:r>
          </w:p>
        </w:tc>
        <w:tc>
          <w:tcPr>
            <w:tcW w:w="5360" w:type="dxa"/>
            <w:vAlign w:val="bottom"/>
            <w:tcBorders>
              <w:top w:val="single" w:sz="8" w:color="CCEEFF"/>
            </w:tcBorders>
            <w:gridSpan w:val="8"/>
          </w:tcPr>
          <w:p>
            <w:pPr>
              <w:spacing w:after="0"/>
              <w:rPr>
                <w:sz w:val="15"/>
                <w:szCs w:val="15"/>
                <w:color w:val="auto"/>
              </w:rPr>
            </w:pPr>
          </w:p>
        </w:tc>
        <w:tc>
          <w:tcPr>
            <w:tcW w:w="520" w:type="dxa"/>
            <w:vAlign w:val="bottom"/>
            <w:tcBorders>
              <w:top w:val="single" w:sz="8" w:color="CCEEFF"/>
            </w:tcBorders>
            <w:gridSpan w:val="2"/>
          </w:tcPr>
          <w:p>
            <w:pPr>
              <w:spacing w:after="0"/>
              <w:rPr>
                <w:sz w:val="15"/>
                <w:szCs w:val="15"/>
                <w:color w:val="auto"/>
              </w:rPr>
            </w:pPr>
          </w:p>
        </w:tc>
        <w:tc>
          <w:tcPr>
            <w:tcW w:w="100" w:type="dxa"/>
            <w:vAlign w:val="bottom"/>
            <w:tcBorders>
              <w:top w:val="single" w:sz="8" w:color="0000EE"/>
            </w:tcBorders>
          </w:tcPr>
          <w:p>
            <w:pPr>
              <w:jc w:val="center"/>
              <w:spacing w:after="0" w:line="183" w:lineRule="exact"/>
              <w:rPr>
                <w:sz w:val="20"/>
                <w:szCs w:val="20"/>
                <w:color w:val="auto"/>
              </w:rPr>
            </w:pPr>
            <w:r>
              <w:rPr>
                <w:rFonts w:ascii="Times New Roman" w:cs="Times New Roman" w:eastAsia="Times New Roman" w:hAnsi="Times New Roman"/>
                <w:sz w:val="17"/>
                <w:szCs w:val="17"/>
                <w:color w:val="0000EE"/>
              </w:rPr>
              <w:t>1</w:t>
            </w:r>
          </w:p>
        </w:tc>
        <w:tc>
          <w:tcPr>
            <w:tcW w:w="20" w:type="dxa"/>
            <w:vAlign w:val="bottom"/>
            <w:tcBorders>
              <w:top w:val="single" w:sz="8" w:color="CCEEFF"/>
            </w:tcBorders>
          </w:tcPr>
          <w:p>
            <w:pPr>
              <w:spacing w:after="0"/>
              <w:rPr>
                <w:sz w:val="15"/>
                <w:szCs w:val="15"/>
                <w:color w:val="auto"/>
              </w:rPr>
            </w:pPr>
          </w:p>
        </w:tc>
      </w:tr>
      <w:tr>
        <w:trPr>
          <w:trHeight w:val="32"/>
        </w:trPr>
        <w:tc>
          <w:tcPr>
            <w:tcW w:w="7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7500" w:type="dxa"/>
            <w:vAlign w:val="bottom"/>
            <w:gridSpan w:val="16"/>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rPr>
              <w:t>RISK FACTORS</w:t>
            </w:r>
          </w:p>
        </w:tc>
        <w:tc>
          <w:tcPr>
            <w:tcW w:w="620" w:type="dxa"/>
            <w:vAlign w:val="bottom"/>
            <w:gridSpan w:val="3"/>
            <w:shd w:val="clear" w:color="auto" w:fill="CCEEFF"/>
          </w:tcPr>
          <w:p>
            <w:pPr>
              <w:jc w:val="center"/>
              <w:ind w:left="433"/>
              <w:spacing w:after="0" w:line="183" w:lineRule="exact"/>
              <w:rPr>
                <w:sz w:val="20"/>
                <w:szCs w:val="20"/>
                <w:color w:val="auto"/>
              </w:rPr>
            </w:pPr>
            <w:r>
              <w:rPr>
                <w:rFonts w:ascii="Times New Roman" w:cs="Times New Roman" w:eastAsia="Times New Roman" w:hAnsi="Times New Roman"/>
                <w:sz w:val="17"/>
                <w:szCs w:val="17"/>
                <w:color w:val="0000EE"/>
              </w:rPr>
              <w:t>5</w:t>
            </w:r>
          </w:p>
        </w:tc>
        <w:tc>
          <w:tcPr>
            <w:tcW w:w="20" w:type="dxa"/>
            <w:vAlign w:val="bottom"/>
            <w:shd w:val="clear" w:color="auto" w:fill="CCEEFF"/>
          </w:tcPr>
          <w:p>
            <w:pPr>
              <w:spacing w:after="0"/>
              <w:rPr>
                <w:sz w:val="15"/>
                <w:szCs w:val="15"/>
                <w:color w:val="auto"/>
              </w:rPr>
            </w:pPr>
          </w:p>
        </w:tc>
      </w:tr>
      <w:tr>
        <w:trPr>
          <w:trHeight w:val="32"/>
        </w:trPr>
        <w:tc>
          <w:tcPr>
            <w:tcW w:w="7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3"/>
        </w:trPr>
        <w:tc>
          <w:tcPr>
            <w:tcW w:w="7500" w:type="dxa"/>
            <w:vAlign w:val="bottom"/>
            <w:gridSpan w:val="16"/>
          </w:tcPr>
          <w:p>
            <w:pPr>
              <w:spacing w:after="0" w:line="183" w:lineRule="exact"/>
              <w:rPr>
                <w:sz w:val="20"/>
                <w:szCs w:val="20"/>
                <w:color w:val="auto"/>
              </w:rPr>
            </w:pPr>
            <w:r>
              <w:rPr>
                <w:rFonts w:ascii="Times New Roman" w:cs="Times New Roman" w:eastAsia="Times New Roman" w:hAnsi="Times New Roman"/>
                <w:sz w:val="17"/>
                <w:szCs w:val="17"/>
                <w:color w:val="0000EE"/>
              </w:rPr>
              <w:t>SPECIAL NOTE REGARDING FORWARD-LOOKING STATEMENTS</w:t>
            </w:r>
          </w:p>
        </w:tc>
        <w:tc>
          <w:tcPr>
            <w:tcW w:w="620" w:type="dxa"/>
            <w:vAlign w:val="bottom"/>
            <w:gridSpan w:val="3"/>
          </w:tcPr>
          <w:p>
            <w:pPr>
              <w:jc w:val="center"/>
              <w:ind w:left="433"/>
              <w:spacing w:after="0" w:line="183" w:lineRule="exact"/>
              <w:rPr>
                <w:sz w:val="20"/>
                <w:szCs w:val="20"/>
                <w:color w:val="auto"/>
              </w:rPr>
            </w:pPr>
            <w:r>
              <w:rPr>
                <w:rFonts w:ascii="Times New Roman" w:cs="Times New Roman" w:eastAsia="Times New Roman" w:hAnsi="Times New Roman"/>
                <w:sz w:val="17"/>
                <w:szCs w:val="17"/>
                <w:color w:val="0000EE"/>
              </w:rPr>
              <w:t>6</w:t>
            </w:r>
          </w:p>
        </w:tc>
        <w:tc>
          <w:tcPr>
            <w:tcW w:w="20" w:type="dxa"/>
            <w:vAlign w:val="bottom"/>
          </w:tcPr>
          <w:p>
            <w:pPr>
              <w:spacing w:after="0"/>
              <w:rPr>
                <w:sz w:val="15"/>
                <w:szCs w:val="15"/>
                <w:color w:val="auto"/>
              </w:rPr>
            </w:pPr>
          </w:p>
        </w:tc>
      </w:tr>
      <w:tr>
        <w:trPr>
          <w:trHeight w:val="32"/>
        </w:trPr>
        <w:tc>
          <w:tcPr>
            <w:tcW w:w="7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13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7500" w:type="dxa"/>
            <w:vAlign w:val="bottom"/>
            <w:gridSpan w:val="16"/>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rPr>
              <w:t>DESCRIPTION OF CAPITAL STOCK</w:t>
            </w:r>
          </w:p>
        </w:tc>
        <w:tc>
          <w:tcPr>
            <w:tcW w:w="620" w:type="dxa"/>
            <w:vAlign w:val="bottom"/>
            <w:gridSpan w:val="3"/>
            <w:shd w:val="clear" w:color="auto" w:fill="CCEEFF"/>
          </w:tcPr>
          <w:p>
            <w:pPr>
              <w:jc w:val="center"/>
              <w:ind w:left="433"/>
              <w:spacing w:after="0" w:line="183" w:lineRule="exact"/>
              <w:rPr>
                <w:sz w:val="20"/>
                <w:szCs w:val="20"/>
                <w:color w:val="auto"/>
              </w:rPr>
            </w:pPr>
            <w:r>
              <w:rPr>
                <w:rFonts w:ascii="Times New Roman" w:cs="Times New Roman" w:eastAsia="Times New Roman" w:hAnsi="Times New Roman"/>
                <w:sz w:val="17"/>
                <w:szCs w:val="17"/>
                <w:color w:val="0000EE"/>
              </w:rPr>
              <w:t>9</w:t>
            </w:r>
          </w:p>
        </w:tc>
        <w:tc>
          <w:tcPr>
            <w:tcW w:w="20" w:type="dxa"/>
            <w:vAlign w:val="bottom"/>
            <w:shd w:val="clear" w:color="auto" w:fill="CCEEFF"/>
          </w:tcPr>
          <w:p>
            <w:pPr>
              <w:spacing w:after="0"/>
              <w:rPr>
                <w:sz w:val="15"/>
                <w:szCs w:val="15"/>
                <w:color w:val="auto"/>
              </w:rPr>
            </w:pPr>
          </w:p>
        </w:tc>
      </w:tr>
      <w:tr>
        <w:trPr>
          <w:trHeight w:val="32"/>
        </w:trPr>
        <w:tc>
          <w:tcPr>
            <w:tcW w:w="7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3"/>
        </w:trPr>
        <w:tc>
          <w:tcPr>
            <w:tcW w:w="7500" w:type="dxa"/>
            <w:vAlign w:val="bottom"/>
            <w:gridSpan w:val="16"/>
          </w:tcPr>
          <w:p>
            <w:pPr>
              <w:spacing w:after="0" w:line="183" w:lineRule="exact"/>
              <w:rPr>
                <w:sz w:val="20"/>
                <w:szCs w:val="20"/>
                <w:color w:val="auto"/>
              </w:rPr>
            </w:pPr>
            <w:r>
              <w:rPr>
                <w:rFonts w:ascii="Times New Roman" w:cs="Times New Roman" w:eastAsia="Times New Roman" w:hAnsi="Times New Roman"/>
                <w:sz w:val="17"/>
                <w:szCs w:val="17"/>
                <w:color w:val="0000EE"/>
              </w:rPr>
              <w:t>DESCRIPTION OF DEBT SECURITIES</w:t>
            </w:r>
          </w:p>
        </w:tc>
        <w:tc>
          <w:tcPr>
            <w:tcW w:w="640" w:type="dxa"/>
            <w:vAlign w:val="bottom"/>
            <w:gridSpan w:val="4"/>
          </w:tcPr>
          <w:p>
            <w:pPr>
              <w:jc w:val="center"/>
              <w:ind w:left="333"/>
              <w:spacing w:after="0" w:line="183" w:lineRule="exact"/>
              <w:rPr>
                <w:sz w:val="20"/>
                <w:szCs w:val="20"/>
                <w:color w:val="auto"/>
              </w:rPr>
            </w:pPr>
            <w:r>
              <w:rPr>
                <w:rFonts w:ascii="Times New Roman" w:cs="Times New Roman" w:eastAsia="Times New Roman" w:hAnsi="Times New Roman"/>
                <w:sz w:val="17"/>
                <w:szCs w:val="17"/>
                <w:color w:val="0000EE"/>
              </w:rPr>
              <w:t>13</w:t>
            </w:r>
          </w:p>
        </w:tc>
      </w:tr>
      <w:tr>
        <w:trPr>
          <w:trHeight w:val="32"/>
        </w:trPr>
        <w:tc>
          <w:tcPr>
            <w:tcW w:w="7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2400" w:type="dxa"/>
            <w:vAlign w:val="bottom"/>
            <w:gridSpan w:val="9"/>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rPr>
              <w:t>DESCRIPTION OF WARRANTS</w:t>
            </w:r>
          </w:p>
        </w:tc>
        <w:tc>
          <w:tcPr>
            <w:tcW w:w="5100" w:type="dxa"/>
            <w:vAlign w:val="bottom"/>
            <w:gridSpan w:val="7"/>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gridSpan w:val="3"/>
            <w:shd w:val="clear" w:color="auto" w:fill="CCEEFF"/>
          </w:tcPr>
          <w:p>
            <w:pPr>
              <w:jc w:val="center"/>
              <w:ind w:right="20"/>
              <w:spacing w:after="0" w:line="183" w:lineRule="exact"/>
              <w:rPr>
                <w:sz w:val="20"/>
                <w:szCs w:val="20"/>
                <w:color w:val="auto"/>
              </w:rPr>
            </w:pPr>
            <w:r>
              <w:rPr>
                <w:rFonts w:ascii="Times New Roman" w:cs="Times New Roman" w:eastAsia="Times New Roman" w:hAnsi="Times New Roman"/>
                <w:sz w:val="17"/>
                <w:szCs w:val="17"/>
                <w:color w:val="0000EE"/>
              </w:rPr>
              <w:t>19</w:t>
            </w:r>
          </w:p>
        </w:tc>
      </w:tr>
      <w:tr>
        <w:trPr>
          <w:trHeight w:val="32"/>
        </w:trPr>
        <w:tc>
          <w:tcPr>
            <w:tcW w:w="7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3"/>
        </w:trPr>
        <w:tc>
          <w:tcPr>
            <w:tcW w:w="7500" w:type="dxa"/>
            <w:vAlign w:val="bottom"/>
            <w:gridSpan w:val="16"/>
          </w:tcPr>
          <w:p>
            <w:pPr>
              <w:spacing w:after="0" w:line="183" w:lineRule="exact"/>
              <w:rPr>
                <w:sz w:val="20"/>
                <w:szCs w:val="20"/>
                <w:color w:val="auto"/>
              </w:rPr>
            </w:pPr>
            <w:r>
              <w:rPr>
                <w:rFonts w:ascii="Times New Roman" w:cs="Times New Roman" w:eastAsia="Times New Roman" w:hAnsi="Times New Roman"/>
                <w:sz w:val="17"/>
                <w:szCs w:val="17"/>
                <w:color w:val="0000EE"/>
              </w:rPr>
              <w:t>LEGAL OWNERSHIP OF SECURITIES</w:t>
            </w:r>
          </w:p>
        </w:tc>
        <w:tc>
          <w:tcPr>
            <w:tcW w:w="640" w:type="dxa"/>
            <w:vAlign w:val="bottom"/>
            <w:gridSpan w:val="4"/>
          </w:tcPr>
          <w:p>
            <w:pPr>
              <w:jc w:val="center"/>
              <w:ind w:left="333"/>
              <w:spacing w:after="0" w:line="183" w:lineRule="exact"/>
              <w:rPr>
                <w:sz w:val="20"/>
                <w:szCs w:val="20"/>
                <w:color w:val="auto"/>
              </w:rPr>
            </w:pPr>
            <w:r>
              <w:rPr>
                <w:rFonts w:ascii="Times New Roman" w:cs="Times New Roman" w:eastAsia="Times New Roman" w:hAnsi="Times New Roman"/>
                <w:sz w:val="17"/>
                <w:szCs w:val="17"/>
                <w:color w:val="0000EE"/>
              </w:rPr>
              <w:t>21</w:t>
            </w:r>
          </w:p>
        </w:tc>
      </w:tr>
      <w:tr>
        <w:trPr>
          <w:trHeight w:val="32"/>
        </w:trPr>
        <w:tc>
          <w:tcPr>
            <w:tcW w:w="7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2420" w:type="dxa"/>
            <w:vAlign w:val="bottom"/>
            <w:gridSpan w:val="10"/>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rPr>
              <w:t>SELLING SECURITYHOLDERS</w:t>
            </w:r>
          </w:p>
        </w:tc>
        <w:tc>
          <w:tcPr>
            <w:tcW w:w="5080" w:type="dxa"/>
            <w:vAlign w:val="bottom"/>
            <w:gridSpan w:val="6"/>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gridSpan w:val="3"/>
            <w:shd w:val="clear" w:color="auto" w:fill="CCEEFF"/>
          </w:tcPr>
          <w:p>
            <w:pPr>
              <w:jc w:val="center"/>
              <w:ind w:right="20"/>
              <w:spacing w:after="0" w:line="183" w:lineRule="exact"/>
              <w:rPr>
                <w:sz w:val="20"/>
                <w:szCs w:val="20"/>
                <w:color w:val="auto"/>
              </w:rPr>
            </w:pPr>
            <w:r>
              <w:rPr>
                <w:rFonts w:ascii="Times New Roman" w:cs="Times New Roman" w:eastAsia="Times New Roman" w:hAnsi="Times New Roman"/>
                <w:sz w:val="17"/>
                <w:szCs w:val="17"/>
                <w:color w:val="0000EE"/>
              </w:rPr>
              <w:t>24</w:t>
            </w:r>
          </w:p>
        </w:tc>
      </w:tr>
      <w:tr>
        <w:trPr>
          <w:trHeight w:val="32"/>
        </w:trPr>
        <w:tc>
          <w:tcPr>
            <w:tcW w:w="7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3"/>
        </w:trPr>
        <w:tc>
          <w:tcPr>
            <w:tcW w:w="2420" w:type="dxa"/>
            <w:vAlign w:val="bottom"/>
            <w:gridSpan w:val="10"/>
          </w:tcPr>
          <w:p>
            <w:pPr>
              <w:spacing w:after="0" w:line="183" w:lineRule="exact"/>
              <w:rPr>
                <w:sz w:val="20"/>
                <w:szCs w:val="20"/>
                <w:color w:val="auto"/>
              </w:rPr>
            </w:pPr>
            <w:r>
              <w:rPr>
                <w:rFonts w:ascii="Times New Roman" w:cs="Times New Roman" w:eastAsia="Times New Roman" w:hAnsi="Times New Roman"/>
                <w:sz w:val="17"/>
                <w:szCs w:val="17"/>
                <w:color w:val="0000EE"/>
              </w:rPr>
              <w:t>USE OF PROCEEDS</w:t>
            </w:r>
          </w:p>
        </w:tc>
        <w:tc>
          <w:tcPr>
            <w:tcW w:w="5080" w:type="dxa"/>
            <w:vAlign w:val="bottom"/>
            <w:gridSpan w:val="6"/>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gridSpan w:val="3"/>
          </w:tcPr>
          <w:p>
            <w:pPr>
              <w:jc w:val="center"/>
              <w:ind w:right="20"/>
              <w:spacing w:after="0" w:line="183" w:lineRule="exact"/>
              <w:rPr>
                <w:sz w:val="20"/>
                <w:szCs w:val="20"/>
                <w:color w:val="auto"/>
              </w:rPr>
            </w:pPr>
            <w:r>
              <w:rPr>
                <w:rFonts w:ascii="Times New Roman" w:cs="Times New Roman" w:eastAsia="Times New Roman" w:hAnsi="Times New Roman"/>
                <w:sz w:val="17"/>
                <w:szCs w:val="17"/>
                <w:color w:val="0000EE"/>
              </w:rPr>
              <w:t>25</w:t>
            </w:r>
          </w:p>
        </w:tc>
      </w:tr>
      <w:tr>
        <w:trPr>
          <w:trHeight w:val="32"/>
        </w:trPr>
        <w:tc>
          <w:tcPr>
            <w:tcW w:w="7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1980" w:type="dxa"/>
            <w:vAlign w:val="bottom"/>
            <w:gridSpan w:val="6"/>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rPr>
              <w:t>PLAN OF DISTRIBUTION</w:t>
            </w:r>
          </w:p>
        </w:tc>
        <w:tc>
          <w:tcPr>
            <w:tcW w:w="5520" w:type="dxa"/>
            <w:vAlign w:val="bottom"/>
            <w:gridSpan w:val="10"/>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gridSpan w:val="3"/>
            <w:shd w:val="clear" w:color="auto" w:fill="CCEEFF"/>
          </w:tcPr>
          <w:p>
            <w:pPr>
              <w:jc w:val="center"/>
              <w:ind w:right="20"/>
              <w:spacing w:after="0" w:line="183" w:lineRule="exact"/>
              <w:rPr>
                <w:sz w:val="20"/>
                <w:szCs w:val="20"/>
                <w:color w:val="auto"/>
              </w:rPr>
            </w:pPr>
            <w:r>
              <w:rPr>
                <w:rFonts w:ascii="Times New Roman" w:cs="Times New Roman" w:eastAsia="Times New Roman" w:hAnsi="Times New Roman"/>
                <w:sz w:val="17"/>
                <w:szCs w:val="17"/>
                <w:color w:val="0000EE"/>
              </w:rPr>
              <w:t>26</w:t>
            </w:r>
          </w:p>
        </w:tc>
      </w:tr>
      <w:tr>
        <w:trPr>
          <w:trHeight w:val="32"/>
        </w:trPr>
        <w:tc>
          <w:tcPr>
            <w:tcW w:w="7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3"/>
        </w:trPr>
        <w:tc>
          <w:tcPr>
            <w:tcW w:w="1980" w:type="dxa"/>
            <w:vAlign w:val="bottom"/>
            <w:gridSpan w:val="6"/>
          </w:tcPr>
          <w:p>
            <w:pPr>
              <w:spacing w:after="0" w:line="183" w:lineRule="exact"/>
              <w:rPr>
                <w:sz w:val="20"/>
                <w:szCs w:val="20"/>
                <w:color w:val="auto"/>
              </w:rPr>
            </w:pPr>
            <w:r>
              <w:rPr>
                <w:rFonts w:ascii="Times New Roman" w:cs="Times New Roman" w:eastAsia="Times New Roman" w:hAnsi="Times New Roman"/>
                <w:sz w:val="17"/>
                <w:szCs w:val="17"/>
                <w:color w:val="0000EE"/>
              </w:rPr>
              <w:t>LEGAL MATTERS</w:t>
            </w:r>
          </w:p>
        </w:tc>
        <w:tc>
          <w:tcPr>
            <w:tcW w:w="5520" w:type="dxa"/>
            <w:vAlign w:val="bottom"/>
            <w:gridSpan w:val="10"/>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gridSpan w:val="3"/>
          </w:tcPr>
          <w:p>
            <w:pPr>
              <w:jc w:val="center"/>
              <w:ind w:right="20"/>
              <w:spacing w:after="0" w:line="183" w:lineRule="exact"/>
              <w:rPr>
                <w:sz w:val="20"/>
                <w:szCs w:val="20"/>
                <w:color w:val="auto"/>
              </w:rPr>
            </w:pPr>
            <w:r>
              <w:rPr>
                <w:rFonts w:ascii="Times New Roman" w:cs="Times New Roman" w:eastAsia="Times New Roman" w:hAnsi="Times New Roman"/>
                <w:sz w:val="17"/>
                <w:szCs w:val="17"/>
                <w:color w:val="0000EE"/>
              </w:rPr>
              <w:t>28</w:t>
            </w:r>
          </w:p>
        </w:tc>
      </w:tr>
      <w:tr>
        <w:trPr>
          <w:trHeight w:val="32"/>
        </w:trPr>
        <w:tc>
          <w:tcPr>
            <w:tcW w:w="7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7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w w:val="97"/>
              </w:rPr>
              <w:t>EXPERTS</w:t>
            </w:r>
          </w:p>
        </w:tc>
        <w:tc>
          <w:tcPr>
            <w:tcW w:w="6760" w:type="dxa"/>
            <w:vAlign w:val="bottom"/>
            <w:gridSpan w:val="15"/>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gridSpan w:val="3"/>
            <w:shd w:val="clear" w:color="auto" w:fill="CCEEFF"/>
          </w:tcPr>
          <w:p>
            <w:pPr>
              <w:jc w:val="center"/>
              <w:ind w:right="20"/>
              <w:spacing w:after="0" w:line="183" w:lineRule="exact"/>
              <w:rPr>
                <w:sz w:val="20"/>
                <w:szCs w:val="20"/>
                <w:color w:val="auto"/>
              </w:rPr>
            </w:pPr>
            <w:r>
              <w:rPr>
                <w:rFonts w:ascii="Times New Roman" w:cs="Times New Roman" w:eastAsia="Times New Roman" w:hAnsi="Times New Roman"/>
                <w:sz w:val="17"/>
                <w:szCs w:val="17"/>
                <w:color w:val="0000EE"/>
              </w:rPr>
              <w:t>28</w:t>
            </w:r>
          </w:p>
        </w:tc>
      </w:tr>
      <w:tr>
        <w:trPr>
          <w:trHeight w:val="32"/>
        </w:trPr>
        <w:tc>
          <w:tcPr>
            <w:tcW w:w="7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3"/>
        </w:trPr>
        <w:tc>
          <w:tcPr>
            <w:tcW w:w="7500" w:type="dxa"/>
            <w:vAlign w:val="bottom"/>
            <w:gridSpan w:val="16"/>
          </w:tcPr>
          <w:p>
            <w:pPr>
              <w:spacing w:after="0" w:line="183" w:lineRule="exact"/>
              <w:rPr>
                <w:sz w:val="20"/>
                <w:szCs w:val="20"/>
                <w:color w:val="auto"/>
              </w:rPr>
            </w:pPr>
            <w:r>
              <w:rPr>
                <w:rFonts w:ascii="Times New Roman" w:cs="Times New Roman" w:eastAsia="Times New Roman" w:hAnsi="Times New Roman"/>
                <w:sz w:val="17"/>
                <w:szCs w:val="17"/>
                <w:color w:val="0000EE"/>
              </w:rPr>
              <w:t>WHERE YOU CAN FIND MORE INFORMATION</w:t>
            </w:r>
          </w:p>
        </w:tc>
        <w:tc>
          <w:tcPr>
            <w:tcW w:w="640" w:type="dxa"/>
            <w:vAlign w:val="bottom"/>
            <w:gridSpan w:val="4"/>
          </w:tcPr>
          <w:p>
            <w:pPr>
              <w:jc w:val="center"/>
              <w:ind w:left="333"/>
              <w:spacing w:after="0" w:line="183" w:lineRule="exact"/>
              <w:rPr>
                <w:sz w:val="20"/>
                <w:szCs w:val="20"/>
                <w:color w:val="auto"/>
              </w:rPr>
            </w:pPr>
            <w:r>
              <w:rPr>
                <w:rFonts w:ascii="Times New Roman" w:cs="Times New Roman" w:eastAsia="Times New Roman" w:hAnsi="Times New Roman"/>
                <w:sz w:val="17"/>
                <w:szCs w:val="17"/>
                <w:color w:val="0000EE"/>
              </w:rPr>
              <w:t>28</w:t>
            </w:r>
          </w:p>
        </w:tc>
      </w:tr>
      <w:tr>
        <w:trPr>
          <w:trHeight w:val="32"/>
        </w:trPr>
        <w:tc>
          <w:tcPr>
            <w:tcW w:w="7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7500" w:type="dxa"/>
            <w:vAlign w:val="bottom"/>
            <w:gridSpan w:val="16"/>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rPr>
              <w:t>INCORPORATION OF CERTAIN INFORMATION BY REFERENCE</w:t>
            </w:r>
          </w:p>
        </w:tc>
        <w:tc>
          <w:tcPr>
            <w:tcW w:w="640" w:type="dxa"/>
            <w:vAlign w:val="bottom"/>
            <w:gridSpan w:val="4"/>
            <w:shd w:val="clear" w:color="auto" w:fill="CCEEFF"/>
          </w:tcPr>
          <w:p>
            <w:pPr>
              <w:jc w:val="center"/>
              <w:ind w:left="333"/>
              <w:spacing w:after="0" w:line="183" w:lineRule="exact"/>
              <w:rPr>
                <w:sz w:val="20"/>
                <w:szCs w:val="20"/>
                <w:color w:val="auto"/>
              </w:rPr>
            </w:pPr>
            <w:r>
              <w:rPr>
                <w:rFonts w:ascii="Times New Roman" w:cs="Times New Roman" w:eastAsia="Times New Roman" w:hAnsi="Times New Roman"/>
                <w:sz w:val="17"/>
                <w:szCs w:val="17"/>
                <w:color w:val="0000EE"/>
              </w:rPr>
              <w:t>29</w:t>
            </w:r>
          </w:p>
        </w:tc>
      </w:tr>
      <w:tr>
        <w:trPr>
          <w:trHeight w:val="71"/>
        </w:trPr>
        <w:tc>
          <w:tcPr>
            <w:tcW w:w="7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13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3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127635</wp:posOffset>
            </wp:positionV>
            <wp:extent cx="675640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2" w:right="1440" w:bottom="1440" w:gutter="0" w:footer="0" w:header="0"/>
        </w:sectPr>
      </w:pPr>
    </w:p>
    <w:bookmarkStart w:id="18" w:name="page19"/>
    <w:bookmarkEnd w:id="18"/>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119" w:lineRule="exact"/>
        <w:rPr>
          <w:sz w:val="20"/>
          <w:szCs w:val="20"/>
          <w:color w:val="auto"/>
        </w:rPr>
      </w:pPr>
    </w:p>
    <w:p>
      <w:pPr>
        <w:ind w:left="440" w:right="499" w:firstLine="347"/>
        <w:spacing w:after="0" w:line="262" w:lineRule="auto"/>
        <w:rPr>
          <w:sz w:val="20"/>
          <w:szCs w:val="20"/>
          <w:color w:val="auto"/>
        </w:rPr>
      </w:pPr>
      <w:r>
        <w:rPr>
          <w:rFonts w:ascii="Times New Roman" w:cs="Times New Roman" w:eastAsia="Times New Roman" w:hAnsi="Times New Roman"/>
          <w:sz w:val="17"/>
          <w:szCs w:val="17"/>
          <w:color w:val="auto"/>
        </w:rPr>
        <w:t>This prospectus is part of a registration statement on Form S-3 that we filed with the Securities and Exchange Commission, or SEC, utilizing a “shelf” registration process. Under this shelf registration process, we or selling securityholders may offer and sell shares of our common stock and preferred stock, various series of debt securities and/or warrants to purchase any of such securities, either individually or in combination with other securities, in one or more offerings. There is no limit on the aggregate amount of the securities that we or selling securityholders may offer pursuant to the registration statement of which this prospectus is a part. This prospectus provides you with a general description of the securities we or selling securityholders may offer.</w:t>
      </w:r>
    </w:p>
    <w:p>
      <w:pPr>
        <w:spacing w:after="0" w:line="71" w:lineRule="exact"/>
        <w:rPr>
          <w:sz w:val="20"/>
          <w:szCs w:val="20"/>
          <w:color w:val="auto"/>
        </w:rPr>
      </w:pPr>
    </w:p>
    <w:p>
      <w:pPr>
        <w:ind w:left="440" w:right="459" w:firstLine="347"/>
        <w:spacing w:after="0" w:line="260" w:lineRule="auto"/>
        <w:rPr>
          <w:sz w:val="20"/>
          <w:szCs w:val="20"/>
          <w:color w:val="auto"/>
        </w:rPr>
      </w:pPr>
      <w:r>
        <w:rPr>
          <w:rFonts w:ascii="Times New Roman" w:cs="Times New Roman" w:eastAsia="Times New Roman" w:hAnsi="Times New Roman"/>
          <w:sz w:val="17"/>
          <w:szCs w:val="17"/>
          <w:color w:val="auto"/>
        </w:rPr>
        <w:t>Each time we or selling securityholders offer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We urge you to read carefully this prospectus, any applicable prospectus supplement and any free writing prospectuses we have authorized for use in connection with a specific offering, together with the information incorporated herein by reference as described under the heading “Incorporation of Certain Information by Reference,” before buying any of the securities being offered.</w:t>
      </w:r>
    </w:p>
    <w:p>
      <w:pPr>
        <w:spacing w:after="0" w:line="74" w:lineRule="exact"/>
        <w:rPr>
          <w:sz w:val="20"/>
          <w:szCs w:val="20"/>
          <w:color w:val="auto"/>
        </w:rPr>
      </w:pPr>
    </w:p>
    <w:p>
      <w:pPr>
        <w:ind w:left="440" w:right="1099" w:firstLine="347"/>
        <w:spacing w:after="0" w:line="297" w:lineRule="auto"/>
        <w:rPr>
          <w:sz w:val="20"/>
          <w:szCs w:val="20"/>
          <w:color w:val="auto"/>
        </w:rPr>
      </w:pPr>
      <w:r>
        <w:rPr>
          <w:rFonts w:ascii="Times New Roman" w:cs="Times New Roman" w:eastAsia="Times New Roman" w:hAnsi="Times New Roman"/>
          <w:sz w:val="17"/>
          <w:szCs w:val="17"/>
          <w:b w:val="1"/>
          <w:bCs w:val="1"/>
          <w:color w:val="auto"/>
        </w:rPr>
        <w:t>This prospectus may not be used to consummate a sale of securities unless it is accompanied by a prospectus supplement.</w:t>
      </w:r>
    </w:p>
    <w:p>
      <w:pPr>
        <w:spacing w:after="0" w:line="40" w:lineRule="exact"/>
        <w:rPr>
          <w:sz w:val="20"/>
          <w:szCs w:val="20"/>
          <w:color w:val="auto"/>
        </w:rPr>
      </w:pPr>
    </w:p>
    <w:p>
      <w:pPr>
        <w:ind w:left="440" w:right="499" w:firstLine="347"/>
        <w:spacing w:after="0" w:line="265" w:lineRule="auto"/>
        <w:rPr>
          <w:sz w:val="20"/>
          <w:szCs w:val="20"/>
          <w:color w:val="auto"/>
        </w:rPr>
      </w:pPr>
      <w:r>
        <w:rPr>
          <w:rFonts w:ascii="Times New Roman" w:cs="Times New Roman" w:eastAsia="Times New Roman" w:hAnsi="Times New Roman"/>
          <w:sz w:val="17"/>
          <w:szCs w:val="17"/>
          <w:color w:val="auto"/>
        </w:rPr>
        <w:t>You should rely only on the information contained in, or incorporated by reference into, this prospectus and the applicable prospectus supplement, along with the information contained in any free writing prospectuses we have authorized for use in connection with a specific offering. We have not authorized anyone to provide you with different or additional information. This prospectus is an offer to sell only the securities offered hereby, but only under circumstances and in jurisdictions where it is lawful to do so.</w:t>
      </w:r>
    </w:p>
    <w:p>
      <w:pPr>
        <w:spacing w:after="0" w:line="68" w:lineRule="exact"/>
        <w:rPr>
          <w:sz w:val="20"/>
          <w:szCs w:val="20"/>
          <w:color w:val="auto"/>
        </w:rPr>
      </w:pPr>
    </w:p>
    <w:p>
      <w:pPr>
        <w:ind w:left="440" w:right="459" w:firstLine="347"/>
        <w:spacing w:after="0" w:line="264" w:lineRule="auto"/>
        <w:rPr>
          <w:sz w:val="20"/>
          <w:szCs w:val="20"/>
          <w:color w:val="auto"/>
        </w:rPr>
      </w:pPr>
      <w:r>
        <w:rPr>
          <w:rFonts w:ascii="Times New Roman" w:cs="Times New Roman" w:eastAsia="Times New Roman" w:hAnsi="Times New Roman"/>
          <w:sz w:val="17"/>
          <w:szCs w:val="17"/>
          <w:color w:val="auto"/>
        </w:rPr>
        <w:t>The information appearing in this prospectus, any applicable prospectus supplement and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the applicable prospectus supplement or any related free writing prospectus, or any sale of a security. Our business, financial condition, results of operations and prospects may have changed since those dates.</w:t>
      </w:r>
    </w:p>
    <w:p>
      <w:pPr>
        <w:spacing w:after="0" w:line="281" w:lineRule="exact"/>
        <w:rPr>
          <w:sz w:val="20"/>
          <w:szCs w:val="20"/>
          <w:color w:val="auto"/>
        </w:rPr>
      </w:pPr>
    </w:p>
    <w:p>
      <w:pPr>
        <w:ind w:left="440" w:right="439" w:firstLine="347"/>
        <w:spacing w:after="0" w:line="263" w:lineRule="auto"/>
        <w:rPr>
          <w:sz w:val="20"/>
          <w:szCs w:val="20"/>
          <w:color w:val="auto"/>
        </w:rPr>
      </w:pPr>
      <w:r>
        <w:rPr>
          <w:rFonts w:ascii="Times New Roman" w:cs="Times New Roman" w:eastAsia="Times New Roman" w:hAnsi="Times New Roman"/>
          <w:sz w:val="17"/>
          <w:szCs w:val="17"/>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entitled “Where You Can Find More Information.”</w:t>
      </w:r>
    </w:p>
    <w:p>
      <w:pPr>
        <w:spacing w:after="0" w:line="71" w:lineRule="exact"/>
        <w:rPr>
          <w:sz w:val="20"/>
          <w:szCs w:val="20"/>
          <w:color w:val="auto"/>
        </w:rPr>
      </w:pPr>
    </w:p>
    <w:p>
      <w:pPr>
        <w:ind w:left="440" w:right="499" w:firstLine="347"/>
        <w:spacing w:after="0" w:line="261" w:lineRule="auto"/>
        <w:rPr>
          <w:sz w:val="20"/>
          <w:szCs w:val="20"/>
          <w:color w:val="auto"/>
        </w:rPr>
      </w:pPr>
      <w:r>
        <w:rPr>
          <w:rFonts w:ascii="Times New Roman" w:cs="Times New Roman" w:eastAsia="Times New Roman" w:hAnsi="Times New Roman"/>
          <w:sz w:val="17"/>
          <w:szCs w:val="17"/>
          <w:color w:val="auto"/>
        </w:rPr>
        <w:t>Unless the context requires otherwise, references in this prospectus to “Tilray,” the “company,” “we,” “us” and “our” refer to Tilray Brands, Inc. and its wholly owned subsidiaries. Tilray, our logo and our other registered or common law trademarks, trade names or service marks appearing in this prospectus are owned by us. Solely for convenience, trademarks and trade names referred to in this prospectus, including logos, artwork and other visual displays, may appear without the ® or ™ symbols, but such references are not intended to indicate in any way that we will not assert, to the fullest extent under applicable law, our rights of the applicable licensor to these trademarks and trade names. Unless otherwise stated in this prospectus, we do not intend our use or display of other companies’ trade names or trademarks to imply a relationship with, or endorsement or sponsorship of us by, any other companies.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135890</wp:posOffset>
            </wp:positionV>
            <wp:extent cx="675640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9" w:name="page20"/>
    <w:bookmarkEnd w:id="19"/>
    <w:p>
      <w:pPr>
        <w:ind w:left="2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85090</wp:posOffset>
            </wp:positionV>
            <wp:extent cx="5460365" cy="77209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6">
                      <a:extLst>
                        <a:ext uri="{28A0092B-C50C-407E-A947-70E740481C1C}"/>
                      </a:extLst>
                    </a:blip>
                    <a:srcRect/>
                    <a:stretch>
                      <a:fillRect/>
                    </a:stretch>
                  </pic:blipFill>
                  <pic:spPr bwMode="auto">
                    <a:xfrm>
                      <a:off x="0" y="0"/>
                      <a:ext cx="5460365" cy="772096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PROSPECTUS SUMMARY</w:t>
      </w:r>
    </w:p>
    <w:p>
      <w:pPr>
        <w:spacing w:after="0" w:line="117" w:lineRule="exact"/>
        <w:rPr>
          <w:sz w:val="20"/>
          <w:szCs w:val="20"/>
          <w:color w:val="auto"/>
        </w:rPr>
      </w:pPr>
    </w:p>
    <w:p>
      <w:pPr>
        <w:ind w:left="460" w:right="559" w:firstLine="348"/>
        <w:spacing w:after="0" w:line="261" w:lineRule="auto"/>
        <w:rPr>
          <w:sz w:val="20"/>
          <w:szCs w:val="20"/>
          <w:color w:val="auto"/>
        </w:rPr>
      </w:pPr>
      <w:r>
        <w:rPr>
          <w:rFonts w:ascii="Times New Roman" w:cs="Times New Roman" w:eastAsia="Times New Roman" w:hAnsi="Times New Roman"/>
          <w:sz w:val="17"/>
          <w:szCs w:val="17"/>
          <w:i w:val="1"/>
          <w:iCs w:val="1"/>
          <w:color w:val="auto"/>
        </w:rPr>
        <w:t>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Our Company</w:t>
      </w:r>
    </w:p>
    <w:p>
      <w:pPr>
        <w:spacing w:after="0" w:line="119" w:lineRule="exact"/>
        <w:rPr>
          <w:sz w:val="20"/>
          <w:szCs w:val="20"/>
          <w:color w:val="auto"/>
        </w:rPr>
      </w:pPr>
    </w:p>
    <w:p>
      <w:pPr>
        <w:ind w:left="460" w:right="479" w:firstLine="348"/>
        <w:spacing w:after="0" w:line="264" w:lineRule="auto"/>
        <w:rPr>
          <w:sz w:val="20"/>
          <w:szCs w:val="20"/>
          <w:color w:val="auto"/>
        </w:rPr>
      </w:pPr>
      <w:r>
        <w:rPr>
          <w:rFonts w:ascii="Times New Roman" w:cs="Times New Roman" w:eastAsia="Times New Roman" w:hAnsi="Times New Roman"/>
          <w:sz w:val="17"/>
          <w:szCs w:val="17"/>
          <w:color w:val="auto"/>
        </w:rPr>
        <w:t>Tilray is a leading global lifestyle consumer products company, which was incorporated on January 24, 2018 and is headquartered in Leamington and New York, with operations in Canada, the United States, Europe, Australia, New Zealand and Latin America that is leading as a transformative force at the nexus of cannabis, beverage, wellness, and entertainment, elevating lives through moments of connection. Tilray’s mission is to be a leading premium lifestyle company with a house of brands and innovative products that inspire joy, wellness and create memorable experiences.</w:t>
      </w:r>
    </w:p>
    <w:p>
      <w:pPr>
        <w:spacing w:after="0" w:line="200" w:lineRule="exact"/>
        <w:rPr>
          <w:sz w:val="20"/>
          <w:szCs w:val="20"/>
          <w:color w:val="auto"/>
        </w:rPr>
      </w:pP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119" w:lineRule="exact"/>
        <w:rPr>
          <w:sz w:val="20"/>
          <w:szCs w:val="20"/>
          <w:color w:val="auto"/>
        </w:rPr>
      </w:pPr>
    </w:p>
    <w:p>
      <w:pPr>
        <w:ind w:left="460" w:right="459" w:firstLine="348"/>
        <w:spacing w:after="0" w:line="263" w:lineRule="auto"/>
        <w:rPr>
          <w:sz w:val="20"/>
          <w:szCs w:val="20"/>
          <w:color w:val="auto"/>
        </w:rPr>
      </w:pPr>
      <w:r>
        <w:rPr>
          <w:rFonts w:ascii="Times New Roman" w:cs="Times New Roman" w:eastAsia="Times New Roman" w:hAnsi="Times New Roman"/>
          <w:sz w:val="17"/>
          <w:szCs w:val="17"/>
          <w:color w:val="auto"/>
        </w:rPr>
        <w:t>Tilray Brands, Inc. was incorporated in Delaware in January 2018. Prior to January 2018, Tilray Brands, Inc. operated its business under Decatur Holdings, BV, a Dutch private limited liability company (“Decatur”), which was formed in March 2016. Decatur was incorporated under the laws of the Netherlands on March 8, 2016 as a wholly-owned subsidiary of Privateer Holdings, Inc. (“Privateer Holdings”) to hold a 100% ownership interest in Tilray Brands, Inc.’s direct and indirect subsidiaries through which Tilray Brands, Inc. operated its business. Decatur was dissolved on December 27, 2018.</w:t>
      </w:r>
    </w:p>
    <w:p>
      <w:pPr>
        <w:spacing w:after="0" w:line="71" w:lineRule="exact"/>
        <w:rPr>
          <w:sz w:val="20"/>
          <w:szCs w:val="20"/>
          <w:color w:val="auto"/>
        </w:rPr>
      </w:pPr>
    </w:p>
    <w:p>
      <w:pPr>
        <w:ind w:left="460" w:right="479" w:firstLine="348"/>
        <w:spacing w:after="0" w:line="294" w:lineRule="auto"/>
        <w:rPr>
          <w:sz w:val="20"/>
          <w:szCs w:val="20"/>
          <w:color w:val="auto"/>
        </w:rPr>
      </w:pPr>
      <w:r>
        <w:rPr>
          <w:rFonts w:ascii="Times New Roman" w:cs="Times New Roman" w:eastAsia="Times New Roman" w:hAnsi="Times New Roman"/>
          <w:sz w:val="17"/>
          <w:szCs w:val="17"/>
          <w:color w:val="auto"/>
        </w:rPr>
        <w:t>On December 12, 2019, Privateer Holdings merged with and into a wholly owned subsidiary of Tilray pursuant to the agreement and plan of merger and reorganization.</w:t>
      </w:r>
    </w:p>
    <w:p>
      <w:pPr>
        <w:spacing w:after="0" w:line="43" w:lineRule="exact"/>
        <w:rPr>
          <w:sz w:val="20"/>
          <w:szCs w:val="20"/>
          <w:color w:val="auto"/>
        </w:rPr>
      </w:pPr>
    </w:p>
    <w:p>
      <w:pPr>
        <w:ind w:left="460" w:right="459" w:firstLine="348"/>
        <w:spacing w:after="0" w:line="268" w:lineRule="auto"/>
        <w:rPr>
          <w:sz w:val="20"/>
          <w:szCs w:val="20"/>
          <w:color w:val="auto"/>
        </w:rPr>
      </w:pPr>
      <w:r>
        <w:rPr>
          <w:rFonts w:ascii="Times New Roman" w:cs="Times New Roman" w:eastAsia="Times New Roman" w:hAnsi="Times New Roman"/>
          <w:sz w:val="17"/>
          <w:szCs w:val="17"/>
          <w:color w:val="auto"/>
        </w:rPr>
        <w:t>Pursuant to an arrangement agreement, dated as of December 15, 2020, as amended on February 19, 2021, between Tilray and Aphria Inc., Tilray implemented an arrangement (the “Arrangement”) under the Business Corporations Act (Ontario) in accordance with a plan of arrangement. The Arrangement was completed on April 30, 2021.</w:t>
      </w:r>
    </w:p>
    <w:p>
      <w:pPr>
        <w:spacing w:after="0" w:line="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On January 10, 2022, Tilray, Inc. changed its corporate name to Tilray Brands, Inc., pursuant to a</w:t>
      </w:r>
    </w:p>
    <w:p>
      <w:pPr>
        <w:spacing w:after="0" w:line="31" w:lineRule="exact"/>
        <w:rPr>
          <w:sz w:val="20"/>
          <w:szCs w:val="20"/>
          <w:color w:val="auto"/>
        </w:rPr>
      </w:pPr>
    </w:p>
    <w:p>
      <w:pPr>
        <w:ind w:left="460" w:right="479"/>
        <w:spacing w:after="0" w:line="264" w:lineRule="auto"/>
        <w:rPr>
          <w:sz w:val="20"/>
          <w:szCs w:val="20"/>
          <w:color w:val="auto"/>
        </w:rPr>
      </w:pPr>
      <w:r>
        <w:rPr>
          <w:rFonts w:ascii="Times New Roman" w:cs="Times New Roman" w:eastAsia="Times New Roman" w:hAnsi="Times New Roman"/>
          <w:sz w:val="17"/>
          <w:szCs w:val="17"/>
          <w:color w:val="auto"/>
        </w:rPr>
        <w:t>second certificate of amendment of the amended and restated certificate of incorporation filed with the Delaware Secretary of State (the “Name Change”), and amended and restated its Bylaws on that same date to reflect the Name Change.</w:t>
      </w:r>
    </w:p>
    <w:p>
      <w:pPr>
        <w:spacing w:after="0" w:line="67" w:lineRule="exact"/>
        <w:rPr>
          <w:sz w:val="20"/>
          <w:szCs w:val="20"/>
          <w:color w:val="auto"/>
        </w:rPr>
      </w:pPr>
    </w:p>
    <w:p>
      <w:pPr>
        <w:ind w:left="460" w:right="459" w:firstLine="348"/>
        <w:spacing w:after="0" w:line="267" w:lineRule="auto"/>
        <w:rPr>
          <w:sz w:val="20"/>
          <w:szCs w:val="20"/>
          <w:color w:val="auto"/>
        </w:rPr>
      </w:pPr>
      <w:r>
        <w:rPr>
          <w:rFonts w:ascii="Times New Roman" w:cs="Times New Roman" w:eastAsia="Times New Roman" w:hAnsi="Times New Roman"/>
          <w:sz w:val="17"/>
          <w:szCs w:val="17"/>
          <w:color w:val="auto"/>
        </w:rPr>
        <w:t>On March 16, 2023, Tilray’s stockholders formally approved a proposal to amend its certificate of incorporation (the “Charter Amendment”), which modified Tilray’s existing certificate of incorporation by canceling its Class 1 common stock and re-allocating such authorized shares to Class 2 common stock. In addition, the Charter Amendment reclassified each issued and outstanding share of Class 2 common stock as one share of common stock of Tilray.</w:t>
      </w:r>
    </w:p>
    <w:p>
      <w:pPr>
        <w:spacing w:after="0" w:line="278" w:lineRule="exact"/>
        <w:rPr>
          <w:sz w:val="20"/>
          <w:szCs w:val="20"/>
          <w:color w:val="auto"/>
        </w:rPr>
      </w:pPr>
    </w:p>
    <w:p>
      <w:pPr>
        <w:ind w:left="460" w:right="519" w:firstLine="348"/>
        <w:spacing w:after="0" w:line="263" w:lineRule="auto"/>
        <w:rPr>
          <w:sz w:val="20"/>
          <w:szCs w:val="20"/>
          <w:color w:val="auto"/>
        </w:rPr>
      </w:pPr>
      <w:r>
        <w:rPr>
          <w:rFonts w:ascii="Times New Roman" w:cs="Times New Roman" w:eastAsia="Times New Roman" w:hAnsi="Times New Roman"/>
          <w:sz w:val="17"/>
          <w:szCs w:val="17"/>
          <w:color w:val="auto"/>
        </w:rPr>
        <w:t>On April 10, 2023, Tilray entered into an arrangement agreement, as amended on June 1, 2023, with HEXO Corp. (“HEXO”), pursuant to which Tilray agreed to acquire all of the issued and outstanding common shares of HEXO pursuant to a plan of arrangement under the Business Corporations Act (Ontario). This transaction builds on the successful strategic alliance between the two companies and positions Tilray for continued strong growth and market leadership in Canada, the largest federally legal cannabis market in the world. The acquisition of HEXO closed on June 22, 2023.</w:t>
      </w:r>
    </w:p>
    <w:p>
      <w:pPr>
        <w:spacing w:after="0" w:line="71" w:lineRule="exact"/>
        <w:rPr>
          <w:sz w:val="20"/>
          <w:szCs w:val="20"/>
          <w:color w:val="auto"/>
        </w:rPr>
      </w:pPr>
    </w:p>
    <w:p>
      <w:pPr>
        <w:ind w:left="460" w:right="579" w:firstLine="348"/>
        <w:spacing w:after="0" w:line="268" w:lineRule="auto"/>
        <w:rPr>
          <w:sz w:val="20"/>
          <w:szCs w:val="20"/>
          <w:color w:val="auto"/>
        </w:rPr>
      </w:pPr>
      <w:r>
        <w:rPr>
          <w:rFonts w:ascii="Times New Roman" w:cs="Times New Roman" w:eastAsia="Times New Roman" w:hAnsi="Times New Roman"/>
          <w:sz w:val="17"/>
          <w:szCs w:val="17"/>
          <w:color w:val="auto"/>
        </w:rPr>
        <w:t>Tilray’s principal executive office is located at 265 Talbot Street West, Leamington, Ontario, Canada and its telephone number is (844) 845-7291. Its corporate website address is www.tilray.com. Information contained on or accessible through such website is not a part of this prospectus, and the inclusion of the website address in this prospectus is an inactive textual reference only.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127635</wp:posOffset>
            </wp:positionV>
            <wp:extent cx="675640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7">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0" w:name="page21"/>
    <w:bookmarkEnd w:id="20"/>
    <w:p>
      <w:pPr>
        <w:ind w:left="2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85090</wp:posOffset>
            </wp:positionV>
            <wp:extent cx="5460365" cy="7787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8">
                      <a:extLst>
                        <a:ext uri="{28A0092B-C50C-407E-A947-70E740481C1C}"/>
                      </a:extLst>
                    </a:blip>
                    <a:srcRect/>
                    <a:stretch>
                      <a:fillRect/>
                    </a:stretch>
                  </pic:blipFill>
                  <pic:spPr bwMode="auto">
                    <a:xfrm>
                      <a:off x="0" y="0"/>
                      <a:ext cx="5460365" cy="778700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Description of Securities</w:t>
      </w:r>
    </w:p>
    <w:p>
      <w:pPr>
        <w:spacing w:after="0" w:line="119" w:lineRule="exact"/>
        <w:rPr>
          <w:sz w:val="20"/>
          <w:szCs w:val="20"/>
          <w:color w:val="auto"/>
        </w:rPr>
      </w:pPr>
    </w:p>
    <w:p>
      <w:pPr>
        <w:ind w:left="460" w:right="499" w:firstLine="348"/>
        <w:spacing w:after="0" w:line="261" w:lineRule="auto"/>
        <w:rPr>
          <w:sz w:val="20"/>
          <w:szCs w:val="20"/>
          <w:color w:val="auto"/>
        </w:rPr>
      </w:pPr>
      <w:r>
        <w:rPr>
          <w:rFonts w:ascii="Times New Roman" w:cs="Times New Roman" w:eastAsia="Times New Roman" w:hAnsi="Times New Roman"/>
          <w:sz w:val="17"/>
          <w:szCs w:val="17"/>
          <w:color w:val="auto"/>
        </w:rPr>
        <w:t>We or selling securityholders may offer shares of our common stock and preferred stock, various series of debt securities and/or warrants to purchase any of such securities, either individually or in combination with other securities, from time to time under this prospectus, together with the applicable prospectus supplement and any related free writing prospectus, at prices and on terms to be determined by market conditions at the time of any offering. This prospectus provides you with a general description of the securities we or selling securityholders may offer. Each time we or selling securityholders offer a type or series of securities under this prospectus, we will provide a prospectus supplement that will describe the specific amounts, prices and other important terms of the securities, including, to the extent applicable:</w:t>
      </w:r>
    </w:p>
    <w:p>
      <w:pPr>
        <w:spacing w:after="0" w:line="73" w:lineRule="exact"/>
        <w:rPr>
          <w:sz w:val="20"/>
          <w:szCs w:val="20"/>
          <w:color w:val="auto"/>
        </w:rPr>
      </w:pPr>
    </w:p>
    <w:p>
      <w:pPr>
        <w:ind w:left="1140" w:hanging="339"/>
        <w:spacing w:after="0"/>
        <w:tabs>
          <w:tab w:leader="none" w:pos="11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designation or classification;</w:t>
      </w:r>
    </w:p>
    <w:p>
      <w:pPr>
        <w:spacing w:after="0" w:line="117" w:lineRule="exact"/>
        <w:rPr>
          <w:rFonts w:ascii="Times New Roman" w:cs="Times New Roman" w:eastAsia="Times New Roman" w:hAnsi="Times New Roman"/>
          <w:sz w:val="17"/>
          <w:szCs w:val="17"/>
          <w:color w:val="auto"/>
        </w:rPr>
      </w:pPr>
    </w:p>
    <w:p>
      <w:pPr>
        <w:ind w:left="1140" w:hanging="339"/>
        <w:spacing w:after="0"/>
        <w:tabs>
          <w:tab w:leader="none" w:pos="11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principal amount or aggregate offering price;</w:t>
      </w:r>
    </w:p>
    <w:p>
      <w:pPr>
        <w:spacing w:after="0" w:line="117" w:lineRule="exact"/>
        <w:rPr>
          <w:rFonts w:ascii="Times New Roman" w:cs="Times New Roman" w:eastAsia="Times New Roman" w:hAnsi="Times New Roman"/>
          <w:sz w:val="17"/>
          <w:szCs w:val="17"/>
          <w:color w:val="auto"/>
        </w:rPr>
      </w:pPr>
    </w:p>
    <w:p>
      <w:pPr>
        <w:ind w:left="1140" w:hanging="339"/>
        <w:spacing w:after="0"/>
        <w:tabs>
          <w:tab w:leader="none" w:pos="11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maturity date, if applicable;</w:t>
      </w:r>
    </w:p>
    <w:p>
      <w:pPr>
        <w:spacing w:after="0" w:line="117" w:lineRule="exact"/>
        <w:rPr>
          <w:rFonts w:ascii="Times New Roman" w:cs="Times New Roman" w:eastAsia="Times New Roman" w:hAnsi="Times New Roman"/>
          <w:sz w:val="17"/>
          <w:szCs w:val="17"/>
          <w:color w:val="auto"/>
        </w:rPr>
      </w:pPr>
    </w:p>
    <w:p>
      <w:pPr>
        <w:ind w:left="1140" w:hanging="339"/>
        <w:spacing w:after="0"/>
        <w:tabs>
          <w:tab w:leader="none" w:pos="11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original issue discount, if any;</w:t>
      </w:r>
    </w:p>
    <w:p>
      <w:pPr>
        <w:spacing w:after="0" w:line="117" w:lineRule="exact"/>
        <w:rPr>
          <w:rFonts w:ascii="Times New Roman" w:cs="Times New Roman" w:eastAsia="Times New Roman" w:hAnsi="Times New Roman"/>
          <w:sz w:val="17"/>
          <w:szCs w:val="17"/>
          <w:color w:val="auto"/>
        </w:rPr>
      </w:pPr>
    </w:p>
    <w:p>
      <w:pPr>
        <w:ind w:left="1140" w:hanging="339"/>
        <w:spacing w:after="0"/>
        <w:tabs>
          <w:tab w:leader="none" w:pos="11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rates and times of payment of interest or dividends, if any;</w:t>
      </w:r>
    </w:p>
    <w:p>
      <w:pPr>
        <w:spacing w:after="0" w:line="117" w:lineRule="exact"/>
        <w:rPr>
          <w:rFonts w:ascii="Times New Roman" w:cs="Times New Roman" w:eastAsia="Times New Roman" w:hAnsi="Times New Roman"/>
          <w:sz w:val="17"/>
          <w:szCs w:val="17"/>
          <w:color w:val="auto"/>
        </w:rPr>
      </w:pPr>
    </w:p>
    <w:p>
      <w:pPr>
        <w:ind w:left="1140" w:hanging="339"/>
        <w:spacing w:after="0"/>
        <w:tabs>
          <w:tab w:leader="none" w:pos="11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redemption, conversion, exercise, exchange or sinking fund terms, if any;</w:t>
      </w:r>
    </w:p>
    <w:p>
      <w:pPr>
        <w:spacing w:after="0" w:line="117" w:lineRule="exact"/>
        <w:rPr>
          <w:rFonts w:ascii="Times New Roman" w:cs="Times New Roman" w:eastAsia="Times New Roman" w:hAnsi="Times New Roman"/>
          <w:sz w:val="17"/>
          <w:szCs w:val="17"/>
          <w:color w:val="auto"/>
        </w:rPr>
      </w:pPr>
    </w:p>
    <w:p>
      <w:pPr>
        <w:ind w:left="1140" w:hanging="339"/>
        <w:spacing w:after="0"/>
        <w:tabs>
          <w:tab w:leader="none" w:pos="11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ranking;</w:t>
      </w:r>
    </w:p>
    <w:p>
      <w:pPr>
        <w:spacing w:after="0" w:line="117" w:lineRule="exact"/>
        <w:rPr>
          <w:rFonts w:ascii="Times New Roman" w:cs="Times New Roman" w:eastAsia="Times New Roman" w:hAnsi="Times New Roman"/>
          <w:sz w:val="17"/>
          <w:szCs w:val="17"/>
          <w:color w:val="auto"/>
        </w:rPr>
      </w:pPr>
    </w:p>
    <w:p>
      <w:pPr>
        <w:ind w:left="1140" w:hanging="339"/>
        <w:spacing w:after="0"/>
        <w:tabs>
          <w:tab w:leader="none" w:pos="11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restrictive covenants, if any;</w:t>
      </w:r>
    </w:p>
    <w:p>
      <w:pPr>
        <w:spacing w:after="0" w:line="117" w:lineRule="exact"/>
        <w:rPr>
          <w:rFonts w:ascii="Times New Roman" w:cs="Times New Roman" w:eastAsia="Times New Roman" w:hAnsi="Times New Roman"/>
          <w:sz w:val="17"/>
          <w:szCs w:val="17"/>
          <w:color w:val="auto"/>
        </w:rPr>
      </w:pPr>
    </w:p>
    <w:p>
      <w:pPr>
        <w:ind w:left="1140" w:hanging="339"/>
        <w:spacing w:after="0"/>
        <w:tabs>
          <w:tab w:leader="none" w:pos="11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or other rights, if any;</w:t>
      </w:r>
    </w:p>
    <w:p>
      <w:pPr>
        <w:spacing w:after="0" w:line="117" w:lineRule="exact"/>
        <w:rPr>
          <w:rFonts w:ascii="Times New Roman" w:cs="Times New Roman" w:eastAsia="Times New Roman" w:hAnsi="Times New Roman"/>
          <w:sz w:val="17"/>
          <w:szCs w:val="17"/>
          <w:color w:val="auto"/>
        </w:rPr>
      </w:pPr>
    </w:p>
    <w:p>
      <w:pPr>
        <w:ind w:left="1140" w:right="499" w:hanging="339"/>
        <w:spacing w:after="0" w:line="275" w:lineRule="auto"/>
        <w:tabs>
          <w:tab w:leader="none" w:pos="11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conversion or exchange prices or rates, if any, and, if applicable, any provisions for changes to or adjustments in the conversion or exchange prices or rates and in the securities or other property receivable upon conversion or exchange; and</w:t>
      </w:r>
    </w:p>
    <w:p>
      <w:pPr>
        <w:spacing w:after="0" w:line="58" w:lineRule="exact"/>
        <w:rPr>
          <w:rFonts w:ascii="Times New Roman" w:cs="Times New Roman" w:eastAsia="Times New Roman" w:hAnsi="Times New Roman"/>
          <w:sz w:val="17"/>
          <w:szCs w:val="17"/>
          <w:color w:val="auto"/>
        </w:rPr>
      </w:pPr>
    </w:p>
    <w:p>
      <w:pPr>
        <w:ind w:left="1140" w:hanging="339"/>
        <w:spacing w:after="0"/>
        <w:tabs>
          <w:tab w:leader="none" w:pos="11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or special U.S. federal income tax considerations, if any.</w:t>
      </w:r>
    </w:p>
    <w:p>
      <w:pPr>
        <w:spacing w:after="0" w:line="117" w:lineRule="exact"/>
        <w:rPr>
          <w:sz w:val="20"/>
          <w:szCs w:val="20"/>
          <w:color w:val="auto"/>
        </w:rPr>
      </w:pPr>
    </w:p>
    <w:p>
      <w:pPr>
        <w:ind w:left="460" w:right="839" w:firstLine="348"/>
        <w:spacing w:after="0" w:line="275" w:lineRule="auto"/>
        <w:rPr>
          <w:sz w:val="20"/>
          <w:szCs w:val="20"/>
          <w:color w:val="auto"/>
        </w:rPr>
      </w:pPr>
      <w:r>
        <w:rPr>
          <w:rFonts w:ascii="Times New Roman" w:cs="Times New Roman" w:eastAsia="Times New Roman" w:hAnsi="Times New Roman"/>
          <w:sz w:val="17"/>
          <w:szCs w:val="17"/>
          <w:color w:val="auto"/>
        </w:rPr>
        <w:t>The applicable prospectus supplement and any related free writing prospectus that we may authorize to be provided to you may also add, update or change any of the information contained in this prospectus or in the documents we have incorporated by reference.</w:t>
      </w:r>
    </w:p>
    <w:p>
      <w:pPr>
        <w:spacing w:after="0" w:line="58" w:lineRule="exact"/>
        <w:rPr>
          <w:sz w:val="20"/>
          <w:szCs w:val="20"/>
          <w:color w:val="auto"/>
        </w:rPr>
      </w:pPr>
    </w:p>
    <w:p>
      <w:pPr>
        <w:ind w:left="460" w:right="459" w:firstLine="348"/>
        <w:spacing w:after="0" w:line="275" w:lineRule="auto"/>
        <w:rPr>
          <w:sz w:val="20"/>
          <w:szCs w:val="20"/>
          <w:color w:val="auto"/>
        </w:rPr>
      </w:pPr>
      <w:r>
        <w:rPr>
          <w:rFonts w:ascii="Times New Roman" w:cs="Times New Roman" w:eastAsia="Times New Roman" w:hAnsi="Times New Roman"/>
          <w:sz w:val="17"/>
          <w:szCs w:val="17"/>
          <w:color w:val="auto"/>
        </w:rPr>
        <w:t>We or selling securityholders may sell the securities directly to investors or to or through agents, underwriters or dealers. If we or selling securityholders do offer securities to or through agents or underwriters, we will include in the applicable prospectus supplement:</w:t>
      </w:r>
    </w:p>
    <w:p>
      <w:pPr>
        <w:spacing w:after="0" w:line="58" w:lineRule="exact"/>
        <w:rPr>
          <w:sz w:val="20"/>
          <w:szCs w:val="20"/>
          <w:color w:val="auto"/>
        </w:rPr>
      </w:pPr>
    </w:p>
    <w:p>
      <w:pPr>
        <w:ind w:left="1140" w:hanging="339"/>
        <w:spacing w:after="0"/>
        <w:tabs>
          <w:tab w:leader="none" w:pos="11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names of those agents or underwriters;</w:t>
      </w:r>
    </w:p>
    <w:p>
      <w:pPr>
        <w:spacing w:after="0" w:line="117" w:lineRule="exact"/>
        <w:rPr>
          <w:rFonts w:ascii="Times New Roman" w:cs="Times New Roman" w:eastAsia="Times New Roman" w:hAnsi="Times New Roman"/>
          <w:sz w:val="17"/>
          <w:szCs w:val="17"/>
          <w:color w:val="auto"/>
        </w:rPr>
      </w:pPr>
    </w:p>
    <w:p>
      <w:pPr>
        <w:ind w:left="1140" w:hanging="339"/>
        <w:spacing w:after="0"/>
        <w:tabs>
          <w:tab w:leader="none" w:pos="11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applicable fees, discounts and commissions to be paid to them;</w:t>
      </w:r>
    </w:p>
    <w:p>
      <w:pPr>
        <w:spacing w:after="0" w:line="117" w:lineRule="exact"/>
        <w:rPr>
          <w:rFonts w:ascii="Times New Roman" w:cs="Times New Roman" w:eastAsia="Times New Roman" w:hAnsi="Times New Roman"/>
          <w:sz w:val="17"/>
          <w:szCs w:val="17"/>
          <w:color w:val="auto"/>
        </w:rPr>
      </w:pPr>
    </w:p>
    <w:p>
      <w:pPr>
        <w:ind w:left="1140" w:hanging="339"/>
        <w:spacing w:after="0"/>
        <w:tabs>
          <w:tab w:leader="none" w:pos="11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details regarding over-allotment or other options, if any; and</w:t>
      </w:r>
    </w:p>
    <w:p>
      <w:pPr>
        <w:spacing w:after="0" w:line="117" w:lineRule="exact"/>
        <w:rPr>
          <w:rFonts w:ascii="Times New Roman" w:cs="Times New Roman" w:eastAsia="Times New Roman" w:hAnsi="Times New Roman"/>
          <w:sz w:val="17"/>
          <w:szCs w:val="17"/>
          <w:color w:val="auto"/>
        </w:rPr>
      </w:pPr>
    </w:p>
    <w:p>
      <w:pPr>
        <w:ind w:left="1140" w:hanging="339"/>
        <w:spacing w:after="0"/>
        <w:tabs>
          <w:tab w:leader="none" w:pos="11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net proceeds to us, if any.</w:t>
      </w:r>
    </w:p>
    <w:p>
      <w:pPr>
        <w:spacing w:after="0" w:line="115" w:lineRule="exact"/>
        <w:rPr>
          <w:sz w:val="20"/>
          <w:szCs w:val="20"/>
          <w:color w:val="auto"/>
        </w:rPr>
      </w:pPr>
    </w:p>
    <w:p>
      <w:pPr>
        <w:ind w:left="460" w:right="439" w:firstLine="348"/>
        <w:spacing w:after="0" w:line="260" w:lineRule="auto"/>
        <w:rPr>
          <w:sz w:val="20"/>
          <w:szCs w:val="20"/>
          <w:color w:val="auto"/>
        </w:rPr>
      </w:pPr>
      <w:r>
        <w:rPr>
          <w:rFonts w:ascii="Times New Roman" w:cs="Times New Roman" w:eastAsia="Times New Roman" w:hAnsi="Times New Roman"/>
          <w:sz w:val="17"/>
          <w:szCs w:val="17"/>
          <w:i w:val="1"/>
          <w:iCs w:val="1"/>
          <w:color w:val="auto"/>
        </w:rPr>
        <w:t>Common Stock</w:t>
      </w:r>
      <w:r>
        <w:rPr>
          <w:rFonts w:ascii="Times New Roman" w:cs="Times New Roman" w:eastAsia="Times New Roman" w:hAnsi="Times New Roman"/>
          <w:sz w:val="17"/>
          <w:szCs w:val="17"/>
          <w:color w:val="auto"/>
        </w:rPr>
        <w:t>. We may issue shares of our common stock from time to time. Holders of our common stock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entitled to one vote for each share of common stock held by such holder. Subject to the preferences of any outstanding shares of preferred stock, the holders of common stock are entitled to receive ratably any dividends our board of directors declares out of funds legally available for the payment of dividends. If we are liquidated, dissolved or wound up, the holders of common stock are entitled to share pro rata all assets remaining after payment of liabilities and liquidation preferences of any outstanding shares of preferred stock. Holders of common stock have no preemptive rights or rights to convert their common stock into any other securities. There are no redemption or sinking fund provisions applicable to the common stock. In this prospectus, we have summarized certain general features of the common stock under the heading “Description of Capital Stock—Common Stock.” We urge you, however, to read the applicable prospectus supplement (and any related free writing prospectus that we may authorize to be provided to you) related to any common stock being offered.</w:t>
      </w:r>
    </w:p>
    <w:p>
      <w:pPr>
        <w:spacing w:after="0" w:line="70" w:lineRule="exact"/>
        <w:rPr>
          <w:sz w:val="20"/>
          <w:szCs w:val="20"/>
          <w:color w:val="auto"/>
        </w:rPr>
      </w:pPr>
    </w:p>
    <w:p>
      <w:pPr>
        <w:ind w:left="460" w:right="459" w:firstLine="348"/>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Preferred Stock. </w:t>
      </w:r>
      <w:r>
        <w:rPr>
          <w:rFonts w:ascii="Times New Roman" w:cs="Times New Roman" w:eastAsia="Times New Roman" w:hAnsi="Times New Roman"/>
          <w:sz w:val="17"/>
          <w:szCs w:val="17"/>
          <w:color w:val="auto"/>
        </w:rPr>
        <w:t>We may issue shares of our preferred stock from time to time, in one or more series. Under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amended and restated certificate of incorporation, our board of directors has the authority to designate up to 10,000,000 shares of preferred stock in one or more series and determine or alter the designation, rights,</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127635</wp:posOffset>
            </wp:positionV>
            <wp:extent cx="675640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9">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1" w:name="page22"/>
    <w:bookmarkEnd w:id="21"/>
    <w:p>
      <w:pPr>
        <w:ind w:left="2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85090</wp:posOffset>
            </wp:positionV>
            <wp:extent cx="5460365" cy="74148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0">
                      <a:extLst>
                        <a:ext uri="{28A0092B-C50C-407E-A947-70E740481C1C}"/>
                      </a:extLst>
                    </a:blip>
                    <a:srcRect/>
                    <a:stretch>
                      <a:fillRect/>
                    </a:stretch>
                  </pic:blipFill>
                  <pic:spPr bwMode="auto">
                    <a:xfrm>
                      <a:off x="0" y="0"/>
                      <a:ext cx="5460365" cy="741489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460" w:right="459"/>
        <w:spacing w:after="0" w:line="258" w:lineRule="auto"/>
        <w:rPr>
          <w:sz w:val="20"/>
          <w:szCs w:val="20"/>
          <w:color w:val="auto"/>
        </w:rPr>
      </w:pPr>
      <w:r>
        <w:rPr>
          <w:rFonts w:ascii="Times New Roman" w:cs="Times New Roman" w:eastAsia="Times New Roman" w:hAnsi="Times New Roman"/>
          <w:sz w:val="17"/>
          <w:szCs w:val="17"/>
          <w:color w:val="auto"/>
        </w:rPr>
        <w:t>preferences, privileges and restrictions granted to or imposed upon any series of preferred stock, any or all of which may be greater than the rights of the common stock. If we sell any new series of preferred stock under this prospectus and any applicable prospectus supplement, our board of directors will determine the rights, preferences and privileges of the preferred stock being offered, as well as the qualifications, limitations or restrictions thereof, including dividend rights, conversion rights, voting rights, preemptive rights, terms of redemption or repurchase, liquidation preferences, sinking fund terms and the number of shares constituting any series or the designation of any series. Preferred stock may be convertible into our common stock or other securities of ours, or may be exchangeable for debt securities. Conversion may be mandatory or at the holder’s option and would be at prescribed conversion rates. We will file as an exhibit to the registration statement of which this prospectus is a part, or will incorporate by reference from reports that we file with the SEC, the form of the certificate of designation that describes the terms of the series of preferred stock being offered before the issuance of the related series of preferred stock. In this prospectus, we have summarized certain general features of the preferred stock under the heading “Description of Capital Stock—Preferred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288" w:lineRule="exact"/>
        <w:rPr>
          <w:sz w:val="20"/>
          <w:szCs w:val="20"/>
          <w:color w:val="auto"/>
        </w:rPr>
      </w:pPr>
    </w:p>
    <w:p>
      <w:pPr>
        <w:ind w:left="460" w:right="539" w:firstLine="348"/>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Debt Securities. </w:t>
      </w:r>
      <w:r>
        <w:rPr>
          <w:rFonts w:ascii="Times New Roman" w:cs="Times New Roman" w:eastAsia="Times New Roman" w:hAnsi="Times New Roman"/>
          <w:sz w:val="17"/>
          <w:szCs w:val="17"/>
          <w:color w:val="auto"/>
        </w:rPr>
        <w:t>We may issue debt securities from time to time, in one or more series, as either senior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subordinated debt or as senior or subordinated convertible debt. Convertible or exchangeable debt securities will be convertible into or exchangeable for our common stock or our other securities. Conversion or exchange may be mandatory or optional (at our option or the holders’ option) and would be at prescribed conversion or exchange prices.</w:t>
      </w:r>
    </w:p>
    <w:p>
      <w:pPr>
        <w:spacing w:after="0" w:line="66" w:lineRule="exact"/>
        <w:rPr>
          <w:sz w:val="20"/>
          <w:szCs w:val="20"/>
          <w:color w:val="auto"/>
        </w:rPr>
      </w:pPr>
    </w:p>
    <w:p>
      <w:pPr>
        <w:ind w:left="460" w:right="479" w:firstLine="348"/>
        <w:spacing w:after="0" w:line="260" w:lineRule="auto"/>
        <w:rPr>
          <w:sz w:val="20"/>
          <w:szCs w:val="20"/>
          <w:color w:val="auto"/>
        </w:rPr>
      </w:pPr>
      <w:r>
        <w:rPr>
          <w:rFonts w:ascii="Times New Roman" w:cs="Times New Roman" w:eastAsia="Times New Roman" w:hAnsi="Times New Roman"/>
          <w:sz w:val="17"/>
          <w:szCs w:val="17"/>
          <w:color w:val="auto"/>
        </w:rPr>
        <w:t>The debt securities will be issued under an indenture that we will enter into with a national banking association or other eligible party, as trustee. In this prospectus, we have summarized certain general features of the debt securities under the heading “Description of Debt Securities.” We urge you, however, to read the applicable prospectus supplement (and any related free writing prospectus that we may authorize to be provided to you) related to the series of debt securities being offered, as well as the complete indenture and any supplemental indentures that contain the terms of the debt securities.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74" w:lineRule="exact"/>
        <w:rPr>
          <w:sz w:val="20"/>
          <w:szCs w:val="20"/>
          <w:color w:val="auto"/>
        </w:rPr>
      </w:pPr>
    </w:p>
    <w:p>
      <w:pPr>
        <w:ind w:left="460" w:right="459" w:firstLine="348"/>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Warrants. </w:t>
      </w:r>
      <w:r>
        <w:rPr>
          <w:rFonts w:ascii="Times New Roman" w:cs="Times New Roman" w:eastAsia="Times New Roman" w:hAnsi="Times New Roman"/>
          <w:sz w:val="17"/>
          <w:szCs w:val="17"/>
          <w:color w:val="auto"/>
        </w:rPr>
        <w:t>We may issue warrants for the purchase of common stock, preferred stock and/or debt securities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one or more series. We may issue warrants independently or in combination with common stock, preferred stock and/or debt securities offered by any prospectus supplement. In this prospectus, we have summarized certain general features of the warrants under the heading “Description of Warrants.” We urge you, however, to read the applicable prospectus supplement (and any related free writing prospectus that we may authorize to be provided to you) related to the particular series of warrants being offered, as well as the form of warrant and/or the warrant agreement and warrant certificate, as applicable, that contain the terms of the warrants. We have filed the forms of the warrant agreements and forms of warrant certificates containing the terms of the warrants that we may offer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spacing w:after="0" w:line="78" w:lineRule="exact"/>
        <w:rPr>
          <w:sz w:val="20"/>
          <w:szCs w:val="20"/>
          <w:color w:val="auto"/>
        </w:rPr>
      </w:pPr>
    </w:p>
    <w:p>
      <w:pPr>
        <w:jc w:val="both"/>
        <w:ind w:left="460" w:right="459" w:firstLine="348"/>
        <w:spacing w:after="0" w:line="275" w:lineRule="auto"/>
        <w:rPr>
          <w:sz w:val="20"/>
          <w:szCs w:val="20"/>
          <w:color w:val="auto"/>
        </w:rPr>
      </w:pPr>
      <w:r>
        <w:rPr>
          <w:rFonts w:ascii="Times New Roman" w:cs="Times New Roman" w:eastAsia="Times New Roman" w:hAnsi="Times New Roman"/>
          <w:sz w:val="17"/>
          <w:szCs w:val="17"/>
          <w:color w:val="auto"/>
        </w:rPr>
        <w:t>Warrants may be issued under a warrant agreement that we enter into with a warrant agent. We will indicate the name and address of the warrant agent, if any, in the applicable prospectus supplement relating to a particular series of warrants.</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Selling Securityholders</w:t>
      </w:r>
    </w:p>
    <w:p>
      <w:pPr>
        <w:spacing w:after="0" w:line="119" w:lineRule="exact"/>
        <w:rPr>
          <w:sz w:val="20"/>
          <w:szCs w:val="20"/>
          <w:color w:val="auto"/>
        </w:rPr>
      </w:pPr>
    </w:p>
    <w:p>
      <w:pPr>
        <w:ind w:left="460" w:right="779" w:firstLine="348"/>
        <w:spacing w:after="0" w:line="275" w:lineRule="auto"/>
        <w:rPr>
          <w:sz w:val="20"/>
          <w:szCs w:val="20"/>
          <w:color w:val="auto"/>
        </w:rPr>
      </w:pPr>
      <w:r>
        <w:rPr>
          <w:rFonts w:ascii="Times New Roman" w:cs="Times New Roman" w:eastAsia="Times New Roman" w:hAnsi="Times New Roman"/>
          <w:sz w:val="17"/>
          <w:szCs w:val="17"/>
          <w:color w:val="auto"/>
        </w:rPr>
        <w:t xml:space="preserve">Selling securityholders are persons or entities that, directly or indirectly, have acquired or will from time to time acquire from us, our securities. Information about selling securityholders, if any, will be set forth in a prospectus supplement. See “Selling Securityholders” on page </w:t>
      </w:r>
      <w:r>
        <w:rPr>
          <w:rFonts w:ascii="Times New Roman" w:cs="Times New Roman" w:eastAsia="Times New Roman" w:hAnsi="Times New Roman"/>
          <w:sz w:val="17"/>
          <w:szCs w:val="17"/>
          <w:u w:val="single" w:color="auto"/>
          <w:color w:val="0000EE"/>
        </w:rPr>
        <w:t>24</w:t>
      </w:r>
      <w:r>
        <w:rPr>
          <w:rFonts w:ascii="Times New Roman" w:cs="Times New Roman" w:eastAsia="Times New Roman" w:hAnsi="Times New Roman"/>
          <w:sz w:val="17"/>
          <w:szCs w:val="17"/>
          <w:color w:val="auto"/>
        </w:rPr>
        <w:t xml:space="preserve"> of this prospectus.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127635</wp:posOffset>
            </wp:positionV>
            <wp:extent cx="6756400"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1">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2" w:name="page23"/>
    <w:bookmarkEnd w:id="22"/>
    <w:p>
      <w:pPr>
        <w:ind w:left="2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85090</wp:posOffset>
            </wp:positionV>
            <wp:extent cx="5460365" cy="2066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2">
                      <a:extLst>
                        <a:ext uri="{28A0092B-C50C-407E-A947-70E740481C1C}"/>
                      </a:extLst>
                    </a:blip>
                    <a:srcRect/>
                    <a:stretch>
                      <a:fillRect/>
                    </a:stretch>
                  </pic:blipFill>
                  <pic:spPr bwMode="auto">
                    <a:xfrm>
                      <a:off x="0" y="0"/>
                      <a:ext cx="5460365" cy="20662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119" w:lineRule="exact"/>
        <w:rPr>
          <w:sz w:val="20"/>
          <w:szCs w:val="20"/>
          <w:color w:val="auto"/>
        </w:rPr>
      </w:pPr>
    </w:p>
    <w:p>
      <w:pPr>
        <w:ind w:left="460" w:right="619" w:firstLine="348"/>
        <w:spacing w:after="0" w:line="262" w:lineRule="auto"/>
        <w:rPr>
          <w:sz w:val="20"/>
          <w:szCs w:val="20"/>
          <w:color w:val="auto"/>
        </w:rPr>
      </w:pPr>
      <w:r>
        <w:rPr>
          <w:rFonts w:ascii="Times New Roman" w:cs="Times New Roman" w:eastAsia="Times New Roman" w:hAnsi="Times New Roman"/>
          <w:sz w:val="17"/>
          <w:szCs w:val="17"/>
          <w:color w:val="auto"/>
        </w:rPr>
        <w:t xml:space="preserve">Except as described in any applicable prospectus supplement or in any free writing prospectuses we have authorized for use in connection with a specific offering, we intend to use the net proceeds from the sale of the securities under this prospectus for general corporate purposes, which may include funding research and development and sales and marketing activities, increasing our working capital, acquisitions or investments in businesses, products or technologies that are complementary to our own, and capital expenditures. See “Use of Proceeds” on page </w:t>
      </w:r>
      <w:r>
        <w:rPr>
          <w:rFonts w:ascii="Times New Roman" w:cs="Times New Roman" w:eastAsia="Times New Roman" w:hAnsi="Times New Roman"/>
          <w:sz w:val="17"/>
          <w:szCs w:val="17"/>
          <w:u w:val="single" w:color="auto"/>
          <w:color w:val="0000EE"/>
        </w:rPr>
        <w:t>25</w:t>
      </w:r>
      <w:r>
        <w:rPr>
          <w:rFonts w:ascii="Times New Roman" w:cs="Times New Roman" w:eastAsia="Times New Roman" w:hAnsi="Times New Roman"/>
          <w:sz w:val="17"/>
          <w:szCs w:val="17"/>
          <w:color w:val="auto"/>
        </w:rPr>
        <w:t xml:space="preserve"> of this prospectus. Unless the applicable prospectus supplement provides otherwise, we will not receive any of the proceeds from the sale of our securities by selling securityholders.</w:t>
      </w: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Nasdaq Global Select Market Listing</w:t>
      </w:r>
    </w:p>
    <w:p>
      <w:pPr>
        <w:spacing w:after="0" w:line="14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Our common stock is listed on The Nasdaq Global Select Market under the symbol “TLRY.”</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135890</wp:posOffset>
            </wp:positionV>
            <wp:extent cx="675640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3" w:name="page24"/>
    <w:bookmarkEnd w:id="23"/>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ind w:left="440" w:right="439" w:firstLine="347"/>
        <w:spacing w:after="0" w:line="258" w:lineRule="auto"/>
        <w:rPr>
          <w:sz w:val="20"/>
          <w:szCs w:val="20"/>
          <w:color w:val="auto"/>
        </w:rPr>
      </w:pPr>
      <w:r>
        <w:rPr>
          <w:rFonts w:ascii="Times New Roman" w:cs="Times New Roman" w:eastAsia="Times New Roman" w:hAnsi="Times New Roman"/>
          <w:sz w:val="17"/>
          <w:szCs w:val="17"/>
          <w:color w:val="auto"/>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described under the section entitled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a specific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cash flow or prospects could be seriously harmed. This could cause the trading price of our securities to decline, resulting in a loss of all or part of your investment. Please also carefully read the section below entitled “Special Note Regarding Forward-Looking Statements.”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135890</wp:posOffset>
            </wp:positionV>
            <wp:extent cx="675640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4">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4" w:name="page25"/>
    <w:bookmarkEnd w:id="24"/>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119" w:lineRule="exact"/>
        <w:rPr>
          <w:sz w:val="20"/>
          <w:szCs w:val="20"/>
          <w:color w:val="auto"/>
        </w:rPr>
      </w:pPr>
    </w:p>
    <w:p>
      <w:pPr>
        <w:ind w:left="440" w:right="499" w:firstLine="347"/>
        <w:spacing w:after="0" w:line="257" w:lineRule="auto"/>
        <w:rPr>
          <w:sz w:val="20"/>
          <w:szCs w:val="20"/>
          <w:color w:val="auto"/>
        </w:rPr>
      </w:pPr>
      <w:r>
        <w:rPr>
          <w:rFonts w:ascii="Times New Roman" w:cs="Times New Roman" w:eastAsia="Times New Roman" w:hAnsi="Times New Roman"/>
          <w:sz w:val="17"/>
          <w:szCs w:val="17"/>
          <w:color w:val="auto"/>
        </w:rPr>
        <w:t>Certain statements in this prospectus and any accompanying prospectus supplement, including the documents incorporated by reference herein and therein, constitute forward-looking information or forward-looking statements within the meaning of Section 27A of the Securities Act of 1933, as amended (the “Securities Act”), and Section 21E of the Securities Exchange Act of 1934, as amended (the “Exchange Act”), which are intended to be covered by the safe harbor created by such sections and other applicable laws. The forward-looking statements are expressly qualified by this cautionary statement. Forward-looking statements are provided for the purpose of presenting information about management’s current expectations and plans relating to the future, and readers are cautioned that such statements may not be appropriate for other purposes. These statements may include, without limitation, statements regarding our operations, business, financial condition, expected financial results, performance, prospects, opportunities, priorities, targets, goals, ongoing objectives, strategies and outlook. Forward-looking statements are typically identified by words such as “expect”, “intend”, “anticipate”, “believe”, “contemplate”, “foresee”, “forecast”, “future”, “could”, “enable”, “potential”, “estimate”, “project”, “goal”, “plan”, “seek”, “strive”, “will”, “would”, “may” and “should” and similar expressions, although not all forward-looking statements contain these identifying words. Forward-looking statements reflect current beliefs of management with respect to future events and are based on information currently available to management including based on reasonable assumptions, estimates, internal and external analysis and opinions of management concerning its experience, perception of trends, current conditions and expected developments as well as other factors that management believes to be relevant as at the date such statements are made. Forward-looking statements involve significant known and unknown risks and uncertainties. Many factors could cause actual results, performance or achievement to be materially different from any future forward-looking statements. Our estimates, beliefs and assumptions are inherently subject to significant business, economic, competitive and other uncertainties and contingencies regarding future events and as such, are subject to change. We can give no assurance that such estimates, beliefs and assumptions will prove to be correct.</w:t>
      </w:r>
    </w:p>
    <w:p>
      <w:pPr>
        <w:spacing w:after="0" w:line="297" w:lineRule="exact"/>
        <w:rPr>
          <w:sz w:val="20"/>
          <w:szCs w:val="20"/>
          <w:color w:val="auto"/>
        </w:rPr>
      </w:pPr>
    </w:p>
    <w:p>
      <w:pPr>
        <w:ind w:left="440" w:right="939" w:firstLine="347"/>
        <w:spacing w:after="0" w:line="268" w:lineRule="auto"/>
        <w:rPr>
          <w:sz w:val="20"/>
          <w:szCs w:val="20"/>
          <w:color w:val="auto"/>
        </w:rPr>
      </w:pPr>
      <w:r>
        <w:rPr>
          <w:rFonts w:ascii="Times New Roman" w:cs="Times New Roman" w:eastAsia="Times New Roman" w:hAnsi="Times New Roman"/>
          <w:sz w:val="17"/>
          <w:szCs w:val="17"/>
          <w:color w:val="auto"/>
        </w:rPr>
        <w:t>Any information or statements that are contained in this prospectus and any accompanying prospectus supplement, including the documents incorporated by reference herein and therein, that are not statements of historical fact may be deemed to be forward-looking statements, including, but not limited to, statements with regards to:</w:t>
      </w:r>
    </w:p>
    <w:p>
      <w:pPr>
        <w:spacing w:after="0" w:line="66" w:lineRule="exact"/>
        <w:rPr>
          <w:sz w:val="20"/>
          <w:szCs w:val="20"/>
          <w:color w:val="auto"/>
        </w:rPr>
      </w:pPr>
    </w:p>
    <w:p>
      <w:pPr>
        <w:ind w:left="1120" w:right="879" w:hanging="337"/>
        <w:spacing w:after="0" w:line="294" w:lineRule="auto"/>
        <w:tabs>
          <w:tab w:leader="none" w:pos="11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estimates of our financial information, including in respect of expected revenues, margins, cash flow, profitability, and production of cannabis;</w:t>
      </w:r>
    </w:p>
    <w:p>
      <w:pPr>
        <w:spacing w:after="0" w:line="42" w:lineRule="exact"/>
        <w:rPr>
          <w:rFonts w:ascii="Times New Roman" w:cs="Times New Roman" w:eastAsia="Times New Roman" w:hAnsi="Times New Roman"/>
          <w:sz w:val="17"/>
          <w:szCs w:val="17"/>
          <w:color w:val="auto"/>
        </w:rPr>
      </w:pPr>
    </w:p>
    <w:p>
      <w:pPr>
        <w:ind w:left="1120" w:right="1019" w:hanging="337"/>
        <w:spacing w:after="0" w:line="294" w:lineRule="auto"/>
        <w:tabs>
          <w:tab w:leader="none" w:pos="11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estimates of future costs applicable to sales, future capital expenditures, future cost reductions, and projected synergies including pre-tax synergies, cost savings and efficiencies;</w:t>
      </w:r>
    </w:p>
    <w:p>
      <w:pPr>
        <w:spacing w:after="0" w:line="42" w:lineRule="exact"/>
        <w:rPr>
          <w:rFonts w:ascii="Times New Roman" w:cs="Times New Roman" w:eastAsia="Times New Roman" w:hAnsi="Times New Roman"/>
          <w:sz w:val="17"/>
          <w:szCs w:val="17"/>
          <w:color w:val="auto"/>
        </w:rPr>
      </w:pPr>
    </w:p>
    <w:p>
      <w:pPr>
        <w:ind w:left="1120" w:right="779" w:hanging="337"/>
        <w:spacing w:after="0" w:line="294" w:lineRule="auto"/>
        <w:tabs>
          <w:tab w:leader="none" w:pos="11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 to have scalable medical and adult-use cannabis platforms to strengthen the leadership position in Canada, internationally, and eventually in the United States;</w:t>
      </w:r>
    </w:p>
    <w:p>
      <w:pPr>
        <w:spacing w:after="0" w:line="42"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position in the European cannabis markets, and our ability to leverage our current European platforms;</w:t>
      </w:r>
    </w:p>
    <w:p>
      <w:pPr>
        <w:spacing w:after="0" w:line="117"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strategic and financial benefits in connection with the Arrangement;</w:t>
      </w:r>
    </w:p>
    <w:p>
      <w:pPr>
        <w:spacing w:after="0" w:line="117"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legalization of cannabis in the United States and our position to compete in the United States;</w:t>
      </w:r>
    </w:p>
    <w:p>
      <w:pPr>
        <w:spacing w:after="0" w:line="117"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projected growth in our market share and the European market; and</w:t>
      </w:r>
    </w:p>
    <w:p>
      <w:pPr>
        <w:spacing w:after="0" w:line="117" w:lineRule="exact"/>
        <w:rPr>
          <w:rFonts w:ascii="Times New Roman" w:cs="Times New Roman" w:eastAsia="Times New Roman" w:hAnsi="Times New Roman"/>
          <w:sz w:val="17"/>
          <w:szCs w:val="17"/>
          <w:color w:val="auto"/>
        </w:rPr>
      </w:pPr>
    </w:p>
    <w:p>
      <w:pPr>
        <w:ind w:left="1120" w:right="599" w:hanging="337"/>
        <w:spacing w:after="0" w:line="294" w:lineRule="auto"/>
        <w:tabs>
          <w:tab w:leader="none" w:pos="11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 to offer a diversified and branded product offering and distribution footprint, world-class cultivation, processing and manufacturing facilities.</w:t>
      </w:r>
    </w:p>
    <w:p>
      <w:pPr>
        <w:spacing w:after="0" w:line="43" w:lineRule="exact"/>
        <w:rPr>
          <w:sz w:val="20"/>
          <w:szCs w:val="20"/>
          <w:color w:val="auto"/>
        </w:rPr>
      </w:pPr>
    </w:p>
    <w:p>
      <w:pPr>
        <w:ind w:left="440" w:right="519" w:firstLine="347"/>
        <w:spacing w:after="0" w:line="268" w:lineRule="auto"/>
        <w:rPr>
          <w:sz w:val="20"/>
          <w:szCs w:val="20"/>
          <w:color w:val="auto"/>
        </w:rPr>
      </w:pPr>
      <w:r>
        <w:rPr>
          <w:rFonts w:ascii="Times New Roman" w:cs="Times New Roman" w:eastAsia="Times New Roman" w:hAnsi="Times New Roman"/>
          <w:sz w:val="17"/>
          <w:szCs w:val="17"/>
          <w:color w:val="auto"/>
        </w:rPr>
        <w:t>The forward-looking statements contained in this prospectus and any accompanying prospectus supplement, including the documents incorporated by reference herein and therein, are subject to inherent risks and uncertainties and other factors which could cause actual results to differ materially from those anticipated by the forward-looking statements. The factors which could cause results to differ from current expectations include, but are not limited to:</w:t>
      </w:r>
    </w:p>
    <w:p>
      <w:pPr>
        <w:spacing w:after="0" w:line="66" w:lineRule="exact"/>
        <w:rPr>
          <w:sz w:val="20"/>
          <w:szCs w:val="20"/>
          <w:color w:val="auto"/>
        </w:rPr>
      </w:pPr>
    </w:p>
    <w:p>
      <w:pPr>
        <w:ind w:left="1120" w:right="639" w:hanging="337"/>
        <w:spacing w:after="0" w:line="294" w:lineRule="auto"/>
        <w:tabs>
          <w:tab w:leader="none" w:pos="11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achieve the expected revenue or other benefits from the craft beer operations we acquired in fiscal years 2024 and 2025;</w:t>
      </w:r>
    </w:p>
    <w:p>
      <w:pPr>
        <w:spacing w:after="0" w:line="42" w:lineRule="exact"/>
        <w:rPr>
          <w:rFonts w:ascii="Times New Roman" w:cs="Times New Roman" w:eastAsia="Times New Roman" w:hAnsi="Times New Roman"/>
          <w:sz w:val="17"/>
          <w:szCs w:val="17"/>
          <w:color w:val="auto"/>
        </w:rPr>
      </w:pPr>
    </w:p>
    <w:p>
      <w:pPr>
        <w:ind w:left="1120" w:right="1079" w:hanging="337"/>
        <w:spacing w:after="0" w:line="294" w:lineRule="auto"/>
        <w:tabs>
          <w:tab w:leader="none" w:pos="11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experience difficulties integrating operations and realizing the expected benefits of recent acquisitions, including the Craft brands acquisitions;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135890</wp:posOffset>
            </wp:positionV>
            <wp:extent cx="675640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5">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5" w:name="page26"/>
    <w:bookmarkEnd w:id="25"/>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ind w:left="1120" w:right="919" w:hanging="337"/>
        <w:spacing w:after="0" w:line="294" w:lineRule="auto"/>
        <w:tabs>
          <w:tab w:leader="none" w:pos="11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cannabis business is dependent upon regulatory approvals and licenses, ongoing compliance and reporting obligations, and timely renewals;</w:t>
      </w:r>
    </w:p>
    <w:p>
      <w:pPr>
        <w:spacing w:after="0" w:line="42" w:lineRule="exact"/>
        <w:rPr>
          <w:rFonts w:ascii="Times New Roman" w:cs="Times New Roman" w:eastAsia="Times New Roman" w:hAnsi="Times New Roman"/>
          <w:sz w:val="17"/>
          <w:szCs w:val="17"/>
          <w:color w:val="auto"/>
        </w:rPr>
      </w:pPr>
    </w:p>
    <w:p>
      <w:pPr>
        <w:ind w:left="1120" w:right="519" w:hanging="337"/>
        <w:spacing w:after="0" w:line="261" w:lineRule="auto"/>
        <w:tabs>
          <w:tab w:leader="none" w:pos="11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regulation is evolving, including potential regulatory developments in the United States to reschedule cannabis from Schedule I to Schedule III under the Controlled Substances Act or revise the current federal framework under the 2018 Farm Bill for hemp-derived cannabis, including Delta-9. In addition, we are subject to potential modifications to existing regulatory frameworks outside of North America, as well as uncertainties and potential delays in receiving required export/import permits in Europe and Australia. Any unfavorable changes to or lack of commercial legalization, or extended delays in receipt of required permits, could negatively impact our businesses and the potential planned expansion of our business;</w:t>
      </w:r>
    </w:p>
    <w:p>
      <w:pPr>
        <w:spacing w:after="0" w:line="72" w:lineRule="exact"/>
        <w:rPr>
          <w:rFonts w:ascii="Times New Roman" w:cs="Times New Roman" w:eastAsia="Times New Roman" w:hAnsi="Times New Roman"/>
          <w:sz w:val="17"/>
          <w:szCs w:val="17"/>
          <w:color w:val="auto"/>
        </w:rPr>
      </w:pPr>
    </w:p>
    <w:p>
      <w:pPr>
        <w:ind w:left="1120" w:right="739" w:hanging="337"/>
        <w:spacing w:after="0" w:line="294" w:lineRule="auto"/>
        <w:tabs>
          <w:tab w:leader="none" w:pos="11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intense competition, including from the illicit cannabis market, and anticipate competition will increase, which could hurt our business;</w:t>
      </w:r>
    </w:p>
    <w:p>
      <w:pPr>
        <w:spacing w:after="0" w:line="42" w:lineRule="exact"/>
        <w:rPr>
          <w:rFonts w:ascii="Times New Roman" w:cs="Times New Roman" w:eastAsia="Times New Roman" w:hAnsi="Times New Roman"/>
          <w:sz w:val="17"/>
          <w:szCs w:val="17"/>
          <w:color w:val="auto"/>
        </w:rPr>
      </w:pPr>
    </w:p>
    <w:p>
      <w:pPr>
        <w:ind w:left="1120" w:right="559" w:hanging="337"/>
        <w:spacing w:after="0" w:line="294" w:lineRule="auto"/>
        <w:tabs>
          <w:tab w:leader="none" w:pos="11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production and processing facilities are integral to our business and adverse changes or developments affecting our facilities may have an adverse impact on our business;</w:t>
      </w:r>
    </w:p>
    <w:p>
      <w:pPr>
        <w:spacing w:after="0" w:line="42"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regulations constrain our ability to market and distribute our products in Canada;</w:t>
      </w:r>
    </w:p>
    <w:p>
      <w:pPr>
        <w:spacing w:after="0" w:line="117" w:lineRule="exact"/>
        <w:rPr>
          <w:rFonts w:ascii="Times New Roman" w:cs="Times New Roman" w:eastAsia="Times New Roman" w:hAnsi="Times New Roman"/>
          <w:sz w:val="17"/>
          <w:szCs w:val="17"/>
          <w:color w:val="auto"/>
        </w:rPr>
      </w:pPr>
    </w:p>
    <w:p>
      <w:pPr>
        <w:ind w:left="1120" w:right="519" w:hanging="337"/>
        <w:spacing w:after="0" w:line="275" w:lineRule="auto"/>
        <w:tabs>
          <w:tab w:leader="none" w:pos="11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United States regulations relating to hemp-derived CBD products, Delta-9 products, and medical cannabis products are new and rapidly evolving, and changes may not develop in the timeframe or manner most favorable to our business objectives;</w:t>
      </w:r>
    </w:p>
    <w:p>
      <w:pPr>
        <w:spacing w:after="0" w:line="58" w:lineRule="exact"/>
        <w:rPr>
          <w:rFonts w:ascii="Times New Roman" w:cs="Times New Roman" w:eastAsia="Times New Roman" w:hAnsi="Times New Roman"/>
          <w:sz w:val="17"/>
          <w:szCs w:val="17"/>
          <w:color w:val="auto"/>
        </w:rPr>
      </w:pPr>
    </w:p>
    <w:p>
      <w:pPr>
        <w:ind w:left="1120" w:right="459" w:hanging="337"/>
        <w:spacing w:after="0" w:line="294" w:lineRule="auto"/>
        <w:tabs>
          <w:tab w:leader="none" w:pos="11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consumer preferences or public attitudes about alcohol could decrease demand for our beverage products;</w:t>
      </w:r>
    </w:p>
    <w:p>
      <w:pPr>
        <w:spacing w:after="0" w:line="42" w:lineRule="exact"/>
        <w:rPr>
          <w:rFonts w:ascii="Times New Roman" w:cs="Times New Roman" w:eastAsia="Times New Roman" w:hAnsi="Times New Roman"/>
          <w:sz w:val="17"/>
          <w:szCs w:val="17"/>
          <w:color w:val="auto"/>
        </w:rPr>
      </w:pPr>
    </w:p>
    <w:p>
      <w:pPr>
        <w:jc w:val="both"/>
        <w:ind w:left="1120" w:right="819" w:hanging="337"/>
        <w:spacing w:after="0" w:line="275" w:lineRule="auto"/>
        <w:tabs>
          <w:tab w:leader="none" w:pos="11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SweetWater, Breckenridge, Montauk and our recently-acquired craft beer brands each face substantial competition in the beer industry or the broader market for beverage products, which could impact our business and financial results;</w:t>
      </w:r>
    </w:p>
    <w:p>
      <w:pPr>
        <w:spacing w:after="0" w:line="58" w:lineRule="exact"/>
        <w:rPr>
          <w:rFonts w:ascii="Times New Roman" w:cs="Times New Roman" w:eastAsia="Times New Roman" w:hAnsi="Times New Roman"/>
          <w:sz w:val="17"/>
          <w:szCs w:val="17"/>
          <w:color w:val="auto"/>
        </w:rPr>
      </w:pPr>
    </w:p>
    <w:p>
      <w:pPr>
        <w:ind w:left="1120" w:right="639" w:hanging="337"/>
        <w:spacing w:after="0" w:line="294" w:lineRule="auto"/>
        <w:tabs>
          <w:tab w:leader="none" w:pos="11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litigation, arbitration and demands, which could result in significant liability and costs, and impact our resources and reputation;</w:t>
      </w:r>
    </w:p>
    <w:p>
      <w:pPr>
        <w:spacing w:after="0" w:line="42" w:lineRule="exact"/>
        <w:rPr>
          <w:rFonts w:ascii="Times New Roman" w:cs="Times New Roman" w:eastAsia="Times New Roman" w:hAnsi="Times New Roman"/>
          <w:sz w:val="17"/>
          <w:szCs w:val="17"/>
          <w:color w:val="auto"/>
        </w:rPr>
      </w:pPr>
    </w:p>
    <w:p>
      <w:pPr>
        <w:ind w:left="1120" w:right="679" w:hanging="337"/>
        <w:spacing w:after="0" w:line="294" w:lineRule="auto"/>
        <w:tabs>
          <w:tab w:leader="none" w:pos="11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may be materially adversely affected by the imposition of duties and tariffs and other trade barriers and retaliatory countermeasures implemented by the U.S. and other governments;</w:t>
      </w:r>
    </w:p>
    <w:p>
      <w:pPr>
        <w:spacing w:after="0" w:line="42" w:lineRule="exact"/>
        <w:rPr>
          <w:rFonts w:ascii="Times New Roman" w:cs="Times New Roman" w:eastAsia="Times New Roman" w:hAnsi="Times New Roman"/>
          <w:sz w:val="17"/>
          <w:szCs w:val="17"/>
          <w:color w:val="auto"/>
        </w:rPr>
      </w:pPr>
    </w:p>
    <w:p>
      <w:pPr>
        <w:ind w:left="1120" w:right="759" w:hanging="337"/>
        <w:spacing w:after="0" w:line="275" w:lineRule="auto"/>
        <w:tabs>
          <w:tab w:leader="none" w:pos="11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impairments of our goodwill, impairments of our intangible and other long-lived assets, and changes in the estimated useful lives of intangible assets could have a material adverse impact on our financial results;</w:t>
      </w:r>
    </w:p>
    <w:p>
      <w:pPr>
        <w:spacing w:after="0" w:line="58" w:lineRule="exact"/>
        <w:rPr>
          <w:rFonts w:ascii="Times New Roman" w:cs="Times New Roman" w:eastAsia="Times New Roman" w:hAnsi="Times New Roman"/>
          <w:sz w:val="17"/>
          <w:szCs w:val="17"/>
          <w:color w:val="auto"/>
        </w:rPr>
      </w:pPr>
    </w:p>
    <w:p>
      <w:pPr>
        <w:ind w:left="1120" w:right="999" w:hanging="337"/>
        <w:spacing w:after="0" w:line="294" w:lineRule="auto"/>
        <w:tabs>
          <w:tab w:leader="none" w:pos="11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limited operating history and a history of net losses, and we may not achieve or maintain profitability in the future;</w:t>
      </w:r>
    </w:p>
    <w:p>
      <w:pPr>
        <w:spacing w:after="0" w:line="42" w:lineRule="exact"/>
        <w:rPr>
          <w:rFonts w:ascii="Times New Roman" w:cs="Times New Roman" w:eastAsia="Times New Roman" w:hAnsi="Times New Roman"/>
          <w:sz w:val="17"/>
          <w:szCs w:val="17"/>
          <w:color w:val="auto"/>
        </w:rPr>
      </w:pPr>
    </w:p>
    <w:p>
      <w:pPr>
        <w:ind w:left="1120" w:right="519" w:hanging="337"/>
        <w:spacing w:after="0" w:line="294" w:lineRule="auto"/>
        <w:tabs>
          <w:tab w:leader="none" w:pos="11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strategic alliances and other third-party business relationships may not achieve the intended beneficial impact and expose us to risks;</w:t>
      </w:r>
    </w:p>
    <w:p>
      <w:pPr>
        <w:spacing w:after="0" w:line="42" w:lineRule="exact"/>
        <w:rPr>
          <w:rFonts w:ascii="Times New Roman" w:cs="Times New Roman" w:eastAsia="Times New Roman" w:hAnsi="Times New Roman"/>
          <w:sz w:val="17"/>
          <w:szCs w:val="17"/>
          <w:color w:val="auto"/>
        </w:rPr>
      </w:pPr>
    </w:p>
    <w:p>
      <w:pPr>
        <w:ind w:left="1120" w:right="699" w:hanging="337"/>
        <w:spacing w:after="0" w:line="294" w:lineRule="auto"/>
        <w:tabs>
          <w:tab w:leader="none" w:pos="11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successfully identify and execute future acquisitions, dispositions or other equity transactions or to successfully manage the impacts of such transactions on our operations;</w:t>
      </w:r>
    </w:p>
    <w:p>
      <w:pPr>
        <w:spacing w:after="0" w:line="42"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risks inherent in an agricultural business, including the risk of crop failure;</w:t>
      </w:r>
    </w:p>
    <w:p>
      <w:pPr>
        <w:spacing w:after="0" w:line="117" w:lineRule="exact"/>
        <w:rPr>
          <w:rFonts w:ascii="Times New Roman" w:cs="Times New Roman" w:eastAsia="Times New Roman" w:hAnsi="Times New Roman"/>
          <w:sz w:val="17"/>
          <w:szCs w:val="17"/>
          <w:color w:val="auto"/>
        </w:rPr>
      </w:pPr>
    </w:p>
    <w:p>
      <w:pPr>
        <w:ind w:left="1120" w:right="679" w:hanging="337"/>
        <w:spacing w:after="0" w:line="275" w:lineRule="auto"/>
        <w:tabs>
          <w:tab w:leader="none" w:pos="11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on recurring customers for a substantial portion of our revenue. If we fail to retain or expand our customer relationships or these customers reduce their purchases, our revenue could decline significantly;</w:t>
      </w:r>
    </w:p>
    <w:p>
      <w:pPr>
        <w:spacing w:after="0" w:line="58" w:lineRule="exact"/>
        <w:rPr>
          <w:rFonts w:ascii="Times New Roman" w:cs="Times New Roman" w:eastAsia="Times New Roman" w:hAnsi="Times New Roman"/>
          <w:sz w:val="17"/>
          <w:szCs w:val="17"/>
          <w:color w:val="auto"/>
        </w:rPr>
      </w:pPr>
    </w:p>
    <w:p>
      <w:pPr>
        <w:ind w:left="1120" w:right="1219" w:hanging="337"/>
        <w:spacing w:after="0" w:line="294" w:lineRule="auto"/>
        <w:tabs>
          <w:tab w:leader="none" w:pos="11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products may be subject to recalls for a variety of reasons, which could require us to expend significant management and capital resources;</w:t>
      </w:r>
    </w:p>
    <w:p>
      <w:pPr>
        <w:spacing w:after="0" w:line="42" w:lineRule="exact"/>
        <w:rPr>
          <w:rFonts w:ascii="Times New Roman" w:cs="Times New Roman" w:eastAsia="Times New Roman" w:hAnsi="Times New Roman"/>
          <w:sz w:val="17"/>
          <w:szCs w:val="17"/>
          <w:color w:val="auto"/>
        </w:rPr>
      </w:pPr>
    </w:p>
    <w:p>
      <w:pPr>
        <w:ind w:left="1120" w:right="1019" w:hanging="337"/>
        <w:spacing w:after="0" w:line="294" w:lineRule="auto"/>
        <w:tabs>
          <w:tab w:leader="none" w:pos="11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interruptions in our access to certain supply chains for key inputs such as raw materials, supplies, electricity, water and other utilities may impair our operations;</w:t>
      </w:r>
    </w:p>
    <w:p>
      <w:pPr>
        <w:spacing w:after="0" w:line="42" w:lineRule="exact"/>
        <w:rPr>
          <w:rFonts w:ascii="Times New Roman" w:cs="Times New Roman" w:eastAsia="Times New Roman" w:hAnsi="Times New Roman"/>
          <w:sz w:val="17"/>
          <w:szCs w:val="17"/>
          <w:color w:val="auto"/>
        </w:rPr>
      </w:pPr>
    </w:p>
    <w:p>
      <w:pPr>
        <w:ind w:left="1120" w:right="1019" w:hanging="337"/>
        <w:spacing w:after="0" w:line="294" w:lineRule="auto"/>
        <w:tabs>
          <w:tab w:leader="none" w:pos="11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may not be able to successfully establish and maintain effective internal controls over financial reporting;</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135890</wp:posOffset>
            </wp:positionV>
            <wp:extent cx="675640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6">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6" w:name="page27"/>
    <w:bookmarkEnd w:id="26"/>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ind w:left="1120" w:right="559" w:hanging="337"/>
        <w:spacing w:after="0" w:line="294" w:lineRule="auto"/>
        <w:tabs>
          <w:tab w:leader="none" w:pos="11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meet the continued listing requirements of Nasdaq could result in a delisting of our publicly traded securities;</w:t>
      </w:r>
    </w:p>
    <w:p>
      <w:pPr>
        <w:spacing w:after="0" w:line="42"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uncertainty regarding the impact of our implementation of a reverse stock split;</w:t>
      </w:r>
    </w:p>
    <w:p>
      <w:pPr>
        <w:spacing w:after="0" w:line="117" w:lineRule="exact"/>
        <w:rPr>
          <w:rFonts w:ascii="Times New Roman" w:cs="Times New Roman" w:eastAsia="Times New Roman" w:hAnsi="Times New Roman"/>
          <w:sz w:val="17"/>
          <w:szCs w:val="17"/>
          <w:color w:val="auto"/>
        </w:rPr>
      </w:pPr>
    </w:p>
    <w:p>
      <w:pPr>
        <w:ind w:left="1120" w:right="619" w:hanging="337"/>
        <w:spacing w:after="0" w:line="294" w:lineRule="auto"/>
        <w:tabs>
          <w:tab w:leader="none" w:pos="11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of our common stock in public markets has experienced and may continue to experience severe volatility and fluctuations;</w:t>
      </w:r>
    </w:p>
    <w:p>
      <w:pPr>
        <w:spacing w:after="0" w:line="42" w:lineRule="exact"/>
        <w:rPr>
          <w:rFonts w:ascii="Times New Roman" w:cs="Times New Roman" w:eastAsia="Times New Roman" w:hAnsi="Times New Roman"/>
          <w:sz w:val="17"/>
          <w:szCs w:val="17"/>
          <w:color w:val="auto"/>
        </w:rPr>
      </w:pPr>
    </w:p>
    <w:p>
      <w:pPr>
        <w:ind w:left="1120" w:right="639" w:hanging="337"/>
        <w:spacing w:after="0" w:line="294" w:lineRule="auto"/>
        <w:tabs>
          <w:tab w:leader="none" w:pos="11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volatility of our stock and the stockholder base may hinder or prevent us from engaging in beneficial corporate initiatives;</w:t>
      </w:r>
    </w:p>
    <w:p>
      <w:pPr>
        <w:spacing w:after="0" w:line="42" w:lineRule="exact"/>
        <w:rPr>
          <w:rFonts w:ascii="Times New Roman" w:cs="Times New Roman" w:eastAsia="Times New Roman" w:hAnsi="Times New Roman"/>
          <w:sz w:val="17"/>
          <w:szCs w:val="17"/>
          <w:color w:val="auto"/>
        </w:rPr>
      </w:pPr>
    </w:p>
    <w:p>
      <w:pPr>
        <w:ind w:left="1120" w:right="859" w:hanging="337"/>
        <w:spacing w:after="0" w:line="275" w:lineRule="auto"/>
        <w:tabs>
          <w:tab w:leader="none" w:pos="11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our outstanding warrants may limit our ability to raise additional equity capital or pursue acquisitions, which may impact funding of our ongoing operations and cause significant dilution to existing stockholders;</w:t>
      </w:r>
    </w:p>
    <w:p>
      <w:pPr>
        <w:spacing w:after="0" w:line="58" w:lineRule="exact"/>
        <w:rPr>
          <w:rFonts w:ascii="Times New Roman" w:cs="Times New Roman" w:eastAsia="Times New Roman" w:hAnsi="Times New Roman"/>
          <w:sz w:val="17"/>
          <w:szCs w:val="17"/>
          <w:color w:val="auto"/>
        </w:rPr>
      </w:pPr>
    </w:p>
    <w:p>
      <w:pPr>
        <w:ind w:left="1120" w:right="579" w:hanging="337"/>
        <w:spacing w:after="0" w:line="294" w:lineRule="auto"/>
        <w:tabs>
          <w:tab w:leader="none" w:pos="11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have the ability to raise the funds necessary to settle conversions of the convertible securities in cash or to repurchase the convertible securities upon a fundamental change;</w:t>
      </w:r>
    </w:p>
    <w:p>
      <w:pPr>
        <w:spacing w:after="0" w:line="42" w:lineRule="exact"/>
        <w:rPr>
          <w:rFonts w:ascii="Times New Roman" w:cs="Times New Roman" w:eastAsia="Times New Roman" w:hAnsi="Times New Roman"/>
          <w:sz w:val="17"/>
          <w:szCs w:val="17"/>
          <w:color w:val="auto"/>
        </w:rPr>
      </w:pPr>
    </w:p>
    <w:p>
      <w:pPr>
        <w:ind w:left="1120" w:right="779" w:hanging="337"/>
        <w:spacing w:after="0" w:line="294" w:lineRule="auto"/>
        <w:tabs>
          <w:tab w:leader="none" w:pos="11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planned cryptocurrency strategy faces high risk and uncertainty in light of market volatility and an evolving regulatory landscape; and</w:t>
      </w:r>
    </w:p>
    <w:p>
      <w:pPr>
        <w:spacing w:after="0" w:line="42"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other risks generally applicable to our industry and the conduct of our business.</w:t>
      </w:r>
    </w:p>
    <w:p>
      <w:pPr>
        <w:spacing w:after="0" w:line="117" w:lineRule="exact"/>
        <w:rPr>
          <w:sz w:val="20"/>
          <w:szCs w:val="20"/>
          <w:color w:val="auto"/>
        </w:rPr>
      </w:pPr>
    </w:p>
    <w:p>
      <w:pPr>
        <w:ind w:left="440" w:right="539" w:firstLine="347"/>
        <w:spacing w:after="0" w:line="275" w:lineRule="auto"/>
        <w:rPr>
          <w:sz w:val="20"/>
          <w:szCs w:val="20"/>
          <w:color w:val="auto"/>
        </w:rPr>
      </w:pPr>
      <w:r>
        <w:rPr>
          <w:rFonts w:ascii="Times New Roman" w:cs="Times New Roman" w:eastAsia="Times New Roman" w:hAnsi="Times New Roman"/>
          <w:sz w:val="17"/>
          <w:szCs w:val="17"/>
          <w:color w:val="auto"/>
        </w:rPr>
        <w:t>Readers are cautioned that the foregoing list of factors is not exhaustive. Other risks and uncertainties not presently known to us or that we presently believe are not material could also cause actual results or events to differ materially from those expressed in the forward-looking statements contained herein.</w:t>
      </w:r>
    </w:p>
    <w:p>
      <w:pPr>
        <w:spacing w:after="0" w:line="58" w:lineRule="exact"/>
        <w:rPr>
          <w:sz w:val="20"/>
          <w:szCs w:val="20"/>
          <w:color w:val="auto"/>
        </w:rPr>
      </w:pPr>
    </w:p>
    <w:p>
      <w:pPr>
        <w:ind w:left="440" w:right="519" w:firstLine="347"/>
        <w:spacing w:after="0" w:line="263" w:lineRule="auto"/>
        <w:rPr>
          <w:sz w:val="20"/>
          <w:szCs w:val="20"/>
          <w:color w:val="auto"/>
        </w:rPr>
      </w:pPr>
      <w:r>
        <w:rPr>
          <w:rFonts w:ascii="Times New Roman" w:cs="Times New Roman" w:eastAsia="Times New Roman" w:hAnsi="Times New Roman"/>
          <w:sz w:val="17"/>
          <w:szCs w:val="17"/>
          <w:color w:val="auto"/>
        </w:rPr>
        <w:t>Additional information on these and other factors that could affect our operations or financial results are included in reports filed by us with applicable securities regulatory authorities and may be accessed through EDGAR (www.sec.gov). These risks and other factors are also discussed in more detail in the section entitled “Risk Factors” contained in our most recent Annual Report on Form 10-K, as well as any amendments thereto reflected in subsequent filings with the SEC and in our other filings that are incorporated by reference into this prospectus and any accompanying prospectus supplement.</w:t>
      </w:r>
    </w:p>
    <w:p>
      <w:pPr>
        <w:spacing w:after="0" w:line="71" w:lineRule="exact"/>
        <w:rPr>
          <w:sz w:val="20"/>
          <w:szCs w:val="20"/>
          <w:color w:val="auto"/>
        </w:rPr>
      </w:pPr>
    </w:p>
    <w:p>
      <w:pPr>
        <w:ind w:left="440" w:right="459" w:firstLine="347"/>
        <w:spacing w:after="0" w:line="259" w:lineRule="auto"/>
        <w:rPr>
          <w:sz w:val="20"/>
          <w:szCs w:val="20"/>
          <w:color w:val="auto"/>
        </w:rPr>
      </w:pPr>
      <w:r>
        <w:rPr>
          <w:rFonts w:ascii="Times New Roman" w:cs="Times New Roman" w:eastAsia="Times New Roman" w:hAnsi="Times New Roman"/>
          <w:sz w:val="17"/>
          <w:szCs w:val="17"/>
          <w:color w:val="auto"/>
        </w:rPr>
        <w:t>The forward-looking statements contained in this prospectus and any accompanying prospectus supplement, including the documents incorporated by reference herein and therein, are expressly qualified in their entirety by this cautionary statement. We cannot guarantee that the results or events expressed or implied in any forward-looking statement and information will materialize and accordingly, readers are cautioned not to place undue reliance on these forward-looking statements, which reflect our expectations only as of the date of the document containing the applicable statement. We disclaim any obligation to update or revise any forward-looking statements, whether as a result of new information, future events or otherwise, except as required by law. Thus, you should not assume that our silence over time means that actual events are bearing out as expressed or implied in such forward-looking statements. You should read this prospectus and any accompany prospectus supplement, together with the documents we have filed with the SEC that are incorporated by reference and any free writing prospectus we have authorized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135890</wp:posOffset>
            </wp:positionV>
            <wp:extent cx="675640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7">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7" w:name="page28"/>
    <w:bookmarkEnd w:id="27"/>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DESCRIPTION OF CAPITAL STOCK</w:t>
      </w:r>
    </w:p>
    <w:p>
      <w:pPr>
        <w:spacing w:after="0" w:line="119" w:lineRule="exact"/>
        <w:rPr>
          <w:sz w:val="20"/>
          <w:szCs w:val="20"/>
          <w:color w:val="auto"/>
        </w:rPr>
      </w:pPr>
    </w:p>
    <w:p>
      <w:pPr>
        <w:ind w:left="440" w:right="659" w:firstLine="347"/>
        <w:spacing w:after="0" w:line="268" w:lineRule="auto"/>
        <w:rPr>
          <w:sz w:val="20"/>
          <w:szCs w:val="20"/>
          <w:color w:val="auto"/>
        </w:rPr>
      </w:pPr>
      <w:r>
        <w:rPr>
          <w:rFonts w:ascii="Times New Roman" w:cs="Times New Roman" w:eastAsia="Times New Roman" w:hAnsi="Times New Roman"/>
          <w:sz w:val="17"/>
          <w:szCs w:val="17"/>
          <w:color w:val="auto"/>
        </w:rPr>
        <w:t>The following is a summary of some of the terms of our capital stock and certain provisions of our amended and restated certificate of incorporation and amended and restated bylaws, and is qualified by reference to these documents. Copies of these documents have been filed with the SEC as exhibits to our periodic reports, which are incorporated by reference in this prospectus.</w:t>
      </w:r>
    </w:p>
    <w:p>
      <w:pPr>
        <w:spacing w:after="0" w:line="66" w:lineRule="exact"/>
        <w:rPr>
          <w:sz w:val="20"/>
          <w:szCs w:val="20"/>
          <w:color w:val="auto"/>
        </w:rPr>
      </w:pPr>
    </w:p>
    <w:p>
      <w:pPr>
        <w:ind w:left="440" w:right="519" w:firstLine="347"/>
        <w:spacing w:after="0" w:line="275" w:lineRule="auto"/>
        <w:rPr>
          <w:sz w:val="20"/>
          <w:szCs w:val="20"/>
          <w:color w:val="auto"/>
        </w:rPr>
      </w:pPr>
      <w:r>
        <w:rPr>
          <w:rFonts w:ascii="Times New Roman" w:cs="Times New Roman" w:eastAsia="Times New Roman" w:hAnsi="Times New Roman"/>
          <w:sz w:val="17"/>
          <w:szCs w:val="17"/>
          <w:color w:val="auto"/>
        </w:rPr>
        <w:t>Except as otherwise specified below, references to voting by our stockholders contained in this “Description of Capital Stock” are references to voting by holders of capital stock entitled to attend and vote generally at general meetings of our stockholders.</w:t>
      </w:r>
    </w:p>
    <w:p>
      <w:pPr>
        <w:spacing w:after="0" w:line="2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Capital Stock</w:t>
      </w:r>
    </w:p>
    <w:p>
      <w:pPr>
        <w:spacing w:after="0" w:line="13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Our authorized capital stock is divided into:</w:t>
      </w:r>
    </w:p>
    <w:p>
      <w:pPr>
        <w:spacing w:after="0" w:line="117" w:lineRule="exact"/>
        <w:rPr>
          <w:sz w:val="20"/>
          <w:szCs w:val="20"/>
          <w:color w:val="auto"/>
        </w:rPr>
      </w:pPr>
    </w:p>
    <w:p>
      <w:pPr>
        <w:ind w:left="1120" w:hanging="337"/>
        <w:spacing w:after="0"/>
        <w:tabs>
          <w:tab w:leader="none" w:pos="11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1,416,000,000 shares of common stock with a par value of $0.0001 per share; and</w:t>
      </w:r>
    </w:p>
    <w:p>
      <w:pPr>
        <w:spacing w:after="0" w:line="117"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10,000,000 undesignated shares of preferred stock with a par value of $0.0001 per share.</w:t>
      </w:r>
    </w:p>
    <w:p>
      <w:pPr>
        <w:spacing w:after="0" w:line="15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As of October 9, 2025, 1,131,480,234 shares of common stock were outstanding.</w:t>
      </w:r>
    </w:p>
    <w:p>
      <w:pPr>
        <w:spacing w:after="0" w:line="117" w:lineRule="exact"/>
        <w:rPr>
          <w:sz w:val="20"/>
          <w:szCs w:val="20"/>
          <w:color w:val="auto"/>
        </w:rPr>
      </w:pPr>
    </w:p>
    <w:p>
      <w:pPr>
        <w:ind w:left="440" w:right="699" w:firstLine="347"/>
        <w:spacing w:after="0" w:line="265" w:lineRule="auto"/>
        <w:rPr>
          <w:sz w:val="20"/>
          <w:szCs w:val="20"/>
          <w:color w:val="auto"/>
        </w:rPr>
      </w:pPr>
      <w:r>
        <w:rPr>
          <w:rFonts w:ascii="Times New Roman" w:cs="Times New Roman" w:eastAsia="Times New Roman" w:hAnsi="Times New Roman"/>
          <w:sz w:val="17"/>
          <w:szCs w:val="17"/>
          <w:color w:val="auto"/>
        </w:rPr>
        <w:t>On October 1, 2020, we filed a certificate with the Secretary of State of the State of Delaware effecting the retirement and cancellation of the shares of Class 1 common stock that were issued but not outstanding following the conversion (the “Certificate of Retirement”). Effective upon the filing of the Certificate of Retirement, the obsolete references to Class 1 common stock in the Certificate were eliminated. The reissuance of all shares of Class 1 common stock is prohibited.</w:t>
      </w:r>
    </w:p>
    <w:p>
      <w:pPr>
        <w:spacing w:after="0" w:line="68" w:lineRule="exact"/>
        <w:rPr>
          <w:sz w:val="20"/>
          <w:szCs w:val="20"/>
          <w:color w:val="auto"/>
        </w:rPr>
      </w:pPr>
    </w:p>
    <w:p>
      <w:pPr>
        <w:ind w:left="440" w:right="499" w:firstLine="347"/>
        <w:spacing w:after="0" w:line="275" w:lineRule="auto"/>
        <w:rPr>
          <w:sz w:val="20"/>
          <w:szCs w:val="20"/>
          <w:color w:val="auto"/>
        </w:rPr>
      </w:pPr>
      <w:r>
        <w:rPr>
          <w:rFonts w:ascii="Times New Roman" w:cs="Times New Roman" w:eastAsia="Times New Roman" w:hAnsi="Times New Roman"/>
          <w:sz w:val="17"/>
          <w:szCs w:val="17"/>
          <w:color w:val="auto"/>
        </w:rPr>
        <w:t>The rights and restrictions to which the common stock are prescribed in our amended and restated certificate of incorporation. Our amended and restated certificate of incorporation entitles our board of directors, without stockholder approval, to determine the terms of the undesignated shares of preferred stock issued by us.</w:t>
      </w:r>
    </w:p>
    <w:p>
      <w:pPr>
        <w:spacing w:after="0" w:line="2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1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Voting Rights</w:t>
      </w:r>
    </w:p>
    <w:p>
      <w:pPr>
        <w:spacing w:after="0" w:line="14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Each holder of common stock is entitled to one vote for each share of common stock held by such holder.</w:t>
      </w:r>
    </w:p>
    <w:p>
      <w:pPr>
        <w:spacing w:after="0" w:line="2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Dividends and Distributions</w:t>
      </w:r>
    </w:p>
    <w:p>
      <w:pPr>
        <w:spacing w:after="0" w:line="121" w:lineRule="exact"/>
        <w:rPr>
          <w:sz w:val="20"/>
          <w:szCs w:val="20"/>
          <w:color w:val="auto"/>
        </w:rPr>
      </w:pPr>
    </w:p>
    <w:p>
      <w:pPr>
        <w:ind w:left="440" w:right="579" w:firstLine="347"/>
        <w:spacing w:after="0" w:line="268" w:lineRule="auto"/>
        <w:rPr>
          <w:sz w:val="20"/>
          <w:szCs w:val="20"/>
          <w:color w:val="auto"/>
        </w:rPr>
      </w:pPr>
      <w:r>
        <w:rPr>
          <w:rFonts w:ascii="Times New Roman" w:cs="Times New Roman" w:eastAsia="Times New Roman" w:hAnsi="Times New Roman"/>
          <w:sz w:val="17"/>
          <w:szCs w:val="17"/>
          <w:color w:val="auto"/>
        </w:rPr>
        <w:t>Subject to preferences that may apply to any shares of preferred stock outstanding at the time, the holders of outstanding shares of common stock are entitled to receive dividends out of funds legally available at the times and in the amounts that our board of directors may determine. We do not anticipate paying any cash dividends in the foreseeable future.</w:t>
      </w:r>
    </w:p>
    <w:p>
      <w:pPr>
        <w:spacing w:after="0" w:line="2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Liquidation Rights</w:t>
      </w:r>
    </w:p>
    <w:p>
      <w:pPr>
        <w:spacing w:after="0" w:line="121" w:lineRule="exact"/>
        <w:rPr>
          <w:sz w:val="20"/>
          <w:szCs w:val="20"/>
          <w:color w:val="auto"/>
        </w:rPr>
      </w:pPr>
    </w:p>
    <w:p>
      <w:pPr>
        <w:ind w:left="440" w:right="479" w:firstLine="347"/>
        <w:spacing w:after="0" w:line="268" w:lineRule="auto"/>
        <w:rPr>
          <w:sz w:val="20"/>
          <w:szCs w:val="20"/>
          <w:color w:val="auto"/>
        </w:rPr>
      </w:pPr>
      <w:r>
        <w:rPr>
          <w:rFonts w:ascii="Times New Roman" w:cs="Times New Roman" w:eastAsia="Times New Roman" w:hAnsi="Times New Roman"/>
          <w:sz w:val="17"/>
          <w:szCs w:val="17"/>
          <w:color w:val="auto"/>
        </w:rPr>
        <w:t>Upon our liquidation, dissolution or winding-up, the assets legally available for distribution to our stockholders would be distributable ratably among the holders of common stock and any participating preferred stock outstanding at that time after payment of liquidation preferences, on any outstanding shares of preferred stock and payment of other claims of creditors.</w:t>
      </w:r>
    </w:p>
    <w:p>
      <w:pPr>
        <w:spacing w:after="0" w:line="66" w:lineRule="exact"/>
        <w:rPr>
          <w:sz w:val="20"/>
          <w:szCs w:val="20"/>
          <w:color w:val="auto"/>
        </w:rPr>
      </w:pPr>
    </w:p>
    <w:p>
      <w:pPr>
        <w:ind w:left="440" w:right="459" w:firstLine="347"/>
        <w:spacing w:after="0" w:line="294" w:lineRule="auto"/>
        <w:rPr>
          <w:sz w:val="20"/>
          <w:szCs w:val="20"/>
          <w:color w:val="auto"/>
        </w:rPr>
      </w:pPr>
      <w:r>
        <w:rPr>
          <w:rFonts w:ascii="Times New Roman" w:cs="Times New Roman" w:eastAsia="Times New Roman" w:hAnsi="Times New Roman"/>
          <w:sz w:val="17"/>
          <w:szCs w:val="17"/>
          <w:color w:val="auto"/>
        </w:rPr>
        <w:t>The rights, preferences and privileges of holders of common stock are subject to, and may be adversely affected by, the rights of holders of shares of any series of preferred stock that we may designate and issue in the future.</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Rights of Repurchase</w:t>
      </w:r>
    </w:p>
    <w:p>
      <w:pPr>
        <w:spacing w:after="0" w:line="121" w:lineRule="exact"/>
        <w:rPr>
          <w:sz w:val="20"/>
          <w:szCs w:val="20"/>
          <w:color w:val="auto"/>
        </w:rPr>
      </w:pPr>
    </w:p>
    <w:p>
      <w:pPr>
        <w:ind w:left="440" w:right="699" w:firstLine="347"/>
        <w:spacing w:after="0" w:line="294" w:lineRule="auto"/>
        <w:rPr>
          <w:sz w:val="20"/>
          <w:szCs w:val="20"/>
          <w:color w:val="auto"/>
        </w:rPr>
      </w:pPr>
      <w:r>
        <w:rPr>
          <w:rFonts w:ascii="Times New Roman" w:cs="Times New Roman" w:eastAsia="Times New Roman" w:hAnsi="Times New Roman"/>
          <w:sz w:val="17"/>
          <w:szCs w:val="17"/>
          <w:color w:val="auto"/>
        </w:rPr>
        <w:t>We currently have no rights to repurchase shares of our common stock, except as described in “-Options and Restricted Stock Units” below.</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Preemptive or Similar Rights</w:t>
      </w:r>
    </w:p>
    <w:p>
      <w:pPr>
        <w:spacing w:after="0" w:line="14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Our common stock is not entitled to preemptive rights and is not subject to redemption.</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127635</wp:posOffset>
            </wp:positionV>
            <wp:extent cx="675640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8">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8" w:name="page29"/>
    <w:bookmarkEnd w:id="28"/>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Options and Restricted Stock Units</w:t>
      </w:r>
    </w:p>
    <w:p>
      <w:pPr>
        <w:spacing w:after="0" w:line="119" w:lineRule="exact"/>
        <w:rPr>
          <w:sz w:val="20"/>
          <w:szCs w:val="20"/>
          <w:color w:val="auto"/>
        </w:rPr>
      </w:pPr>
    </w:p>
    <w:p>
      <w:pPr>
        <w:ind w:left="440" w:right="499" w:firstLine="347"/>
        <w:spacing w:after="0" w:line="265" w:lineRule="auto"/>
        <w:rPr>
          <w:sz w:val="20"/>
          <w:szCs w:val="20"/>
          <w:color w:val="auto"/>
        </w:rPr>
      </w:pPr>
      <w:r>
        <w:rPr>
          <w:rFonts w:ascii="Times New Roman" w:cs="Times New Roman" w:eastAsia="Times New Roman" w:hAnsi="Times New Roman"/>
          <w:sz w:val="17"/>
          <w:szCs w:val="17"/>
          <w:color w:val="auto"/>
        </w:rPr>
        <w:t>As of September 30, 2025, 3,031,595 shares of common stock were issuable upon the exercise of outstanding stock options and 59,850,673 shares of common stock were issuable upon vesting of RSUs. Pursuant to the terms of our standard option agreement, we have a right to repurchase shares of our common stock issued upon the exercise of options granted under the Amended and Restated 2018 Equity Incentive Plan if the holder of such shares ceases providing services for us for any reason.</w:t>
      </w:r>
    </w:p>
    <w:p>
      <w:pPr>
        <w:spacing w:after="0" w:line="3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119" w:lineRule="exact"/>
        <w:rPr>
          <w:sz w:val="20"/>
          <w:szCs w:val="20"/>
          <w:color w:val="auto"/>
        </w:rPr>
      </w:pPr>
    </w:p>
    <w:p>
      <w:pPr>
        <w:ind w:left="440" w:right="439" w:firstLine="347"/>
        <w:spacing w:after="0" w:line="259" w:lineRule="auto"/>
        <w:rPr>
          <w:sz w:val="20"/>
          <w:szCs w:val="20"/>
          <w:color w:val="auto"/>
        </w:rPr>
      </w:pPr>
      <w:r>
        <w:rPr>
          <w:rFonts w:ascii="Times New Roman" w:cs="Times New Roman" w:eastAsia="Times New Roman" w:hAnsi="Times New Roman"/>
          <w:sz w:val="17"/>
          <w:szCs w:val="17"/>
          <w:color w:val="auto"/>
        </w:rPr>
        <w:t>Pursuant to our amended and restated certificate of incorporation, our board of directors has the authority, without further action by the stockholders, to issue shares of preferred stock in one or more series. Our board of directors also has the authority to determine or alter the designation, rights, preferences, privileges and restrictions granted to or imposed upon any unissued series of preferred stock, any or all of which may be greater than the rights of the common stock. Our board of directors, without stockholder approval, may issue preferred stock with voting, conversion or other rights that are superior to the voting and other rights of the holders of common stock. The issuance of preferred stock may have the effect of delaying, deferring or preventing a change of control of Tilray without further action by the stockholders, and may have the effect of delaying or preventing changes in management of Tilray. In addition, the issuance of preferred stock may have the effect of decreasing the market price of the common stock and may adversely affect the voting power of holders of common stock and reduce the likelihood that common stockholders will receive dividend payments and payments upon liquidation.</w:t>
      </w:r>
    </w:p>
    <w:p>
      <w:pPr>
        <w:spacing w:after="0" w:line="79" w:lineRule="exact"/>
        <w:rPr>
          <w:sz w:val="20"/>
          <w:szCs w:val="20"/>
          <w:color w:val="auto"/>
        </w:rPr>
      </w:pPr>
    </w:p>
    <w:p>
      <w:pPr>
        <w:ind w:left="440" w:right="439" w:firstLine="347"/>
        <w:spacing w:after="0" w:line="263" w:lineRule="auto"/>
        <w:rPr>
          <w:sz w:val="20"/>
          <w:szCs w:val="20"/>
          <w:color w:val="auto"/>
        </w:rPr>
      </w:pPr>
      <w:r>
        <w:rPr>
          <w:rFonts w:ascii="Times New Roman" w:cs="Times New Roman" w:eastAsia="Times New Roman" w:hAnsi="Times New Roman"/>
          <w:sz w:val="17"/>
          <w:szCs w:val="17"/>
          <w:color w:val="auto"/>
        </w:rPr>
        <w:t>Our board of directors will determine the rights, preferences, privileges and restrictions of the preferred stock of each series that we sell under this prospectus and applicable prospectus supplements in the certificate of designation relating to that series. We will file as an exhibit to the registration statement of which this prospectus is a part, or will incorporate by reference from reports that we file with the SEC, the form of the certificate of designation that describes the terms of the series of preferred stock that we are offering before the issuance of the related series of preferred stock. This description will include:</w:t>
      </w:r>
    </w:p>
    <w:p>
      <w:pPr>
        <w:spacing w:after="0" w:line="71" w:lineRule="exact"/>
        <w:rPr>
          <w:sz w:val="20"/>
          <w:szCs w:val="20"/>
          <w:color w:val="auto"/>
        </w:rPr>
      </w:pPr>
    </w:p>
    <w:p>
      <w:pPr>
        <w:ind w:left="1120" w:hanging="337"/>
        <w:spacing w:after="0"/>
        <w:tabs>
          <w:tab w:leader="none" w:pos="11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title and stated value;</w:t>
      </w:r>
    </w:p>
    <w:p>
      <w:pPr>
        <w:spacing w:after="0" w:line="117"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we are offering;</w:t>
      </w:r>
    </w:p>
    <w:p>
      <w:pPr>
        <w:spacing w:after="0" w:line="117"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liquidation preference per share;</w:t>
      </w:r>
    </w:p>
    <w:p>
      <w:pPr>
        <w:spacing w:after="0" w:line="117"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 price per share;</w:t>
      </w:r>
    </w:p>
    <w:p>
      <w:pPr>
        <w:spacing w:after="0" w:line="117"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dividend rate per share, dividend period and payment dates and method of calculation for dividends;</w:t>
      </w:r>
    </w:p>
    <w:p>
      <w:pPr>
        <w:spacing w:after="0" w:line="117" w:lineRule="exact"/>
        <w:rPr>
          <w:rFonts w:ascii="Times New Roman" w:cs="Times New Roman" w:eastAsia="Times New Roman" w:hAnsi="Times New Roman"/>
          <w:sz w:val="17"/>
          <w:szCs w:val="17"/>
          <w:color w:val="auto"/>
        </w:rPr>
      </w:pPr>
    </w:p>
    <w:p>
      <w:pPr>
        <w:ind w:left="1120" w:right="459" w:hanging="337"/>
        <w:spacing w:after="0" w:line="294" w:lineRule="auto"/>
        <w:tabs>
          <w:tab w:leader="none" w:pos="11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dividends will be cumulative or non-cumulative and, if cumulative, the date from which dividends will accumulate;</w:t>
      </w:r>
    </w:p>
    <w:p>
      <w:pPr>
        <w:spacing w:after="0" w:line="42"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right, if any, to defer payment of dividends and the maximum length of any such deferral period;</w:t>
      </w:r>
    </w:p>
    <w:p>
      <w:pPr>
        <w:spacing w:after="0" w:line="117"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procedures for any auction and remarketing, if any;</w:t>
      </w:r>
    </w:p>
    <w:p>
      <w:pPr>
        <w:spacing w:after="0" w:line="117"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for a sinking fund, if any;</w:t>
      </w:r>
    </w:p>
    <w:p>
      <w:pPr>
        <w:spacing w:after="0" w:line="117" w:lineRule="exact"/>
        <w:rPr>
          <w:rFonts w:ascii="Times New Roman" w:cs="Times New Roman" w:eastAsia="Times New Roman" w:hAnsi="Times New Roman"/>
          <w:sz w:val="17"/>
          <w:szCs w:val="17"/>
          <w:color w:val="auto"/>
        </w:rPr>
      </w:pPr>
    </w:p>
    <w:p>
      <w:pPr>
        <w:ind w:left="1120" w:right="679" w:hanging="337"/>
        <w:spacing w:after="0" w:line="294" w:lineRule="auto"/>
        <w:tabs>
          <w:tab w:leader="none" w:pos="11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for redemption or repurchase, if applicable, and any restrictions on our ability to exercise those redemption and repurchase rights;</w:t>
      </w:r>
    </w:p>
    <w:p>
      <w:pPr>
        <w:spacing w:after="0" w:line="42"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listing of the preferred stock on any securities exchange or market;</w:t>
      </w:r>
    </w:p>
    <w:p>
      <w:pPr>
        <w:spacing w:after="0" w:line="117" w:lineRule="exact"/>
        <w:rPr>
          <w:rFonts w:ascii="Times New Roman" w:cs="Times New Roman" w:eastAsia="Times New Roman" w:hAnsi="Times New Roman"/>
          <w:sz w:val="17"/>
          <w:szCs w:val="17"/>
          <w:color w:val="auto"/>
        </w:rPr>
      </w:pPr>
    </w:p>
    <w:p>
      <w:pPr>
        <w:ind w:left="1120" w:right="979" w:hanging="337"/>
        <w:spacing w:after="0" w:line="275" w:lineRule="auto"/>
        <w:tabs>
          <w:tab w:leader="none" w:pos="11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preferred stock will be convertible into our common stock or other securities of ours, including warrants, and, if applicable, the conversion period, the conversion price, or how it will be calculated, and under what circumstances it may be adjusted;</w:t>
      </w:r>
    </w:p>
    <w:p>
      <w:pPr>
        <w:spacing w:after="0" w:line="58" w:lineRule="exact"/>
        <w:rPr>
          <w:rFonts w:ascii="Times New Roman" w:cs="Times New Roman" w:eastAsia="Times New Roman" w:hAnsi="Times New Roman"/>
          <w:sz w:val="17"/>
          <w:szCs w:val="17"/>
          <w:color w:val="auto"/>
        </w:rPr>
      </w:pPr>
    </w:p>
    <w:p>
      <w:pPr>
        <w:ind w:left="1120" w:right="539" w:hanging="337"/>
        <w:spacing w:after="0" w:line="294" w:lineRule="auto"/>
        <w:tabs>
          <w:tab w:leader="none" w:pos="11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preferred stock will be exchangeable for debt securities, and, if applicable, the exchange period, the exchange price, or how it will be calculated, and under what circumstances it may be adjusted;</w:t>
      </w:r>
    </w:p>
    <w:p>
      <w:pPr>
        <w:spacing w:after="0" w:line="42"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rights, if any, of the preferred stock;</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127635</wp:posOffset>
            </wp:positionV>
            <wp:extent cx="675640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9" w:name="page30"/>
    <w:bookmarkEnd w:id="29"/>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ind w:left="1120" w:hanging="337"/>
        <w:spacing w:after="0"/>
        <w:tabs>
          <w:tab w:leader="none" w:pos="11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preemption rights, if any;</w:t>
      </w:r>
    </w:p>
    <w:p>
      <w:pPr>
        <w:spacing w:after="0" w:line="117"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transfer, sale or other assignment, if any;</w:t>
      </w:r>
    </w:p>
    <w:p>
      <w:pPr>
        <w:spacing w:after="0" w:line="117" w:lineRule="exact"/>
        <w:rPr>
          <w:rFonts w:ascii="Times New Roman" w:cs="Times New Roman" w:eastAsia="Times New Roman" w:hAnsi="Times New Roman"/>
          <w:sz w:val="17"/>
          <w:szCs w:val="17"/>
          <w:color w:val="auto"/>
        </w:rPr>
      </w:pPr>
    </w:p>
    <w:p>
      <w:pPr>
        <w:ind w:left="1120" w:right="639" w:hanging="337"/>
        <w:spacing w:after="0" w:line="294" w:lineRule="auto"/>
        <w:tabs>
          <w:tab w:leader="none" w:pos="11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discussion of any material or special U.S. federal income tax considerations applicable to the preferred stock;</w:t>
      </w:r>
    </w:p>
    <w:p>
      <w:pPr>
        <w:spacing w:after="0" w:line="42" w:lineRule="exact"/>
        <w:rPr>
          <w:rFonts w:ascii="Times New Roman" w:cs="Times New Roman" w:eastAsia="Times New Roman" w:hAnsi="Times New Roman"/>
          <w:sz w:val="17"/>
          <w:szCs w:val="17"/>
          <w:color w:val="auto"/>
        </w:rPr>
      </w:pPr>
    </w:p>
    <w:p>
      <w:pPr>
        <w:ind w:left="1120" w:right="599" w:hanging="337"/>
        <w:spacing w:after="0" w:line="294" w:lineRule="auto"/>
        <w:tabs>
          <w:tab w:leader="none" w:pos="11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relative ranking and preferences of the preferred stock as to dividend rights and rights if we liquidate, dissolve or wind up our affairs;</w:t>
      </w:r>
    </w:p>
    <w:p>
      <w:pPr>
        <w:spacing w:after="0" w:line="42" w:lineRule="exact"/>
        <w:rPr>
          <w:rFonts w:ascii="Times New Roman" w:cs="Times New Roman" w:eastAsia="Times New Roman" w:hAnsi="Times New Roman"/>
          <w:sz w:val="17"/>
          <w:szCs w:val="17"/>
          <w:color w:val="auto"/>
        </w:rPr>
      </w:pPr>
    </w:p>
    <w:p>
      <w:pPr>
        <w:jc w:val="both"/>
        <w:ind w:left="1120" w:right="579" w:hanging="337"/>
        <w:spacing w:after="0" w:line="275" w:lineRule="auto"/>
        <w:tabs>
          <w:tab w:leader="none" w:pos="11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limitations on issuances of any class or series of preferred stock ranking senior to or on a parity with the series of preferred stock being issued as to dividend rights and rights if we liquidate, dissolve or wind up our affairs; and</w:t>
      </w:r>
    </w:p>
    <w:p>
      <w:pPr>
        <w:spacing w:after="0" w:line="58" w:lineRule="exact"/>
        <w:rPr>
          <w:rFonts w:ascii="Times New Roman" w:cs="Times New Roman" w:eastAsia="Times New Roman" w:hAnsi="Times New Roman"/>
          <w:sz w:val="17"/>
          <w:szCs w:val="17"/>
          <w:color w:val="auto"/>
        </w:rPr>
      </w:pPr>
    </w:p>
    <w:p>
      <w:pPr>
        <w:ind w:left="780" w:right="479" w:firstLine="3"/>
        <w:spacing w:after="0" w:line="384" w:lineRule="auto"/>
        <w:tabs>
          <w:tab w:leader="none" w:pos="1119"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specific terms, rights, preferences, privileges, qualifications or restrictions of the preferred stock. When we issue shares of preferred stock under this prospectus, the shares will be fully paid and nonassessable.</w:t>
      </w:r>
    </w:p>
    <w:p>
      <w:pPr>
        <w:ind w:left="440" w:right="979" w:firstLine="347"/>
        <w:spacing w:after="0" w:line="294" w:lineRule="auto"/>
        <w:rPr>
          <w:sz w:val="20"/>
          <w:szCs w:val="20"/>
          <w:color w:val="auto"/>
        </w:rPr>
      </w:pPr>
      <w:r>
        <w:rPr>
          <w:rFonts w:ascii="Times New Roman" w:cs="Times New Roman" w:eastAsia="Times New Roman" w:hAnsi="Times New Roman"/>
          <w:sz w:val="17"/>
          <w:szCs w:val="17"/>
          <w:color w:val="auto"/>
        </w:rPr>
        <w:t>Unless we specify otherwise in the applicable prospectus supplement, the preferred stock will rank, with respect to dividends and upon our liquidation, dissolution or winding up:</w:t>
      </w:r>
    </w:p>
    <w:p>
      <w:pPr>
        <w:spacing w:after="0" w:line="43" w:lineRule="exact"/>
        <w:rPr>
          <w:sz w:val="20"/>
          <w:szCs w:val="20"/>
          <w:color w:val="auto"/>
        </w:rPr>
      </w:pPr>
    </w:p>
    <w:p>
      <w:pPr>
        <w:ind w:left="1120" w:right="599" w:hanging="337"/>
        <w:spacing w:after="0" w:line="294" w:lineRule="auto"/>
        <w:tabs>
          <w:tab w:leader="none" w:pos="11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senior to all classes or series of our common stock and to all of our equity securities ranking junior to the preferred stock;</w:t>
      </w:r>
    </w:p>
    <w:p>
      <w:pPr>
        <w:spacing w:after="0" w:line="42" w:lineRule="exact"/>
        <w:rPr>
          <w:rFonts w:ascii="Times New Roman" w:cs="Times New Roman" w:eastAsia="Times New Roman" w:hAnsi="Times New Roman"/>
          <w:sz w:val="17"/>
          <w:szCs w:val="17"/>
          <w:color w:val="auto"/>
        </w:rPr>
      </w:pPr>
    </w:p>
    <w:p>
      <w:pPr>
        <w:ind w:left="1120" w:right="1139" w:hanging="337"/>
        <w:spacing w:after="0" w:line="294" w:lineRule="auto"/>
        <w:tabs>
          <w:tab w:leader="none" w:pos="11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 parity with all of our equity securities the terms of which specifically provide that the equity securities rank on a parity with the preferred stock; and</w:t>
      </w:r>
    </w:p>
    <w:p>
      <w:pPr>
        <w:spacing w:after="0" w:line="42" w:lineRule="exact"/>
        <w:rPr>
          <w:rFonts w:ascii="Times New Roman" w:cs="Times New Roman" w:eastAsia="Times New Roman" w:hAnsi="Times New Roman"/>
          <w:sz w:val="17"/>
          <w:szCs w:val="17"/>
          <w:color w:val="auto"/>
        </w:rPr>
      </w:pPr>
    </w:p>
    <w:p>
      <w:pPr>
        <w:ind w:left="1120" w:right="599" w:hanging="337"/>
        <w:spacing w:after="0" w:line="294" w:lineRule="auto"/>
        <w:tabs>
          <w:tab w:leader="none" w:pos="11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junior to all of our equity securities the terms of which specifically provide that the equity securities rank senior to the preferred stock.</w:t>
      </w:r>
    </w:p>
    <w:p>
      <w:pPr>
        <w:spacing w:after="0" w:line="8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The term “equity securities” does not include convertible debt securities.</w:t>
      </w:r>
    </w:p>
    <w:p>
      <w:pPr>
        <w:spacing w:after="0" w:line="117" w:lineRule="exact"/>
        <w:rPr>
          <w:sz w:val="20"/>
          <w:szCs w:val="20"/>
          <w:color w:val="auto"/>
        </w:rPr>
      </w:pPr>
    </w:p>
    <w:p>
      <w:pPr>
        <w:jc w:val="both"/>
        <w:ind w:left="440" w:right="499" w:firstLine="347"/>
        <w:spacing w:after="0" w:line="268" w:lineRule="auto"/>
        <w:rPr>
          <w:sz w:val="20"/>
          <w:szCs w:val="20"/>
          <w:color w:val="auto"/>
        </w:rPr>
      </w:pPr>
      <w:r>
        <w:rPr>
          <w:rFonts w:ascii="Times New Roman" w:cs="Times New Roman" w:eastAsia="Times New Roman" w:hAnsi="Times New Roman"/>
          <w:sz w:val="17"/>
          <w:szCs w:val="17"/>
          <w:color w:val="auto"/>
        </w:rPr>
        <w:t>The General Corporation Law of the State of Delaware, the state of our incorporation, provides that the holders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w:t>
      </w:r>
    </w:p>
    <w:p>
      <w:pPr>
        <w:spacing w:after="0" w:line="3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Anti-Takeover Provisions</w:t>
      </w:r>
    </w:p>
    <w:p>
      <w:pPr>
        <w:spacing w:after="0" w:line="1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Amended and Restated Certificate of Incorporation and Amended and Restated Bylaws</w:t>
      </w:r>
    </w:p>
    <w:p>
      <w:pPr>
        <w:spacing w:after="0" w:line="12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Among other things, our amended and restated certificate of incorporation and amended and restated bylaws:</w:t>
      </w:r>
    </w:p>
    <w:p>
      <w:pPr>
        <w:spacing w:after="0" w:line="117" w:lineRule="exact"/>
        <w:rPr>
          <w:sz w:val="20"/>
          <w:szCs w:val="20"/>
          <w:color w:val="auto"/>
        </w:rPr>
      </w:pPr>
    </w:p>
    <w:p>
      <w:pPr>
        <w:ind w:left="1120" w:right="739" w:hanging="337"/>
        <w:spacing w:after="0" w:line="275" w:lineRule="auto"/>
        <w:tabs>
          <w:tab w:leader="none" w:pos="11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permits our board of directors to issue up to 10,000,000 shares of preferred stock, with any rights, preferences and privileges as they may designate, including the right to approve an acquisition or other change of control;</w:t>
      </w:r>
    </w:p>
    <w:p>
      <w:pPr>
        <w:spacing w:after="0" w:line="58" w:lineRule="exact"/>
        <w:rPr>
          <w:rFonts w:ascii="Times New Roman" w:cs="Times New Roman" w:eastAsia="Times New Roman" w:hAnsi="Times New Roman"/>
          <w:sz w:val="17"/>
          <w:szCs w:val="17"/>
          <w:color w:val="auto"/>
        </w:rPr>
      </w:pPr>
    </w:p>
    <w:p>
      <w:pPr>
        <w:ind w:left="1120" w:right="979" w:hanging="337"/>
        <w:spacing w:after="0" w:line="294" w:lineRule="auto"/>
        <w:tabs>
          <w:tab w:leader="none" w:pos="11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provides that the authorized number of directors may be changed only by resolution of our board of directors;</w:t>
      </w:r>
    </w:p>
    <w:p>
      <w:pPr>
        <w:spacing w:after="0" w:line="42" w:lineRule="exact"/>
        <w:rPr>
          <w:rFonts w:ascii="Times New Roman" w:cs="Times New Roman" w:eastAsia="Times New Roman" w:hAnsi="Times New Roman"/>
          <w:sz w:val="17"/>
          <w:szCs w:val="17"/>
          <w:color w:val="auto"/>
        </w:rPr>
      </w:pPr>
    </w:p>
    <w:p>
      <w:pPr>
        <w:ind w:left="1120" w:right="479" w:hanging="337"/>
        <w:spacing w:after="0" w:line="268" w:lineRule="auto"/>
        <w:tabs>
          <w:tab w:leader="none" w:pos="11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provides that, subject to the rights of any series of preferred stock to elect directors, directors may be removed with or without cause, by the holders of a majority of our then-outstanding shares of capital stock entitled to vote generally at an election of directors by the holders of at least 66 2/3% of all of our then-outstanding shares of the capital stock entitled to vote generally at an election of directors;</w:t>
      </w:r>
    </w:p>
    <w:p>
      <w:pPr>
        <w:spacing w:after="0" w:line="65" w:lineRule="exact"/>
        <w:rPr>
          <w:rFonts w:ascii="Times New Roman" w:cs="Times New Roman" w:eastAsia="Times New Roman" w:hAnsi="Times New Roman"/>
          <w:sz w:val="17"/>
          <w:szCs w:val="17"/>
          <w:color w:val="auto"/>
        </w:rPr>
      </w:pPr>
    </w:p>
    <w:p>
      <w:pPr>
        <w:jc w:val="both"/>
        <w:ind w:left="1120" w:right="659" w:hanging="337"/>
        <w:spacing w:after="0" w:line="294" w:lineRule="auto"/>
        <w:tabs>
          <w:tab w:leader="none" w:pos="11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provides that all vacancies, including newly created directorships, may, except as otherwise required by law, be filled by the affirmative vote of a majority of directors then in office, even if less than a quorum;</w:t>
      </w:r>
    </w:p>
    <w:p>
      <w:pPr>
        <w:spacing w:after="0" w:line="42" w:lineRule="exact"/>
        <w:rPr>
          <w:rFonts w:ascii="Times New Roman" w:cs="Times New Roman" w:eastAsia="Times New Roman" w:hAnsi="Times New Roman"/>
          <w:sz w:val="17"/>
          <w:szCs w:val="17"/>
          <w:color w:val="auto"/>
        </w:rPr>
      </w:pPr>
    </w:p>
    <w:p>
      <w:pPr>
        <w:jc w:val="both"/>
        <w:ind w:left="1120" w:right="679" w:hanging="337"/>
        <w:spacing w:after="0" w:line="275" w:lineRule="auto"/>
        <w:tabs>
          <w:tab w:leader="none" w:pos="11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provides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127635</wp:posOffset>
            </wp:positionV>
            <wp:extent cx="675640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0">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30" w:name="page31"/>
    <w:bookmarkEnd w:id="30"/>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jc w:val="both"/>
        <w:ind w:left="1120" w:right="939" w:hanging="337"/>
        <w:spacing w:after="0" w:line="275" w:lineRule="auto"/>
        <w:tabs>
          <w:tab w:leader="none" w:pos="11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provides that special meetings of our stockholders may be called by the chairperson of our board of directors, our chief executive officer, by our board of directors pursuant to a resolution adopted by a majority of the total number of authorized directors;</w:t>
      </w:r>
    </w:p>
    <w:p>
      <w:pPr>
        <w:spacing w:after="0" w:line="58" w:lineRule="exact"/>
        <w:rPr>
          <w:rFonts w:ascii="Times New Roman" w:cs="Times New Roman" w:eastAsia="Times New Roman" w:hAnsi="Times New Roman"/>
          <w:sz w:val="17"/>
          <w:szCs w:val="17"/>
          <w:color w:val="auto"/>
        </w:rPr>
      </w:pPr>
    </w:p>
    <w:p>
      <w:pPr>
        <w:jc w:val="both"/>
        <w:ind w:left="1120" w:right="539" w:hanging="337"/>
        <w:spacing w:after="0" w:line="275" w:lineRule="auto"/>
        <w:tabs>
          <w:tab w:leader="none" w:pos="11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provides that our board of directors will be divided into three classes of directors, with the classes to be as nearly equal as possible and with the directors serving three-year terms, therefore making it more difficult for stockholders to change the composition of our board of directors; and</w:t>
      </w:r>
    </w:p>
    <w:p>
      <w:pPr>
        <w:spacing w:after="0" w:line="58" w:lineRule="exact"/>
        <w:rPr>
          <w:rFonts w:ascii="Times New Roman" w:cs="Times New Roman" w:eastAsia="Times New Roman" w:hAnsi="Times New Roman"/>
          <w:sz w:val="17"/>
          <w:szCs w:val="17"/>
          <w:color w:val="auto"/>
        </w:rPr>
      </w:pPr>
    </w:p>
    <w:p>
      <w:pPr>
        <w:ind w:left="1120" w:right="519" w:hanging="337"/>
        <w:spacing w:after="0" w:line="265" w:lineRule="auto"/>
        <w:tabs>
          <w:tab w:leader="none" w:pos="11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does not provide for cumulative voting rights, unless required by law, therefore allowing the holders of a majority of the shares of common stock entitled to vote in any election of directors to elect all of the directors standing for election, if they should so choose. The amendment of any of these provisions would require approval by the holders of at least 66 2/3% of all of our then-outstanding capital stock entitled to vote generally in the election of directors.</w:t>
      </w:r>
    </w:p>
    <w:p>
      <w:pPr>
        <w:spacing w:after="0" w:line="68" w:lineRule="exact"/>
        <w:rPr>
          <w:sz w:val="20"/>
          <w:szCs w:val="20"/>
          <w:color w:val="auto"/>
        </w:rPr>
      </w:pPr>
    </w:p>
    <w:p>
      <w:pPr>
        <w:jc w:val="both"/>
        <w:ind w:left="440" w:right="619" w:firstLine="347"/>
        <w:spacing w:after="0" w:line="263" w:lineRule="auto"/>
        <w:rPr>
          <w:sz w:val="20"/>
          <w:szCs w:val="20"/>
          <w:color w:val="auto"/>
        </w:rPr>
      </w:pPr>
      <w:r>
        <w:rPr>
          <w:rFonts w:ascii="Times New Roman" w:cs="Times New Roman" w:eastAsia="Times New Roman" w:hAnsi="Times New Roman"/>
          <w:sz w:val="17"/>
          <w:szCs w:val="17"/>
          <w:color w:val="auto"/>
        </w:rPr>
        <w:t>The combination of these provisions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71" w:lineRule="exact"/>
        <w:rPr>
          <w:sz w:val="20"/>
          <w:szCs w:val="20"/>
          <w:color w:val="auto"/>
        </w:rPr>
      </w:pPr>
    </w:p>
    <w:p>
      <w:pPr>
        <w:ind w:left="440" w:right="599" w:firstLine="347"/>
        <w:spacing w:after="0" w:line="263" w:lineRule="auto"/>
        <w:rPr>
          <w:sz w:val="20"/>
          <w:szCs w:val="20"/>
          <w:color w:val="auto"/>
        </w:rPr>
      </w:pPr>
      <w:r>
        <w:rPr>
          <w:rFonts w:ascii="Times New Roman" w:cs="Times New Roman" w:eastAsia="Times New Roman" w:hAnsi="Times New Roman"/>
          <w:sz w:val="17"/>
          <w:szCs w:val="17"/>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w:t>
      </w:r>
    </w:p>
    <w:p>
      <w:pPr>
        <w:spacing w:after="0" w:line="3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Choice of Forum</w:t>
      </w:r>
    </w:p>
    <w:p>
      <w:pPr>
        <w:spacing w:after="0" w:line="119" w:lineRule="exact"/>
        <w:rPr>
          <w:sz w:val="20"/>
          <w:szCs w:val="20"/>
          <w:color w:val="auto"/>
        </w:rPr>
      </w:pPr>
    </w:p>
    <w:p>
      <w:pPr>
        <w:ind w:left="440" w:right="459" w:firstLine="347"/>
        <w:spacing w:after="0" w:line="260"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the Court of Chancery of the State of Delaware will be the exclusive forum for: (i) any derivative action or proceeding brought on our behalf; (ii) any action asserting a breach of fiduciary duty; (iii) any action asserting a claim against us arising under the Delaware General Corporation Law; (iv) any action regarding our amended and restated certificate of incorporation or our amended and restated bylaws or (v) any action asserting a claim against us that is governed by the internal affairs doctrine. Our amended and restated certificate of incorporation further provides that the federal district courts of the United States of America will be the exclusive forum for resolving any complaint asserting a cause of action arising under the Securities Act. If a court were to find the exclusive-forum provision in our amended and restated certificate of incorporation to be inapplicable or unenforceable in an action, we may incur additional costs associated with resolving the dispute in other jurisdictions.</w:t>
      </w:r>
    </w:p>
    <w:p>
      <w:pPr>
        <w:spacing w:after="0" w:line="3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119" w:lineRule="exact"/>
        <w:rPr>
          <w:sz w:val="20"/>
          <w:szCs w:val="20"/>
          <w:color w:val="auto"/>
        </w:rPr>
      </w:pPr>
    </w:p>
    <w:p>
      <w:pPr>
        <w:jc w:val="both"/>
        <w:ind w:left="440" w:right="659" w:firstLine="347"/>
        <w:spacing w:after="0" w:line="275" w:lineRule="auto"/>
        <w:rPr>
          <w:sz w:val="20"/>
          <w:szCs w:val="20"/>
          <w:color w:val="auto"/>
        </w:rPr>
      </w:pPr>
      <w:r>
        <w:rPr>
          <w:rFonts w:ascii="Times New Roman" w:cs="Times New Roman" w:eastAsia="Times New Roman" w:hAnsi="Times New Roman"/>
          <w:sz w:val="17"/>
          <w:szCs w:val="17"/>
          <w:color w:val="auto"/>
        </w:rPr>
        <w:t>The transfer agent and registrar for our common stock is Pacific Stock Transfer Company. The transfer agent and registrar’s address is 6725 Via Austi Parkway, Ste. 300, Las Vegas, NV, 89119 and its phone number is (800) 785-7782.</w:t>
      </w:r>
    </w:p>
    <w:p>
      <w:pPr>
        <w:spacing w:after="0" w:line="3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Listing</w:t>
      </w:r>
    </w:p>
    <w:p>
      <w:pPr>
        <w:spacing w:after="0" w:line="14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Our common stock is listed on the Nasdaq Global Select Market under the symbol “TLRY.”</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135890</wp:posOffset>
            </wp:positionV>
            <wp:extent cx="675640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31" w:name="page32"/>
    <w:bookmarkEnd w:id="31"/>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DEBT SECURITIES</w:t>
      </w:r>
    </w:p>
    <w:p>
      <w:pPr>
        <w:spacing w:after="0" w:line="119" w:lineRule="exact"/>
        <w:rPr>
          <w:sz w:val="20"/>
          <w:szCs w:val="20"/>
          <w:color w:val="auto"/>
        </w:rPr>
      </w:pPr>
    </w:p>
    <w:p>
      <w:pPr>
        <w:ind w:left="440" w:right="459" w:firstLine="347"/>
        <w:spacing w:after="0" w:line="262" w:lineRule="auto"/>
        <w:rPr>
          <w:sz w:val="20"/>
          <w:szCs w:val="20"/>
          <w:color w:val="auto"/>
        </w:rPr>
      </w:pPr>
      <w:r>
        <w:rPr>
          <w:rFonts w:ascii="Times New Roman" w:cs="Times New Roman" w:eastAsia="Times New Roman" w:hAnsi="Times New Roman"/>
          <w:sz w:val="17"/>
          <w:szCs w:val="17"/>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or selling securityholders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71" w:lineRule="exact"/>
        <w:rPr>
          <w:sz w:val="20"/>
          <w:szCs w:val="20"/>
          <w:color w:val="auto"/>
        </w:rPr>
      </w:pPr>
    </w:p>
    <w:p>
      <w:pPr>
        <w:ind w:left="440" w:right="479" w:firstLine="347"/>
        <w:spacing w:after="0" w:line="263" w:lineRule="auto"/>
        <w:rPr>
          <w:sz w:val="20"/>
          <w:szCs w:val="20"/>
          <w:color w:val="auto"/>
        </w:rPr>
      </w:pPr>
      <w:r>
        <w:rPr>
          <w:rFonts w:ascii="Times New Roman" w:cs="Times New Roman" w:eastAsia="Times New Roman" w:hAnsi="Times New Roman"/>
          <w:sz w:val="17"/>
          <w:szCs w:val="17"/>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71" w:lineRule="exact"/>
        <w:rPr>
          <w:sz w:val="20"/>
          <w:szCs w:val="20"/>
          <w:color w:val="auto"/>
        </w:rPr>
      </w:pPr>
    </w:p>
    <w:p>
      <w:pPr>
        <w:ind w:left="440" w:right="559" w:firstLine="347"/>
        <w:spacing w:after="0" w:line="265" w:lineRule="auto"/>
        <w:rPr>
          <w:sz w:val="20"/>
          <w:szCs w:val="20"/>
          <w:color w:val="auto"/>
        </w:rPr>
      </w:pPr>
      <w:r>
        <w:rPr>
          <w:rFonts w:ascii="Times New Roman" w:cs="Times New Roman" w:eastAsia="Times New Roman" w:hAnsi="Times New Roman"/>
          <w:sz w:val="17"/>
          <w:szCs w:val="17"/>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or selling securityholders may offer under this prospectus, as well as the complete indenture that contains the terms of the debt securities.</w:t>
      </w:r>
    </w:p>
    <w:p>
      <w:pPr>
        <w:spacing w:after="0" w:line="3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19" w:lineRule="exact"/>
        <w:rPr>
          <w:sz w:val="20"/>
          <w:szCs w:val="20"/>
          <w:color w:val="auto"/>
        </w:rPr>
      </w:pPr>
    </w:p>
    <w:p>
      <w:pPr>
        <w:ind w:left="440" w:right="459" w:firstLine="347"/>
        <w:spacing w:after="0" w:line="264" w:lineRule="auto"/>
        <w:rPr>
          <w:sz w:val="20"/>
          <w:szCs w:val="20"/>
          <w:color w:val="auto"/>
        </w:rPr>
      </w:pPr>
      <w:r>
        <w:rPr>
          <w:rFonts w:ascii="Times New Roman" w:cs="Times New Roman" w:eastAsia="Times New Roman" w:hAnsi="Times New Roman"/>
          <w:sz w:val="17"/>
          <w:szCs w:val="17"/>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281" w:lineRule="exact"/>
        <w:rPr>
          <w:sz w:val="20"/>
          <w:szCs w:val="20"/>
          <w:color w:val="auto"/>
        </w:rPr>
      </w:pPr>
    </w:p>
    <w:p>
      <w:pPr>
        <w:ind w:left="440" w:right="439" w:firstLine="347"/>
        <w:spacing w:after="0" w:line="263" w:lineRule="auto"/>
        <w:rPr>
          <w:sz w:val="20"/>
          <w:szCs w:val="20"/>
          <w:color w:val="auto"/>
        </w:rPr>
      </w:pPr>
      <w:r>
        <w:rPr>
          <w:rFonts w:ascii="Times New Roman" w:cs="Times New Roman" w:eastAsia="Times New Roman" w:hAnsi="Times New Roman"/>
          <w:sz w:val="17"/>
          <w:szCs w:val="17"/>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71" w:lineRule="exact"/>
        <w:rPr>
          <w:sz w:val="20"/>
          <w:szCs w:val="20"/>
          <w:color w:val="auto"/>
        </w:rPr>
      </w:pPr>
    </w:p>
    <w:p>
      <w:pPr>
        <w:ind w:left="440" w:right="1019" w:firstLine="347"/>
        <w:spacing w:after="0" w:line="294" w:lineRule="auto"/>
        <w:rPr>
          <w:sz w:val="20"/>
          <w:szCs w:val="20"/>
          <w:color w:val="auto"/>
        </w:rPr>
      </w:pPr>
      <w:r>
        <w:rPr>
          <w:rFonts w:ascii="Times New Roman" w:cs="Times New Roman" w:eastAsia="Times New Roman" w:hAnsi="Times New Roman"/>
          <w:sz w:val="17"/>
          <w:szCs w:val="17"/>
          <w:color w:val="auto"/>
        </w:rPr>
        <w:t>We will describe in the applicable prospectus supplement the terms of the series of debt securities being offered, including:</w:t>
      </w:r>
    </w:p>
    <w:p>
      <w:pPr>
        <w:spacing w:after="0" w:line="17" w:lineRule="exact"/>
        <w:rPr>
          <w:sz w:val="20"/>
          <w:szCs w:val="20"/>
          <w:color w:val="auto"/>
        </w:rPr>
      </w:pPr>
    </w:p>
    <w:p>
      <w:pPr>
        <w:ind w:left="1120" w:hanging="337"/>
        <w:spacing w:after="0"/>
        <w:tabs>
          <w:tab w:leader="none" w:pos="11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title of the series of debt securities;</w:t>
      </w:r>
    </w:p>
    <w:p>
      <w:pPr>
        <w:spacing w:after="0" w:line="104"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limit upon the aggregate principal amount that may be issued;</w:t>
      </w:r>
    </w:p>
    <w:p>
      <w:pPr>
        <w:spacing w:after="0" w:line="104"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maturity date or dates;</w:t>
      </w:r>
    </w:p>
    <w:p>
      <w:pPr>
        <w:spacing w:after="0" w:line="91"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form of the debt securities of the series;</w:t>
      </w:r>
    </w:p>
    <w:p>
      <w:pPr>
        <w:spacing w:after="0" w:line="104"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applicability of any guarantees;</w:t>
      </w:r>
    </w:p>
    <w:p>
      <w:pPr>
        <w:spacing w:after="0" w:line="104"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or not the debt securities will be secured or unsecured, and the terms of any secured debt;</w:t>
      </w:r>
    </w:p>
    <w:p>
      <w:pPr>
        <w:spacing w:after="0" w:line="91" w:lineRule="exact"/>
        <w:rPr>
          <w:rFonts w:ascii="Times New Roman" w:cs="Times New Roman" w:eastAsia="Times New Roman" w:hAnsi="Times New Roman"/>
          <w:sz w:val="17"/>
          <w:szCs w:val="17"/>
          <w:color w:val="auto"/>
        </w:rPr>
      </w:pPr>
    </w:p>
    <w:p>
      <w:pPr>
        <w:ind w:left="1120" w:right="1079" w:hanging="337"/>
        <w:spacing w:after="0" w:line="294" w:lineRule="auto"/>
        <w:tabs>
          <w:tab w:leader="none" w:pos="11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debt securities rank as senior debt, senior subordinated debt, subordinated debt or any combination thereof, and the terms of any subordination;</w:t>
      </w:r>
    </w:p>
    <w:p>
      <w:pPr>
        <w:spacing w:after="0" w:line="29" w:lineRule="exact"/>
        <w:rPr>
          <w:rFonts w:ascii="Times New Roman" w:cs="Times New Roman" w:eastAsia="Times New Roman" w:hAnsi="Times New Roman"/>
          <w:sz w:val="17"/>
          <w:szCs w:val="17"/>
          <w:color w:val="auto"/>
        </w:rPr>
      </w:pPr>
    </w:p>
    <w:p>
      <w:pPr>
        <w:ind w:left="1120" w:right="859" w:hanging="337"/>
        <w:spacing w:after="0" w:line="265" w:lineRule="auto"/>
        <w:tabs>
          <w:tab w:leader="none" w:pos="11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127635</wp:posOffset>
            </wp:positionV>
            <wp:extent cx="6756400"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32" w:name="page33"/>
    <w:bookmarkEnd w:id="32"/>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ind w:left="1120" w:right="499" w:hanging="337"/>
        <w:spacing w:after="0" w:line="275" w:lineRule="auto"/>
        <w:tabs>
          <w:tab w:leader="none" w:pos="11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45"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right, if any, to defer payment of interest and the maximum length of any such deferral period;</w:t>
      </w:r>
    </w:p>
    <w:p>
      <w:pPr>
        <w:spacing w:after="0" w:line="104" w:lineRule="exact"/>
        <w:rPr>
          <w:rFonts w:ascii="Times New Roman" w:cs="Times New Roman" w:eastAsia="Times New Roman" w:hAnsi="Times New Roman"/>
          <w:sz w:val="17"/>
          <w:szCs w:val="17"/>
          <w:color w:val="auto"/>
        </w:rPr>
      </w:pPr>
    </w:p>
    <w:p>
      <w:pPr>
        <w:ind w:left="1120" w:right="499" w:hanging="337"/>
        <w:spacing w:after="0" w:line="275" w:lineRule="auto"/>
        <w:tabs>
          <w:tab w:leader="none" w:pos="11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32" w:lineRule="exact"/>
        <w:rPr>
          <w:rFonts w:ascii="Times New Roman" w:cs="Times New Roman" w:eastAsia="Times New Roman" w:hAnsi="Times New Roman"/>
          <w:sz w:val="17"/>
          <w:szCs w:val="17"/>
          <w:color w:val="auto"/>
        </w:rPr>
      </w:pPr>
    </w:p>
    <w:p>
      <w:pPr>
        <w:ind w:left="1120" w:right="559" w:hanging="337"/>
        <w:spacing w:after="0" w:line="268" w:lineRule="auto"/>
        <w:tabs>
          <w:tab w:leader="none" w:pos="11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52" w:lineRule="exact"/>
        <w:rPr>
          <w:rFonts w:ascii="Times New Roman" w:cs="Times New Roman" w:eastAsia="Times New Roman" w:hAnsi="Times New Roman"/>
          <w:sz w:val="17"/>
          <w:szCs w:val="17"/>
          <w:color w:val="auto"/>
        </w:rPr>
      </w:pPr>
    </w:p>
    <w:p>
      <w:pPr>
        <w:ind w:left="1120" w:right="899" w:hanging="337"/>
        <w:spacing w:after="0" w:line="294" w:lineRule="auto"/>
        <w:tabs>
          <w:tab w:leader="none" w:pos="11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denominations in which we will issue the series of debt securities, if other than denominations of $1,000 and any integral multiple thereof;</w:t>
      </w:r>
    </w:p>
    <w:p>
      <w:pPr>
        <w:spacing w:after="0" w:line="29" w:lineRule="exact"/>
        <w:rPr>
          <w:rFonts w:ascii="Times New Roman" w:cs="Times New Roman" w:eastAsia="Times New Roman" w:hAnsi="Times New Roman"/>
          <w:sz w:val="17"/>
          <w:szCs w:val="17"/>
          <w:color w:val="auto"/>
        </w:rPr>
      </w:pPr>
    </w:p>
    <w:p>
      <w:pPr>
        <w:ind w:left="1120" w:right="519" w:hanging="337"/>
        <w:spacing w:after="0" w:line="275" w:lineRule="auto"/>
        <w:tabs>
          <w:tab w:leader="none" w:pos="11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32" w:lineRule="exact"/>
        <w:rPr>
          <w:rFonts w:ascii="Times New Roman" w:cs="Times New Roman" w:eastAsia="Times New Roman" w:hAnsi="Times New Roman"/>
          <w:sz w:val="17"/>
          <w:szCs w:val="17"/>
          <w:color w:val="auto"/>
        </w:rPr>
      </w:pPr>
    </w:p>
    <w:p>
      <w:pPr>
        <w:ind w:left="1120" w:right="499" w:hanging="337"/>
        <w:spacing w:after="0" w:line="272" w:lineRule="auto"/>
        <w:tabs>
          <w:tab w:leader="none" w:pos="11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261" w:lineRule="exact"/>
        <w:rPr>
          <w:rFonts w:ascii="Times New Roman" w:cs="Times New Roman" w:eastAsia="Times New Roman" w:hAnsi="Times New Roman"/>
          <w:sz w:val="17"/>
          <w:szCs w:val="17"/>
          <w:color w:val="auto"/>
        </w:rPr>
      </w:pPr>
    </w:p>
    <w:p>
      <w:pPr>
        <w:ind w:left="1120" w:right="459" w:hanging="337"/>
        <w:spacing w:after="0" w:line="265" w:lineRule="auto"/>
        <w:tabs>
          <w:tab w:leader="none" w:pos="11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55" w:lineRule="exact"/>
        <w:rPr>
          <w:rFonts w:ascii="Times New Roman" w:cs="Times New Roman" w:eastAsia="Times New Roman" w:hAnsi="Times New Roman"/>
          <w:sz w:val="17"/>
          <w:szCs w:val="17"/>
          <w:color w:val="auto"/>
        </w:rPr>
      </w:pPr>
    </w:p>
    <w:p>
      <w:pPr>
        <w:ind w:left="1120" w:right="559" w:hanging="337"/>
        <w:spacing w:after="0" w:line="294" w:lineRule="auto"/>
        <w:tabs>
          <w:tab w:leader="none" w:pos="11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other than the full principal amount thereof, the portion of the principal amount of debt securities of the series which shall be payable upon declaration of acceleration of the maturity thereof;</w:t>
      </w:r>
    </w:p>
    <w:p>
      <w:pPr>
        <w:spacing w:after="0" w:line="16" w:lineRule="exact"/>
        <w:rPr>
          <w:rFonts w:ascii="Times New Roman" w:cs="Times New Roman" w:eastAsia="Times New Roman" w:hAnsi="Times New Roman"/>
          <w:sz w:val="17"/>
          <w:szCs w:val="17"/>
          <w:color w:val="auto"/>
        </w:rPr>
      </w:pPr>
    </w:p>
    <w:p>
      <w:pPr>
        <w:ind w:left="1120" w:right="479" w:hanging="337"/>
        <w:spacing w:after="0" w:line="294" w:lineRule="auto"/>
        <w:tabs>
          <w:tab w:leader="none" w:pos="11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to or changes in the covenants applicable to the particular debt securities being issued, including, among others, the consolidation, merger or sale covenant;</w:t>
      </w:r>
    </w:p>
    <w:p>
      <w:pPr>
        <w:spacing w:after="0" w:line="29" w:lineRule="exact"/>
        <w:rPr>
          <w:rFonts w:ascii="Times New Roman" w:cs="Times New Roman" w:eastAsia="Times New Roman" w:hAnsi="Times New Roman"/>
          <w:sz w:val="17"/>
          <w:szCs w:val="17"/>
          <w:color w:val="auto"/>
        </w:rPr>
      </w:pPr>
    </w:p>
    <w:p>
      <w:pPr>
        <w:jc w:val="both"/>
        <w:ind w:left="1120" w:right="499" w:hanging="337"/>
        <w:spacing w:after="0" w:line="275" w:lineRule="auto"/>
        <w:tabs>
          <w:tab w:leader="none" w:pos="11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45" w:lineRule="exact"/>
        <w:rPr>
          <w:rFonts w:ascii="Times New Roman" w:cs="Times New Roman" w:eastAsia="Times New Roman" w:hAnsi="Times New Roman"/>
          <w:sz w:val="17"/>
          <w:szCs w:val="17"/>
          <w:color w:val="auto"/>
        </w:rPr>
      </w:pPr>
    </w:p>
    <w:p>
      <w:pPr>
        <w:ind w:left="1120" w:right="1139" w:hanging="337"/>
        <w:spacing w:after="0" w:line="294" w:lineRule="auto"/>
        <w:tabs>
          <w:tab w:leader="none" w:pos="11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to or changes in or deletions of the provisions relating to covenant defeasance and legal defeasance;</w:t>
      </w:r>
    </w:p>
    <w:p>
      <w:pPr>
        <w:spacing w:after="0" w:line="16"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to or changes in the provisions relating to satisfaction and discharge of the indenture;</w:t>
      </w:r>
    </w:p>
    <w:p>
      <w:pPr>
        <w:spacing w:after="0" w:line="104" w:lineRule="exact"/>
        <w:rPr>
          <w:rFonts w:ascii="Times New Roman" w:cs="Times New Roman" w:eastAsia="Times New Roman" w:hAnsi="Times New Roman"/>
          <w:sz w:val="17"/>
          <w:szCs w:val="17"/>
          <w:color w:val="auto"/>
        </w:rPr>
      </w:pPr>
    </w:p>
    <w:p>
      <w:pPr>
        <w:ind w:left="1120" w:right="999" w:hanging="337"/>
        <w:spacing w:after="0" w:line="294" w:lineRule="auto"/>
        <w:tabs>
          <w:tab w:leader="none" w:pos="11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to or changes in the provisions relating to the modification of the indenture both with and without the consent of holders of debt securities issued under the indenture;</w:t>
      </w:r>
    </w:p>
    <w:p>
      <w:pPr>
        <w:spacing w:after="0" w:line="29" w:lineRule="exact"/>
        <w:rPr>
          <w:rFonts w:ascii="Times New Roman" w:cs="Times New Roman" w:eastAsia="Times New Roman" w:hAnsi="Times New Roman"/>
          <w:sz w:val="17"/>
          <w:szCs w:val="17"/>
          <w:color w:val="auto"/>
        </w:rPr>
      </w:pPr>
    </w:p>
    <w:p>
      <w:pPr>
        <w:ind w:left="1120" w:right="759" w:hanging="337"/>
        <w:spacing w:after="0" w:line="294" w:lineRule="auto"/>
        <w:tabs>
          <w:tab w:leader="none" w:pos="11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currency of payment of debt securities if other than U.S. dollars and the manner of determining the equivalent amount in U.S. dollars;</w:t>
      </w:r>
    </w:p>
    <w:p>
      <w:pPr>
        <w:spacing w:after="0" w:line="16" w:lineRule="exact"/>
        <w:rPr>
          <w:rFonts w:ascii="Times New Roman" w:cs="Times New Roman" w:eastAsia="Times New Roman" w:hAnsi="Times New Roman"/>
          <w:sz w:val="17"/>
          <w:szCs w:val="17"/>
          <w:color w:val="auto"/>
        </w:rPr>
      </w:pPr>
    </w:p>
    <w:p>
      <w:pPr>
        <w:ind w:left="1120" w:right="639" w:hanging="337"/>
        <w:spacing w:after="0" w:line="294" w:lineRule="auto"/>
        <w:tabs>
          <w:tab w:leader="none" w:pos="11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interest will be payable in cash or additional debt securities at our or the holders’ option and the terms and conditions upon which the election may be made;</w:t>
      </w:r>
    </w:p>
    <w:p>
      <w:pPr>
        <w:spacing w:after="0" w:line="29" w:lineRule="exact"/>
        <w:rPr>
          <w:rFonts w:ascii="Times New Roman" w:cs="Times New Roman" w:eastAsia="Times New Roman" w:hAnsi="Times New Roman"/>
          <w:sz w:val="17"/>
          <w:szCs w:val="17"/>
          <w:color w:val="auto"/>
        </w:rPr>
      </w:pPr>
    </w:p>
    <w:p>
      <w:pPr>
        <w:jc w:val="both"/>
        <w:ind w:left="1120" w:right="1019" w:hanging="337"/>
        <w:spacing w:after="0" w:line="275" w:lineRule="auto"/>
        <w:tabs>
          <w:tab w:leader="none" w:pos="11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32"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restrictions on transfer, sale or assignment of the debt securities of the series; and</w:t>
      </w:r>
    </w:p>
    <w:p>
      <w:pPr>
        <w:spacing w:after="0" w:line="104" w:lineRule="exact"/>
        <w:rPr>
          <w:rFonts w:ascii="Times New Roman" w:cs="Times New Roman" w:eastAsia="Times New Roman" w:hAnsi="Times New Roman"/>
          <w:sz w:val="17"/>
          <w:szCs w:val="17"/>
          <w:color w:val="auto"/>
        </w:rPr>
      </w:pPr>
    </w:p>
    <w:p>
      <w:pPr>
        <w:ind w:left="1120" w:right="579" w:hanging="337"/>
        <w:spacing w:after="0" w:line="275" w:lineRule="auto"/>
        <w:tabs>
          <w:tab w:leader="none" w:pos="11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127635</wp:posOffset>
            </wp:positionV>
            <wp:extent cx="675640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33" w:name="page34"/>
    <w:bookmarkEnd w:id="33"/>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Conversion or Exchange Rights</w:t>
      </w:r>
    </w:p>
    <w:p>
      <w:pPr>
        <w:spacing w:after="0" w:line="119" w:lineRule="exact"/>
        <w:rPr>
          <w:sz w:val="20"/>
          <w:szCs w:val="20"/>
          <w:color w:val="auto"/>
        </w:rPr>
      </w:pPr>
    </w:p>
    <w:p>
      <w:pPr>
        <w:ind w:left="440" w:right="539" w:firstLine="347"/>
        <w:spacing w:after="0" w:line="265" w:lineRule="auto"/>
        <w:rPr>
          <w:sz w:val="20"/>
          <w:szCs w:val="20"/>
          <w:color w:val="auto"/>
        </w:rPr>
      </w:pPr>
      <w:r>
        <w:rPr>
          <w:rFonts w:ascii="Times New Roman" w:cs="Times New Roman" w:eastAsia="Times New Roman" w:hAnsi="Times New Roman"/>
          <w:sz w:val="17"/>
          <w:szCs w:val="17"/>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3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Consolidation, Merger or Sale</w:t>
      </w:r>
    </w:p>
    <w:p>
      <w:pPr>
        <w:spacing w:after="0" w:line="119" w:lineRule="exact"/>
        <w:rPr>
          <w:sz w:val="20"/>
          <w:szCs w:val="20"/>
          <w:color w:val="auto"/>
        </w:rPr>
      </w:pPr>
    </w:p>
    <w:p>
      <w:pPr>
        <w:ind w:left="440" w:right="459" w:firstLine="347"/>
        <w:spacing w:after="0" w:line="265" w:lineRule="auto"/>
        <w:rPr>
          <w:sz w:val="20"/>
          <w:szCs w:val="20"/>
          <w:color w:val="auto"/>
        </w:rPr>
      </w:pPr>
      <w:r>
        <w:rPr>
          <w:rFonts w:ascii="Times New Roman" w:cs="Times New Roman" w:eastAsia="Times New Roman" w:hAnsi="Times New Roman"/>
          <w:sz w:val="17"/>
          <w:szCs w:val="17"/>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3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Events of Default under the Indenture</w:t>
      </w:r>
    </w:p>
    <w:p>
      <w:pPr>
        <w:spacing w:after="0" w:line="119" w:lineRule="exact"/>
        <w:rPr>
          <w:sz w:val="20"/>
          <w:szCs w:val="20"/>
          <w:color w:val="auto"/>
        </w:rPr>
      </w:pPr>
    </w:p>
    <w:p>
      <w:pPr>
        <w:ind w:left="440" w:right="679" w:firstLine="347"/>
        <w:spacing w:after="0" w:line="275" w:lineRule="auto"/>
        <w:rPr>
          <w:sz w:val="20"/>
          <w:szCs w:val="20"/>
          <w:color w:val="auto"/>
        </w:rPr>
      </w:pPr>
      <w:r>
        <w:rPr>
          <w:rFonts w:ascii="Times New Roman" w:cs="Times New Roman" w:eastAsia="Times New Roman" w:hAnsi="Times New Roman"/>
          <w:sz w:val="17"/>
          <w:szCs w:val="17"/>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58" w:lineRule="exact"/>
        <w:rPr>
          <w:sz w:val="20"/>
          <w:szCs w:val="20"/>
          <w:color w:val="auto"/>
        </w:rPr>
      </w:pPr>
    </w:p>
    <w:p>
      <w:pPr>
        <w:ind w:left="1120" w:right="779" w:hanging="337"/>
        <w:spacing w:after="0" w:line="268" w:lineRule="auto"/>
        <w:tabs>
          <w:tab w:leader="none" w:pos="11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65" w:lineRule="exact"/>
        <w:rPr>
          <w:rFonts w:ascii="Times New Roman" w:cs="Times New Roman" w:eastAsia="Times New Roman" w:hAnsi="Times New Roman"/>
          <w:sz w:val="17"/>
          <w:szCs w:val="17"/>
          <w:color w:val="auto"/>
        </w:rPr>
      </w:pPr>
    </w:p>
    <w:p>
      <w:pPr>
        <w:ind w:left="1120" w:right="459" w:hanging="337"/>
        <w:spacing w:after="0" w:line="264" w:lineRule="auto"/>
        <w:tabs>
          <w:tab w:leader="none" w:pos="11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280" w:lineRule="exact"/>
        <w:rPr>
          <w:rFonts w:ascii="Times New Roman" w:cs="Times New Roman" w:eastAsia="Times New Roman" w:hAnsi="Times New Roman"/>
          <w:sz w:val="17"/>
          <w:szCs w:val="17"/>
          <w:color w:val="auto"/>
        </w:rPr>
      </w:pPr>
    </w:p>
    <w:p>
      <w:pPr>
        <w:ind w:left="1120" w:right="719" w:hanging="337"/>
        <w:spacing w:after="0" w:line="265" w:lineRule="auto"/>
        <w:tabs>
          <w:tab w:leader="none" w:pos="11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68"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specified events of bankruptcy, insolvency or reorganization occur.</w:t>
      </w:r>
    </w:p>
    <w:p>
      <w:pPr>
        <w:spacing w:after="0" w:line="117" w:lineRule="exact"/>
        <w:rPr>
          <w:sz w:val="20"/>
          <w:szCs w:val="20"/>
          <w:color w:val="auto"/>
        </w:rPr>
      </w:pPr>
    </w:p>
    <w:p>
      <w:pPr>
        <w:ind w:left="440" w:right="479" w:firstLine="347"/>
        <w:spacing w:after="0" w:line="262" w:lineRule="auto"/>
        <w:rPr>
          <w:sz w:val="20"/>
          <w:szCs w:val="20"/>
          <w:color w:val="auto"/>
        </w:rPr>
      </w:pPr>
      <w:r>
        <w:rPr>
          <w:rFonts w:ascii="Times New Roman" w:cs="Times New Roman" w:eastAsia="Times New Roman" w:hAnsi="Times New Roman"/>
          <w:sz w:val="17"/>
          <w:szCs w:val="17"/>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71" w:lineRule="exact"/>
        <w:rPr>
          <w:sz w:val="20"/>
          <w:szCs w:val="20"/>
          <w:color w:val="auto"/>
        </w:rPr>
      </w:pPr>
    </w:p>
    <w:p>
      <w:pPr>
        <w:ind w:left="440" w:right="479" w:firstLine="347"/>
        <w:spacing w:after="0" w:line="268" w:lineRule="auto"/>
        <w:rPr>
          <w:sz w:val="20"/>
          <w:szCs w:val="20"/>
          <w:color w:val="auto"/>
        </w:rPr>
      </w:pPr>
      <w:r>
        <w:rPr>
          <w:rFonts w:ascii="Times New Roman" w:cs="Times New Roman" w:eastAsia="Times New Roman" w:hAnsi="Times New Roman"/>
          <w:sz w:val="17"/>
          <w:szCs w:val="17"/>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66" w:lineRule="exact"/>
        <w:rPr>
          <w:sz w:val="20"/>
          <w:szCs w:val="20"/>
          <w:color w:val="auto"/>
        </w:rPr>
      </w:pPr>
    </w:p>
    <w:p>
      <w:pPr>
        <w:jc w:val="both"/>
        <w:ind w:left="440" w:right="619" w:firstLine="347"/>
        <w:spacing w:after="0" w:line="275" w:lineRule="auto"/>
        <w:rPr>
          <w:sz w:val="20"/>
          <w:szCs w:val="20"/>
          <w:color w:val="auto"/>
        </w:rPr>
      </w:pPr>
      <w:r>
        <w:rPr>
          <w:rFonts w:ascii="Times New Roman" w:cs="Times New Roman" w:eastAsia="Times New Roman" w:hAnsi="Times New Roman"/>
          <w:sz w:val="17"/>
          <w:szCs w:val="17"/>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127635</wp:posOffset>
            </wp:positionV>
            <wp:extent cx="675640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4">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34" w:name="page35"/>
    <w:bookmarkEnd w:id="34"/>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ind w:left="440" w:right="499"/>
        <w:spacing w:after="0" w:line="268" w:lineRule="auto"/>
        <w:rPr>
          <w:sz w:val="20"/>
          <w:szCs w:val="20"/>
          <w:color w:val="auto"/>
        </w:rPr>
      </w:pPr>
      <w:r>
        <w:rPr>
          <w:rFonts w:ascii="Times New Roman" w:cs="Times New Roman" w:eastAsia="Times New Roman" w:hAnsi="Times New Roman"/>
          <w:sz w:val="17"/>
          <w:szCs w:val="17"/>
          <w:color w:val="auto"/>
        </w:rPr>
        <w:t>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66" w:lineRule="exact"/>
        <w:rPr>
          <w:sz w:val="20"/>
          <w:szCs w:val="20"/>
          <w:color w:val="auto"/>
        </w:rPr>
      </w:pPr>
    </w:p>
    <w:p>
      <w:pPr>
        <w:ind w:left="1120" w:hanging="337"/>
        <w:spacing w:after="0"/>
        <w:tabs>
          <w:tab w:leader="none" w:pos="11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direction so given by the holder is not in conflict with any law or the applicable indenture; and</w:t>
      </w:r>
    </w:p>
    <w:p>
      <w:pPr>
        <w:spacing w:after="0" w:line="117" w:lineRule="exact"/>
        <w:rPr>
          <w:rFonts w:ascii="Times New Roman" w:cs="Times New Roman" w:eastAsia="Times New Roman" w:hAnsi="Times New Roman"/>
          <w:sz w:val="17"/>
          <w:szCs w:val="17"/>
          <w:color w:val="auto"/>
        </w:rPr>
      </w:pPr>
    </w:p>
    <w:p>
      <w:pPr>
        <w:ind w:left="1120" w:right="459" w:hanging="337"/>
        <w:spacing w:after="0" w:line="294" w:lineRule="auto"/>
        <w:tabs>
          <w:tab w:leader="none" w:pos="11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its duties under the Trust Indenture Act, the trustee need not take any action that might involve it in personal liability or might be unduly prejudicial to the holders not involved in the proceeding.</w:t>
      </w:r>
    </w:p>
    <w:p>
      <w:pPr>
        <w:spacing w:after="0" w:line="43" w:lineRule="exact"/>
        <w:rPr>
          <w:sz w:val="20"/>
          <w:szCs w:val="20"/>
          <w:color w:val="auto"/>
        </w:rPr>
      </w:pPr>
    </w:p>
    <w:p>
      <w:pPr>
        <w:ind w:left="440" w:right="599" w:firstLine="347"/>
        <w:spacing w:after="0" w:line="294" w:lineRule="auto"/>
        <w:rPr>
          <w:sz w:val="20"/>
          <w:szCs w:val="20"/>
          <w:color w:val="auto"/>
        </w:rPr>
      </w:pPr>
      <w:r>
        <w:rPr>
          <w:rFonts w:ascii="Times New Roman" w:cs="Times New Roman" w:eastAsia="Times New Roman" w:hAnsi="Times New Roman"/>
          <w:sz w:val="17"/>
          <w:szCs w:val="17"/>
          <w:color w:val="auto"/>
        </w:rPr>
        <w:t>A holder of the debt securities of any series will have the right to institute a proceeding under the indenture or to appoint a receiver or trustee, or to seek other remedies only if:</w:t>
      </w:r>
    </w:p>
    <w:p>
      <w:pPr>
        <w:spacing w:after="0" w:line="43" w:lineRule="exact"/>
        <w:rPr>
          <w:sz w:val="20"/>
          <w:szCs w:val="20"/>
          <w:color w:val="auto"/>
        </w:rPr>
      </w:pPr>
    </w:p>
    <w:p>
      <w:pPr>
        <w:ind w:left="1120" w:hanging="337"/>
        <w:spacing w:after="0"/>
        <w:tabs>
          <w:tab w:leader="none" w:pos="11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 has given written notice to the trustee of a continuing event of default with respect to that series;</w:t>
      </w:r>
    </w:p>
    <w:p>
      <w:pPr>
        <w:spacing w:after="0" w:line="117" w:lineRule="exact"/>
        <w:rPr>
          <w:rFonts w:ascii="Times New Roman" w:cs="Times New Roman" w:eastAsia="Times New Roman" w:hAnsi="Times New Roman"/>
          <w:sz w:val="17"/>
          <w:szCs w:val="17"/>
          <w:color w:val="auto"/>
        </w:rPr>
      </w:pPr>
    </w:p>
    <w:p>
      <w:pPr>
        <w:ind w:left="1120" w:right="559" w:hanging="337"/>
        <w:spacing w:after="0" w:line="275" w:lineRule="auto"/>
        <w:tabs>
          <w:tab w:leader="none" w:pos="11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at least 25% in aggregate principal amount of the outstanding debt securities of that series have made written request, such holders have offered to the trustee indemnity satisfactory to it against the costs, expenses and liabilities to be incurred by the trustee in compliance with the request; and</w:t>
      </w:r>
    </w:p>
    <w:p>
      <w:pPr>
        <w:spacing w:after="0" w:line="58" w:lineRule="exact"/>
        <w:rPr>
          <w:rFonts w:ascii="Times New Roman" w:cs="Times New Roman" w:eastAsia="Times New Roman" w:hAnsi="Times New Roman"/>
          <w:sz w:val="17"/>
          <w:szCs w:val="17"/>
          <w:color w:val="auto"/>
        </w:rPr>
      </w:pPr>
    </w:p>
    <w:p>
      <w:pPr>
        <w:ind w:left="1120" w:right="799" w:hanging="337"/>
        <w:spacing w:after="0" w:line="275" w:lineRule="auto"/>
        <w:tabs>
          <w:tab w:leader="none" w:pos="11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58" w:lineRule="exact"/>
        <w:rPr>
          <w:sz w:val="20"/>
          <w:szCs w:val="20"/>
          <w:color w:val="auto"/>
        </w:rPr>
      </w:pPr>
    </w:p>
    <w:p>
      <w:pPr>
        <w:ind w:left="440" w:right="599" w:firstLine="347"/>
        <w:spacing w:after="0" w:line="294" w:lineRule="auto"/>
        <w:rPr>
          <w:sz w:val="20"/>
          <w:szCs w:val="20"/>
          <w:color w:val="auto"/>
        </w:rPr>
      </w:pPr>
      <w:r>
        <w:rPr>
          <w:rFonts w:ascii="Times New Roman" w:cs="Times New Roman" w:eastAsia="Times New Roman" w:hAnsi="Times New Roman"/>
          <w:sz w:val="17"/>
          <w:szCs w:val="17"/>
          <w:color w:val="auto"/>
        </w:rPr>
        <w:t>These limitations do not apply to a suit instituted by a holder of debt securities if we default in the payment of the principal, premium, if any, or interest on, the debt securities.</w:t>
      </w:r>
    </w:p>
    <w:p>
      <w:pPr>
        <w:spacing w:after="0" w:line="43" w:lineRule="exact"/>
        <w:rPr>
          <w:sz w:val="20"/>
          <w:szCs w:val="20"/>
          <w:color w:val="auto"/>
        </w:rPr>
      </w:pPr>
    </w:p>
    <w:p>
      <w:pPr>
        <w:ind w:left="440" w:right="639" w:firstLine="347"/>
        <w:spacing w:after="0" w:line="294" w:lineRule="auto"/>
        <w:rPr>
          <w:sz w:val="20"/>
          <w:szCs w:val="20"/>
          <w:color w:val="auto"/>
        </w:rPr>
      </w:pPr>
      <w:r>
        <w:rPr>
          <w:rFonts w:ascii="Times New Roman" w:cs="Times New Roman" w:eastAsia="Times New Roman" w:hAnsi="Times New Roman"/>
          <w:sz w:val="17"/>
          <w:szCs w:val="17"/>
          <w:color w:val="auto"/>
        </w:rPr>
        <w:t>We will periodically file statements with the trustee regarding our compliance with specified covenants in the indenture.</w:t>
      </w:r>
    </w:p>
    <w:p>
      <w:pPr>
        <w:spacing w:after="0" w:line="3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Modification of Indenture; Waiver</w:t>
      </w:r>
    </w:p>
    <w:p>
      <w:pPr>
        <w:spacing w:after="0" w:line="11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We and the trustee may change an indenture without the consent of any holders with respect to specific matters:</w:t>
      </w:r>
    </w:p>
    <w:p>
      <w:pPr>
        <w:spacing w:after="0" w:line="117" w:lineRule="exact"/>
        <w:rPr>
          <w:sz w:val="20"/>
          <w:szCs w:val="20"/>
          <w:color w:val="auto"/>
        </w:rPr>
      </w:pPr>
    </w:p>
    <w:p>
      <w:pPr>
        <w:ind w:left="1120" w:hanging="337"/>
        <w:spacing w:after="0"/>
        <w:tabs>
          <w:tab w:leader="none" w:pos="11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cure any ambiguity, defect or inconsistency in the indenture or in the debt securities of any series;</w:t>
      </w:r>
    </w:p>
    <w:p>
      <w:pPr>
        <w:spacing w:after="0" w:line="117" w:lineRule="exact"/>
        <w:rPr>
          <w:rFonts w:ascii="Times New Roman" w:cs="Times New Roman" w:eastAsia="Times New Roman" w:hAnsi="Times New Roman"/>
          <w:sz w:val="17"/>
          <w:szCs w:val="17"/>
          <w:color w:val="auto"/>
        </w:rPr>
      </w:pPr>
    </w:p>
    <w:p>
      <w:pPr>
        <w:ind w:left="1120" w:right="959" w:hanging="337"/>
        <w:spacing w:after="0" w:line="294" w:lineRule="auto"/>
        <w:tabs>
          <w:tab w:leader="none" w:pos="11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comply with the provisions described above under the heading “Description of Debt Securities— Consolidation, Merger or Sale;”</w:t>
      </w:r>
    </w:p>
    <w:p>
      <w:pPr>
        <w:spacing w:after="0" w:line="42"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for uncertificated debt securities in addition to or in place of certificated debt securities;</w:t>
      </w:r>
    </w:p>
    <w:p>
      <w:pPr>
        <w:spacing w:after="0" w:line="117" w:lineRule="exact"/>
        <w:rPr>
          <w:rFonts w:ascii="Times New Roman" w:cs="Times New Roman" w:eastAsia="Times New Roman" w:hAnsi="Times New Roman"/>
          <w:sz w:val="17"/>
          <w:szCs w:val="17"/>
          <w:color w:val="auto"/>
        </w:rPr>
      </w:pPr>
    </w:p>
    <w:p>
      <w:pPr>
        <w:ind w:left="1120" w:right="459" w:hanging="337"/>
        <w:spacing w:after="0" w:line="268" w:lineRule="auto"/>
        <w:tabs>
          <w:tab w:leader="none" w:pos="11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65" w:lineRule="exact"/>
        <w:rPr>
          <w:rFonts w:ascii="Times New Roman" w:cs="Times New Roman" w:eastAsia="Times New Roman" w:hAnsi="Times New Roman"/>
          <w:sz w:val="17"/>
          <w:szCs w:val="17"/>
          <w:color w:val="auto"/>
        </w:rPr>
      </w:pPr>
    </w:p>
    <w:p>
      <w:pPr>
        <w:ind w:left="1120" w:right="799" w:hanging="337"/>
        <w:spacing w:after="0" w:line="294" w:lineRule="auto"/>
        <w:tabs>
          <w:tab w:leader="none" w:pos="11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to, delete from or revise the conditions, limitations, and restrictions on the authorized amount, terms, or purposes of issue, authentication and delivery of debt securities, as set forth in the indenture;</w:t>
      </w:r>
    </w:p>
    <w:p>
      <w:pPr>
        <w:spacing w:after="0" w:line="42" w:lineRule="exact"/>
        <w:rPr>
          <w:rFonts w:ascii="Times New Roman" w:cs="Times New Roman" w:eastAsia="Times New Roman" w:hAnsi="Times New Roman"/>
          <w:sz w:val="17"/>
          <w:szCs w:val="17"/>
          <w:color w:val="auto"/>
        </w:rPr>
      </w:pPr>
    </w:p>
    <w:p>
      <w:pPr>
        <w:ind w:left="1120" w:right="879" w:hanging="337"/>
        <w:spacing w:after="0" w:line="294" w:lineRule="auto"/>
        <w:tabs>
          <w:tab w:leader="none" w:pos="11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any change that does not adversely affect the interests of any holder of debt securities of any series in any material respect;</w:t>
      </w:r>
    </w:p>
    <w:p>
      <w:pPr>
        <w:spacing w:after="0" w:line="42" w:lineRule="exact"/>
        <w:rPr>
          <w:rFonts w:ascii="Times New Roman" w:cs="Times New Roman" w:eastAsia="Times New Roman" w:hAnsi="Times New Roman"/>
          <w:sz w:val="17"/>
          <w:szCs w:val="17"/>
          <w:color w:val="auto"/>
        </w:rPr>
      </w:pPr>
    </w:p>
    <w:p>
      <w:pPr>
        <w:ind w:left="1120" w:right="519" w:hanging="337"/>
        <w:spacing w:after="0" w:line="268" w:lineRule="auto"/>
        <w:tabs>
          <w:tab w:leader="none" w:pos="11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for the issuance of and establish the form and terms and conditions of the debt securities of any series as provided above under the heading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65"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evidence and provide for the acceptance of appointment under any indenture by a successor trustee; or</w:t>
      </w:r>
    </w:p>
    <w:p>
      <w:pPr>
        <w:spacing w:after="0" w:line="117" w:lineRule="exact"/>
        <w:rPr>
          <w:rFonts w:ascii="Times New Roman" w:cs="Times New Roman" w:eastAsia="Times New Roman" w:hAnsi="Times New Roman"/>
          <w:sz w:val="17"/>
          <w:szCs w:val="17"/>
          <w:color w:val="auto"/>
        </w:rPr>
      </w:pPr>
    </w:p>
    <w:p>
      <w:pPr>
        <w:ind w:left="1120" w:right="659" w:hanging="337"/>
        <w:spacing w:after="0" w:line="294" w:lineRule="auto"/>
        <w:tabs>
          <w:tab w:leader="none" w:pos="11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comply with any requirements of the SEC in connection with the qualification of any indenture under the Trust Indenture Act.</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127635</wp:posOffset>
            </wp:positionV>
            <wp:extent cx="675640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5">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35" w:name="page36"/>
    <w:bookmarkEnd w:id="35"/>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ind w:left="440" w:right="659" w:firstLine="347"/>
        <w:spacing w:after="0" w:line="265" w:lineRule="auto"/>
        <w:rPr>
          <w:sz w:val="20"/>
          <w:szCs w:val="20"/>
          <w:color w:val="auto"/>
        </w:rPr>
      </w:pPr>
      <w:r>
        <w:rPr>
          <w:rFonts w:ascii="Times New Roman" w:cs="Times New Roman" w:eastAsia="Times New Roman" w:hAnsi="Times New Roman"/>
          <w:sz w:val="17"/>
          <w:szCs w:val="17"/>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68" w:lineRule="exact"/>
        <w:rPr>
          <w:sz w:val="20"/>
          <w:szCs w:val="20"/>
          <w:color w:val="auto"/>
        </w:rPr>
      </w:pPr>
    </w:p>
    <w:p>
      <w:pPr>
        <w:ind w:left="1120" w:hanging="337"/>
        <w:spacing w:after="0"/>
        <w:tabs>
          <w:tab w:leader="none" w:pos="11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extending the fixed maturity of any debt securities of any series;</w:t>
      </w:r>
    </w:p>
    <w:p>
      <w:pPr>
        <w:spacing w:after="0" w:line="117" w:lineRule="exact"/>
        <w:rPr>
          <w:rFonts w:ascii="Times New Roman" w:cs="Times New Roman" w:eastAsia="Times New Roman" w:hAnsi="Times New Roman"/>
          <w:sz w:val="17"/>
          <w:szCs w:val="17"/>
          <w:color w:val="auto"/>
        </w:rPr>
      </w:pPr>
    </w:p>
    <w:p>
      <w:pPr>
        <w:ind w:left="1120" w:right="1039" w:hanging="337"/>
        <w:spacing w:after="0" w:line="294" w:lineRule="auto"/>
        <w:tabs>
          <w:tab w:leader="none" w:pos="11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reducing the principal amount, reducing the rate of or extending the time of payment of interest, or reducing any premium payable upon the redemption of any series of any debt securities; or</w:t>
      </w:r>
    </w:p>
    <w:p>
      <w:pPr>
        <w:spacing w:after="0" w:line="42" w:lineRule="exact"/>
        <w:rPr>
          <w:rFonts w:ascii="Times New Roman" w:cs="Times New Roman" w:eastAsia="Times New Roman" w:hAnsi="Times New Roman"/>
          <w:sz w:val="17"/>
          <w:szCs w:val="17"/>
          <w:color w:val="auto"/>
        </w:rPr>
      </w:pPr>
    </w:p>
    <w:p>
      <w:pPr>
        <w:ind w:left="1120" w:right="499" w:hanging="337"/>
        <w:spacing w:after="0" w:line="294" w:lineRule="auto"/>
        <w:tabs>
          <w:tab w:leader="none" w:pos="11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reducing the percentage of debt securities, the holders of which are required to consent to any amendment, supplement, modification or waiver.</w:t>
      </w:r>
    </w:p>
    <w:p>
      <w:pPr>
        <w:spacing w:after="0" w:line="1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Discharge</w:t>
      </w:r>
    </w:p>
    <w:p>
      <w:pPr>
        <w:spacing w:after="0" w:line="119" w:lineRule="exact"/>
        <w:rPr>
          <w:sz w:val="20"/>
          <w:szCs w:val="20"/>
          <w:color w:val="auto"/>
        </w:rPr>
      </w:pPr>
    </w:p>
    <w:p>
      <w:pPr>
        <w:ind w:left="440" w:right="739" w:firstLine="347"/>
        <w:spacing w:after="0" w:line="294" w:lineRule="auto"/>
        <w:rPr>
          <w:sz w:val="20"/>
          <w:szCs w:val="20"/>
          <w:color w:val="auto"/>
        </w:rPr>
      </w:pPr>
      <w:r>
        <w:rPr>
          <w:rFonts w:ascii="Times New Roman" w:cs="Times New Roman" w:eastAsia="Times New Roman" w:hAnsi="Times New Roman"/>
          <w:sz w:val="17"/>
          <w:szCs w:val="17"/>
          <w:color w:val="auto"/>
        </w:rPr>
        <w:t>Each indenture provides that we can elect to be discharged from our obligations with respect to one or more series of debt securities, except for specified obligations, including obligations to:</w:t>
      </w:r>
    </w:p>
    <w:p>
      <w:pPr>
        <w:spacing w:after="0" w:line="43" w:lineRule="exact"/>
        <w:rPr>
          <w:sz w:val="20"/>
          <w:szCs w:val="20"/>
          <w:color w:val="auto"/>
        </w:rPr>
      </w:pPr>
    </w:p>
    <w:p>
      <w:pPr>
        <w:ind w:left="1120" w:hanging="337"/>
        <w:spacing w:after="0"/>
        <w:tabs>
          <w:tab w:leader="none" w:pos="11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for payment;</w:t>
      </w:r>
    </w:p>
    <w:p>
      <w:pPr>
        <w:spacing w:after="0" w:line="117"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register the transfer or exchange of debt securities of the series;</w:t>
      </w:r>
    </w:p>
    <w:p>
      <w:pPr>
        <w:spacing w:after="0" w:line="117"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replace stolen, lost or mutilated debt securities of the series;</w:t>
      </w:r>
    </w:p>
    <w:p>
      <w:pPr>
        <w:spacing w:after="0" w:line="117"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principal of and premium and interest on any debt securities of the series;</w:t>
      </w:r>
    </w:p>
    <w:p>
      <w:pPr>
        <w:spacing w:after="0" w:line="117"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paying agencies;</w:t>
      </w:r>
    </w:p>
    <w:p>
      <w:pPr>
        <w:spacing w:after="0" w:line="117"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 monies for payment in trust;</w:t>
      </w:r>
    </w:p>
    <w:p>
      <w:pPr>
        <w:spacing w:after="0" w:line="117"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recover excess money held by the trustee;</w:t>
      </w:r>
    </w:p>
    <w:p>
      <w:pPr>
        <w:spacing w:after="0" w:line="117"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compensate and indemnify the trustee; and</w:t>
      </w:r>
    </w:p>
    <w:p>
      <w:pPr>
        <w:spacing w:after="0" w:line="117"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 any successor trustee.</w:t>
      </w:r>
    </w:p>
    <w:p>
      <w:pPr>
        <w:spacing w:after="0" w:line="117" w:lineRule="exact"/>
        <w:rPr>
          <w:sz w:val="20"/>
          <w:szCs w:val="20"/>
          <w:color w:val="auto"/>
        </w:rPr>
      </w:pPr>
    </w:p>
    <w:p>
      <w:pPr>
        <w:ind w:left="440" w:right="499" w:firstLine="347"/>
        <w:spacing w:after="0" w:line="275" w:lineRule="auto"/>
        <w:rPr>
          <w:sz w:val="20"/>
          <w:szCs w:val="20"/>
          <w:color w:val="auto"/>
        </w:rPr>
      </w:pPr>
      <w:r>
        <w:rPr>
          <w:rFonts w:ascii="Times New Roman" w:cs="Times New Roman" w:eastAsia="Times New Roman" w:hAnsi="Times New Roman"/>
          <w:sz w:val="17"/>
          <w:szCs w:val="17"/>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Form, Exchange and Transfer</w:t>
      </w:r>
    </w:p>
    <w:p>
      <w:pPr>
        <w:spacing w:after="0" w:line="119" w:lineRule="exact"/>
        <w:rPr>
          <w:sz w:val="20"/>
          <w:szCs w:val="20"/>
          <w:color w:val="auto"/>
        </w:rPr>
      </w:pPr>
    </w:p>
    <w:p>
      <w:pPr>
        <w:ind w:left="440" w:right="459" w:firstLine="347"/>
        <w:spacing w:after="0" w:line="262" w:lineRule="auto"/>
        <w:rPr>
          <w:sz w:val="20"/>
          <w:szCs w:val="20"/>
          <w:color w:val="auto"/>
        </w:rPr>
      </w:pPr>
      <w:r>
        <w:rPr>
          <w:rFonts w:ascii="Times New Roman" w:cs="Times New Roman" w:eastAsia="Times New Roman" w:hAnsi="Times New Roman"/>
          <w:sz w:val="17"/>
          <w:szCs w:val="17"/>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71" w:lineRule="exact"/>
        <w:rPr>
          <w:sz w:val="20"/>
          <w:szCs w:val="20"/>
          <w:color w:val="auto"/>
        </w:rPr>
      </w:pPr>
    </w:p>
    <w:p>
      <w:pPr>
        <w:ind w:left="440" w:right="579" w:firstLine="347"/>
        <w:spacing w:after="0" w:line="268" w:lineRule="auto"/>
        <w:rPr>
          <w:sz w:val="20"/>
          <w:szCs w:val="20"/>
          <w:color w:val="auto"/>
        </w:rPr>
      </w:pPr>
      <w:r>
        <w:rPr>
          <w:rFonts w:ascii="Times New Roman" w:cs="Times New Roman" w:eastAsia="Times New Roman" w:hAnsi="Times New Roman"/>
          <w:sz w:val="17"/>
          <w:szCs w:val="17"/>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66" w:lineRule="exact"/>
        <w:rPr>
          <w:sz w:val="20"/>
          <w:szCs w:val="20"/>
          <w:color w:val="auto"/>
        </w:rPr>
      </w:pPr>
    </w:p>
    <w:p>
      <w:pPr>
        <w:ind w:left="440" w:right="459" w:firstLine="347"/>
        <w:spacing w:after="0" w:line="262" w:lineRule="auto"/>
        <w:rPr>
          <w:sz w:val="20"/>
          <w:szCs w:val="20"/>
          <w:color w:val="auto"/>
        </w:rPr>
      </w:pPr>
      <w:r>
        <w:rPr>
          <w:rFonts w:ascii="Times New Roman" w:cs="Times New Roman" w:eastAsia="Times New Roman" w:hAnsi="Times New Roman"/>
          <w:sz w:val="17"/>
          <w:szCs w:val="17"/>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71" w:lineRule="exact"/>
        <w:rPr>
          <w:sz w:val="20"/>
          <w:szCs w:val="20"/>
          <w:color w:val="auto"/>
        </w:rPr>
      </w:pPr>
    </w:p>
    <w:p>
      <w:pPr>
        <w:ind w:left="440" w:right="559" w:firstLine="347"/>
        <w:spacing w:after="0" w:line="294" w:lineRule="auto"/>
        <w:rPr>
          <w:sz w:val="20"/>
          <w:szCs w:val="20"/>
          <w:color w:val="auto"/>
        </w:rPr>
      </w:pPr>
      <w:r>
        <w:rPr>
          <w:rFonts w:ascii="Times New Roman" w:cs="Times New Roman" w:eastAsia="Times New Roman" w:hAnsi="Times New Roman"/>
          <w:sz w:val="17"/>
          <w:szCs w:val="17"/>
          <w:color w:val="auto"/>
        </w:rPr>
        <w:t>We will name in the applicable prospectus supplement the security registrar, and any transfer agent in addition to the security registrar, that we initially designate for any debt securities. We may at any time designate</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135890</wp:posOffset>
            </wp:positionV>
            <wp:extent cx="6756400"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6">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36" w:name="page37"/>
    <w:bookmarkEnd w:id="36"/>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jc w:val="both"/>
        <w:ind w:left="440" w:right="599"/>
        <w:spacing w:after="0" w:line="275" w:lineRule="auto"/>
        <w:rPr>
          <w:sz w:val="20"/>
          <w:szCs w:val="20"/>
          <w:color w:val="auto"/>
        </w:rPr>
      </w:pPr>
      <w:r>
        <w:rPr>
          <w:rFonts w:ascii="Times New Roman" w:cs="Times New Roman" w:eastAsia="Times New Roman" w:hAnsi="Times New Roman"/>
          <w:sz w:val="17"/>
          <w:szCs w:val="17"/>
          <w:color w:val="auto"/>
        </w:rPr>
        <w:t>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1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If we elect to redeem the debt securities of any series, we will not be required to:</w:t>
      </w:r>
    </w:p>
    <w:p>
      <w:pPr>
        <w:spacing w:after="0" w:line="117" w:lineRule="exact"/>
        <w:rPr>
          <w:sz w:val="20"/>
          <w:szCs w:val="20"/>
          <w:color w:val="auto"/>
        </w:rPr>
      </w:pPr>
    </w:p>
    <w:p>
      <w:pPr>
        <w:jc w:val="both"/>
        <w:ind w:left="1120" w:right="459" w:hanging="337"/>
        <w:spacing w:after="0" w:line="275" w:lineRule="auto"/>
        <w:tabs>
          <w:tab w:leader="none" w:pos="11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58" w:lineRule="exact"/>
        <w:rPr>
          <w:rFonts w:ascii="Times New Roman" w:cs="Times New Roman" w:eastAsia="Times New Roman" w:hAnsi="Times New Roman"/>
          <w:sz w:val="17"/>
          <w:szCs w:val="17"/>
          <w:color w:val="auto"/>
        </w:rPr>
      </w:pPr>
    </w:p>
    <w:p>
      <w:pPr>
        <w:ind w:left="1120" w:right="839" w:hanging="337"/>
        <w:spacing w:after="0" w:line="294" w:lineRule="auto"/>
        <w:tabs>
          <w:tab w:leader="none" w:pos="11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register the transfer of or exchange any debt securities so selected for redemption, in whole or in part, except the unredeemed portion of any debt securities we are redeeming in part.</w:t>
      </w:r>
    </w:p>
    <w:p>
      <w:pPr>
        <w:spacing w:after="0" w:line="2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Information Concerning the Trustee</w:t>
      </w:r>
    </w:p>
    <w:p>
      <w:pPr>
        <w:spacing w:after="0" w:line="119" w:lineRule="exact"/>
        <w:rPr>
          <w:sz w:val="20"/>
          <w:szCs w:val="20"/>
          <w:color w:val="auto"/>
        </w:rPr>
      </w:pPr>
    </w:p>
    <w:p>
      <w:pPr>
        <w:ind w:left="440" w:right="479" w:firstLine="347"/>
        <w:spacing w:after="0" w:line="263" w:lineRule="auto"/>
        <w:rPr>
          <w:sz w:val="20"/>
          <w:szCs w:val="20"/>
          <w:color w:val="auto"/>
        </w:rPr>
      </w:pPr>
      <w:r>
        <w:rPr>
          <w:rFonts w:ascii="Times New Roman" w:cs="Times New Roman" w:eastAsia="Times New Roman" w:hAnsi="Times New Roman"/>
          <w:sz w:val="17"/>
          <w:szCs w:val="17"/>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3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Payment and Paying Agents</w:t>
      </w:r>
    </w:p>
    <w:p>
      <w:pPr>
        <w:spacing w:after="0" w:line="119" w:lineRule="exact"/>
        <w:rPr>
          <w:sz w:val="20"/>
          <w:szCs w:val="20"/>
          <w:color w:val="auto"/>
        </w:rPr>
      </w:pPr>
    </w:p>
    <w:p>
      <w:pPr>
        <w:ind w:left="440" w:right="499" w:firstLine="347"/>
        <w:spacing w:after="0" w:line="275" w:lineRule="auto"/>
        <w:rPr>
          <w:sz w:val="20"/>
          <w:szCs w:val="20"/>
          <w:color w:val="auto"/>
        </w:rPr>
      </w:pPr>
      <w:r>
        <w:rPr>
          <w:rFonts w:ascii="Times New Roman" w:cs="Times New Roman" w:eastAsia="Times New Roman" w:hAnsi="Times New Roman"/>
          <w:sz w:val="17"/>
          <w:szCs w:val="17"/>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58" w:lineRule="exact"/>
        <w:rPr>
          <w:sz w:val="20"/>
          <w:szCs w:val="20"/>
          <w:color w:val="auto"/>
        </w:rPr>
      </w:pPr>
    </w:p>
    <w:p>
      <w:pPr>
        <w:ind w:left="440" w:right="499" w:firstLine="347"/>
        <w:spacing w:after="0" w:line="261" w:lineRule="auto"/>
        <w:rPr>
          <w:sz w:val="20"/>
          <w:szCs w:val="20"/>
          <w:color w:val="auto"/>
        </w:rPr>
      </w:pPr>
      <w:r>
        <w:rPr>
          <w:rFonts w:ascii="Times New Roman" w:cs="Times New Roman" w:eastAsia="Times New Roman" w:hAnsi="Times New Roman"/>
          <w:sz w:val="17"/>
          <w:szCs w:val="17"/>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73" w:lineRule="exact"/>
        <w:rPr>
          <w:sz w:val="20"/>
          <w:szCs w:val="20"/>
          <w:color w:val="auto"/>
        </w:rPr>
      </w:pPr>
    </w:p>
    <w:p>
      <w:pPr>
        <w:ind w:left="440" w:right="439" w:firstLine="347"/>
        <w:spacing w:after="0" w:line="268" w:lineRule="auto"/>
        <w:rPr>
          <w:sz w:val="20"/>
          <w:szCs w:val="20"/>
          <w:color w:val="auto"/>
        </w:rPr>
      </w:pPr>
      <w:r>
        <w:rPr>
          <w:rFonts w:ascii="Times New Roman" w:cs="Times New Roman" w:eastAsia="Times New Roman" w:hAnsi="Times New Roman"/>
          <w:sz w:val="17"/>
          <w:szCs w:val="17"/>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3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Governing Law</w:t>
      </w:r>
    </w:p>
    <w:p>
      <w:pPr>
        <w:spacing w:after="0" w:line="119" w:lineRule="exact"/>
        <w:rPr>
          <w:sz w:val="20"/>
          <w:szCs w:val="20"/>
          <w:color w:val="auto"/>
        </w:rPr>
      </w:pPr>
    </w:p>
    <w:p>
      <w:pPr>
        <w:ind w:left="440" w:right="499" w:firstLine="347"/>
        <w:spacing w:after="0" w:line="294" w:lineRule="auto"/>
        <w:rPr>
          <w:sz w:val="20"/>
          <w:szCs w:val="20"/>
          <w:color w:val="auto"/>
        </w:rPr>
      </w:pPr>
      <w:r>
        <w:rPr>
          <w:rFonts w:ascii="Times New Roman" w:cs="Times New Roman" w:eastAsia="Times New Roman" w:hAnsi="Times New Roman"/>
          <w:sz w:val="17"/>
          <w:szCs w:val="17"/>
          <w:color w:val="auto"/>
        </w:rPr>
        <w:t>The indenture and the debt securities will be governed by and construed in accordance with the internal laws of the State of New York, except to the extent that the Trust Indenture Act is applicable.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127635</wp:posOffset>
            </wp:positionV>
            <wp:extent cx="675640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7">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37" w:name="page38"/>
    <w:bookmarkEnd w:id="37"/>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DESCRIPTION OF WARRANTS</w:t>
      </w:r>
    </w:p>
    <w:p>
      <w:pPr>
        <w:spacing w:after="0" w:line="119" w:lineRule="exact"/>
        <w:rPr>
          <w:sz w:val="20"/>
          <w:szCs w:val="20"/>
          <w:color w:val="auto"/>
        </w:rPr>
      </w:pPr>
    </w:p>
    <w:p>
      <w:pPr>
        <w:ind w:left="440" w:right="459" w:firstLine="347"/>
        <w:spacing w:after="0" w:line="260" w:lineRule="auto"/>
        <w:rPr>
          <w:sz w:val="20"/>
          <w:szCs w:val="20"/>
          <w:color w:val="auto"/>
        </w:rPr>
      </w:pPr>
      <w:r>
        <w:rPr>
          <w:rFonts w:ascii="Times New Roman" w:cs="Times New Roman" w:eastAsia="Times New Roman" w:hAnsi="Times New Roman"/>
          <w:sz w:val="17"/>
          <w:szCs w:val="17"/>
          <w:color w:val="auto"/>
        </w:rPr>
        <w:t>The following description, together with the additional information we may include in any applicable prospectus supplement and free writing prospectus, summarizes the material terms and provisions of the warrants that we may offer under this prospectus, which may consist of warrants to purchase common stock, preferred stock or debt securities and may be issued in one or more series. Warrants may be offered independently or in combination with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73" w:lineRule="exact"/>
        <w:rPr>
          <w:sz w:val="20"/>
          <w:szCs w:val="20"/>
          <w:color w:val="auto"/>
        </w:rPr>
      </w:pPr>
    </w:p>
    <w:p>
      <w:pPr>
        <w:ind w:left="440" w:right="459" w:firstLine="347"/>
        <w:spacing w:after="0" w:line="259" w:lineRule="auto"/>
        <w:rPr>
          <w:sz w:val="20"/>
          <w:szCs w:val="20"/>
          <w:color w:val="auto"/>
        </w:rPr>
      </w:pPr>
      <w:r>
        <w:rPr>
          <w:rFonts w:ascii="Times New Roman" w:cs="Times New Roman" w:eastAsia="Times New Roman" w:hAnsi="Times New Roman"/>
          <w:sz w:val="17"/>
          <w:szCs w:val="17"/>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or selling securityholders may offer under this prospectus. We urge you to read the applicable prospectus supplement related to the particular series of warrants that we or selling securityholders may offer under this prospectus, as well as any related free writing prospectus, and the complete form of warrant and/or the warrant agreement and warrant certificate, as applicable, and any supplemental agreements, that contain the terms of the warrants.</w:t>
      </w:r>
    </w:p>
    <w:p>
      <w:pPr>
        <w:spacing w:after="0" w:line="2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19" w:lineRule="exact"/>
        <w:rPr>
          <w:sz w:val="20"/>
          <w:szCs w:val="20"/>
          <w:color w:val="auto"/>
        </w:rPr>
      </w:pPr>
    </w:p>
    <w:p>
      <w:pPr>
        <w:ind w:left="440" w:right="839" w:firstLine="347"/>
        <w:spacing w:after="0" w:line="294" w:lineRule="auto"/>
        <w:rPr>
          <w:sz w:val="20"/>
          <w:szCs w:val="20"/>
          <w:color w:val="auto"/>
        </w:rPr>
      </w:pPr>
      <w:r>
        <w:rPr>
          <w:rFonts w:ascii="Times New Roman" w:cs="Times New Roman" w:eastAsia="Times New Roman" w:hAnsi="Times New Roman"/>
          <w:sz w:val="17"/>
          <w:szCs w:val="17"/>
          <w:color w:val="auto"/>
        </w:rPr>
        <w:t>We will describe in the applicable prospectus supplement the terms of the series of warrants being offered, including:</w:t>
      </w:r>
    </w:p>
    <w:p>
      <w:pPr>
        <w:spacing w:after="0" w:line="17" w:lineRule="exact"/>
        <w:rPr>
          <w:sz w:val="20"/>
          <w:szCs w:val="20"/>
          <w:color w:val="auto"/>
        </w:rPr>
      </w:pPr>
    </w:p>
    <w:p>
      <w:pPr>
        <w:ind w:left="1120" w:hanging="337"/>
        <w:spacing w:after="0"/>
        <w:tabs>
          <w:tab w:leader="none" w:pos="11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offering price and aggregate number of warrants offered;</w:t>
      </w:r>
    </w:p>
    <w:p>
      <w:pPr>
        <w:spacing w:after="0" w:line="104"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currency for which the warrants may be purchased;</w:t>
      </w:r>
    </w:p>
    <w:p>
      <w:pPr>
        <w:spacing w:after="0" w:line="104" w:lineRule="exact"/>
        <w:rPr>
          <w:rFonts w:ascii="Times New Roman" w:cs="Times New Roman" w:eastAsia="Times New Roman" w:hAnsi="Times New Roman"/>
          <w:sz w:val="17"/>
          <w:szCs w:val="17"/>
          <w:color w:val="auto"/>
        </w:rPr>
      </w:pPr>
    </w:p>
    <w:p>
      <w:pPr>
        <w:ind w:left="1120" w:right="1019" w:hanging="337"/>
        <w:spacing w:after="0" w:line="294" w:lineRule="auto"/>
        <w:tabs>
          <w:tab w:leader="none" w:pos="11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designation and terms of the securities with which the warrants are issued and the number of warrants issued with each such security or each principal amount of such security;</w:t>
      </w:r>
    </w:p>
    <w:p>
      <w:pPr>
        <w:spacing w:after="0" w:line="16" w:lineRule="exact"/>
        <w:rPr>
          <w:rFonts w:ascii="Times New Roman" w:cs="Times New Roman" w:eastAsia="Times New Roman" w:hAnsi="Times New Roman"/>
          <w:sz w:val="17"/>
          <w:szCs w:val="17"/>
          <w:color w:val="auto"/>
        </w:rPr>
      </w:pPr>
    </w:p>
    <w:p>
      <w:pPr>
        <w:ind w:left="1120" w:right="819" w:hanging="337"/>
        <w:spacing w:after="0" w:line="275" w:lineRule="auto"/>
        <w:tabs>
          <w:tab w:leader="none" w:pos="11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45" w:lineRule="exact"/>
        <w:rPr>
          <w:rFonts w:ascii="Times New Roman" w:cs="Times New Roman" w:eastAsia="Times New Roman" w:hAnsi="Times New Roman"/>
          <w:sz w:val="17"/>
          <w:szCs w:val="17"/>
          <w:color w:val="auto"/>
        </w:rPr>
      </w:pPr>
    </w:p>
    <w:p>
      <w:pPr>
        <w:ind w:left="1120" w:right="519" w:hanging="337"/>
        <w:spacing w:after="0" w:line="275" w:lineRule="auto"/>
        <w:tabs>
          <w:tab w:leader="none" w:pos="11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45" w:lineRule="exact"/>
        <w:rPr>
          <w:rFonts w:ascii="Times New Roman" w:cs="Times New Roman" w:eastAsia="Times New Roman" w:hAnsi="Times New Roman"/>
          <w:sz w:val="17"/>
          <w:szCs w:val="17"/>
          <w:color w:val="auto"/>
        </w:rPr>
      </w:pPr>
    </w:p>
    <w:p>
      <w:pPr>
        <w:ind w:left="1120" w:right="479" w:hanging="337"/>
        <w:spacing w:after="0" w:line="294" w:lineRule="auto"/>
        <w:tabs>
          <w:tab w:leader="none" w:pos="11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any merger, consolidation, sale or other disposition of our business on the warrant agreements and the warrants;</w:t>
      </w:r>
    </w:p>
    <w:p>
      <w:pPr>
        <w:spacing w:after="0" w:line="16"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any rights to redeem or call the warrants;</w:t>
      </w:r>
    </w:p>
    <w:p>
      <w:pPr>
        <w:spacing w:after="0" w:line="104" w:lineRule="exact"/>
        <w:rPr>
          <w:rFonts w:ascii="Times New Roman" w:cs="Times New Roman" w:eastAsia="Times New Roman" w:hAnsi="Times New Roman"/>
          <w:sz w:val="17"/>
          <w:szCs w:val="17"/>
          <w:color w:val="auto"/>
        </w:rPr>
      </w:pPr>
    </w:p>
    <w:p>
      <w:pPr>
        <w:ind w:left="1120" w:right="699" w:hanging="337"/>
        <w:spacing w:after="0" w:line="294" w:lineRule="auto"/>
        <w:tabs>
          <w:tab w:leader="none" w:pos="11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provisions for changes to or adjustments in the exercise price or number of securities issuable upon exercise of the warrants;</w:t>
      </w:r>
    </w:p>
    <w:p>
      <w:pPr>
        <w:spacing w:after="0" w:line="29"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dates on which the right to exercise the warrants will commence and expire;</w:t>
      </w:r>
    </w:p>
    <w:p>
      <w:pPr>
        <w:spacing w:after="0" w:line="91"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manner in which the warrant agreements and warrants may be modified;</w:t>
      </w:r>
    </w:p>
    <w:p>
      <w:pPr>
        <w:spacing w:after="0" w:line="104" w:lineRule="exact"/>
        <w:rPr>
          <w:rFonts w:ascii="Times New Roman" w:cs="Times New Roman" w:eastAsia="Times New Roman" w:hAnsi="Times New Roman"/>
          <w:sz w:val="17"/>
          <w:szCs w:val="17"/>
          <w:color w:val="auto"/>
        </w:rPr>
      </w:pPr>
    </w:p>
    <w:p>
      <w:pPr>
        <w:ind w:left="1120" w:right="579" w:hanging="337"/>
        <w:spacing w:after="0" w:line="294" w:lineRule="auto"/>
        <w:tabs>
          <w:tab w:leader="none" w:pos="11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discussion of material or special U.S. federal income tax considerations, if any, of holding or exercising the warrants;</w:t>
      </w:r>
    </w:p>
    <w:p>
      <w:pPr>
        <w:spacing w:after="0" w:line="29"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the securities issuable upon exercise of the warrants; and</w:t>
      </w:r>
    </w:p>
    <w:p>
      <w:pPr>
        <w:spacing w:after="0" w:line="91"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specific terms, preferences, rights or limitations of or restrictions on the warrants.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135890</wp:posOffset>
            </wp:positionV>
            <wp:extent cx="6756400"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8">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38" w:name="page39"/>
    <w:bookmarkEnd w:id="38"/>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ind w:left="440" w:right="559" w:firstLine="347"/>
        <w:spacing w:after="0" w:line="294" w:lineRule="auto"/>
        <w:rPr>
          <w:sz w:val="20"/>
          <w:szCs w:val="20"/>
          <w:color w:val="auto"/>
        </w:rPr>
      </w:pPr>
      <w:r>
        <w:rPr>
          <w:rFonts w:ascii="Times New Roman" w:cs="Times New Roman" w:eastAsia="Times New Roman" w:hAnsi="Times New Roman"/>
          <w:sz w:val="17"/>
          <w:szCs w:val="17"/>
          <w:color w:val="auto"/>
        </w:rPr>
        <w:t>Before exercising their warrants, holders of warrants will not have any of the rights of holders of the securities purchasable upon such exercise, including:</w:t>
      </w:r>
    </w:p>
    <w:p>
      <w:pPr>
        <w:spacing w:after="0" w:line="43" w:lineRule="exact"/>
        <w:rPr>
          <w:sz w:val="20"/>
          <w:szCs w:val="20"/>
          <w:color w:val="auto"/>
        </w:rPr>
      </w:pPr>
    </w:p>
    <w:p>
      <w:pPr>
        <w:ind w:left="1120" w:right="459" w:hanging="337"/>
        <w:spacing w:after="0" w:line="275" w:lineRule="auto"/>
        <w:tabs>
          <w:tab w:leader="none" w:pos="11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58" w:lineRule="exact"/>
        <w:rPr>
          <w:rFonts w:ascii="Times New Roman" w:cs="Times New Roman" w:eastAsia="Times New Roman" w:hAnsi="Times New Roman"/>
          <w:sz w:val="17"/>
          <w:szCs w:val="17"/>
          <w:color w:val="auto"/>
        </w:rPr>
      </w:pPr>
    </w:p>
    <w:p>
      <w:pPr>
        <w:ind w:left="1120" w:right="519" w:hanging="337"/>
        <w:spacing w:after="0" w:line="294" w:lineRule="auto"/>
        <w:tabs>
          <w:tab w:leader="none" w:pos="11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warrants to purchase common stock or preferred stock, the right to receive dividends, if any, or payments upon our liquidation, dissolution or winding up or to exercise voting rights, if any.</w:t>
      </w:r>
    </w:p>
    <w:p>
      <w:pPr>
        <w:spacing w:after="0" w:line="3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Exercise of Warrants</w:t>
      </w:r>
    </w:p>
    <w:p>
      <w:pPr>
        <w:spacing w:after="0" w:line="119" w:lineRule="exact"/>
        <w:rPr>
          <w:sz w:val="20"/>
          <w:szCs w:val="20"/>
          <w:color w:val="auto"/>
        </w:rPr>
      </w:pPr>
    </w:p>
    <w:p>
      <w:pPr>
        <w:ind w:left="440" w:right="619" w:firstLine="347"/>
        <w:spacing w:after="0" w:line="263" w:lineRule="auto"/>
        <w:rPr>
          <w:sz w:val="20"/>
          <w:szCs w:val="20"/>
          <w:color w:val="auto"/>
        </w:rPr>
      </w:pPr>
      <w:r>
        <w:rPr>
          <w:rFonts w:ascii="Times New Roman" w:cs="Times New Roman" w:eastAsia="Times New Roman" w:hAnsi="Times New Roman"/>
          <w:sz w:val="17"/>
          <w:szCs w:val="17"/>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71" w:lineRule="exact"/>
        <w:rPr>
          <w:sz w:val="20"/>
          <w:szCs w:val="20"/>
          <w:color w:val="auto"/>
        </w:rPr>
      </w:pPr>
    </w:p>
    <w:p>
      <w:pPr>
        <w:ind w:left="440" w:right="479" w:firstLine="347"/>
        <w:spacing w:after="0" w:line="265" w:lineRule="auto"/>
        <w:rPr>
          <w:sz w:val="20"/>
          <w:szCs w:val="20"/>
          <w:color w:val="auto"/>
        </w:rPr>
      </w:pPr>
      <w:r>
        <w:rPr>
          <w:rFonts w:ascii="Times New Roman" w:cs="Times New Roman" w:eastAsia="Times New Roman" w:hAnsi="Times New Roman"/>
          <w:sz w:val="17"/>
          <w:szCs w:val="17"/>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spacing w:after="0" w:line="3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Governing Law</w:t>
      </w:r>
    </w:p>
    <w:p>
      <w:pPr>
        <w:spacing w:after="0" w:line="119" w:lineRule="exact"/>
        <w:rPr>
          <w:sz w:val="20"/>
          <w:szCs w:val="20"/>
          <w:color w:val="auto"/>
        </w:rPr>
      </w:pPr>
    </w:p>
    <w:p>
      <w:pPr>
        <w:ind w:left="440" w:right="459" w:firstLine="347"/>
        <w:spacing w:after="0" w:line="294" w:lineRule="auto"/>
        <w:rPr>
          <w:sz w:val="20"/>
          <w:szCs w:val="20"/>
          <w:color w:val="auto"/>
        </w:rPr>
      </w:pPr>
      <w:r>
        <w:rPr>
          <w:rFonts w:ascii="Times New Roman" w:cs="Times New Roman" w:eastAsia="Times New Roman" w:hAnsi="Times New Roman"/>
          <w:sz w:val="17"/>
          <w:szCs w:val="17"/>
          <w:color w:val="auto"/>
        </w:rPr>
        <w:t>Unless we provide otherwise in the applicable prospectus supplement, the warrants and any warrant agreements will be governed by and construed in accordance with the internal laws of the State of New York.</w:t>
      </w:r>
    </w:p>
    <w:p>
      <w:pPr>
        <w:spacing w:after="0" w:line="2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Enforceability of Rights by Holders of Warrants</w:t>
      </w:r>
    </w:p>
    <w:p>
      <w:pPr>
        <w:spacing w:after="0" w:line="119" w:lineRule="exact"/>
        <w:rPr>
          <w:sz w:val="20"/>
          <w:szCs w:val="20"/>
          <w:color w:val="auto"/>
        </w:rPr>
      </w:pPr>
    </w:p>
    <w:p>
      <w:pPr>
        <w:ind w:left="440" w:right="559" w:firstLine="347"/>
        <w:spacing w:after="0" w:line="262" w:lineRule="auto"/>
        <w:rPr>
          <w:sz w:val="20"/>
          <w:szCs w:val="20"/>
          <w:color w:val="auto"/>
        </w:rPr>
      </w:pPr>
      <w:r>
        <w:rPr>
          <w:rFonts w:ascii="Times New Roman" w:cs="Times New Roman" w:eastAsia="Times New Roman" w:hAnsi="Times New Roman"/>
          <w:sz w:val="17"/>
          <w:szCs w:val="17"/>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135890</wp:posOffset>
            </wp:positionV>
            <wp:extent cx="6756400"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9">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39" w:name="page40"/>
    <w:bookmarkEnd w:id="39"/>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LEGAL OWNERSHIP OF SECURITIES</w:t>
      </w:r>
    </w:p>
    <w:p>
      <w:pPr>
        <w:spacing w:after="0" w:line="119" w:lineRule="exact"/>
        <w:rPr>
          <w:sz w:val="20"/>
          <w:szCs w:val="20"/>
          <w:color w:val="auto"/>
        </w:rPr>
      </w:pPr>
    </w:p>
    <w:p>
      <w:pPr>
        <w:ind w:left="440" w:right="499" w:firstLine="347"/>
        <w:spacing w:after="0" w:line="262" w:lineRule="auto"/>
        <w:rPr>
          <w:sz w:val="20"/>
          <w:szCs w:val="20"/>
          <w:color w:val="auto"/>
        </w:rPr>
      </w:pPr>
      <w:r>
        <w:rPr>
          <w:rFonts w:ascii="Times New Roman" w:cs="Times New Roman" w:eastAsia="Times New Roman" w:hAnsi="Times New Roman"/>
          <w:sz w:val="17"/>
          <w:szCs w:val="17"/>
          <w:color w:val="auto"/>
        </w:rPr>
        <w:t>We may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Book-Entry Holders</w:t>
      </w:r>
    </w:p>
    <w:p>
      <w:pPr>
        <w:spacing w:after="0" w:line="119" w:lineRule="exact"/>
        <w:rPr>
          <w:sz w:val="20"/>
          <w:szCs w:val="20"/>
          <w:color w:val="auto"/>
        </w:rPr>
      </w:pPr>
    </w:p>
    <w:p>
      <w:pPr>
        <w:ind w:left="440" w:right="659" w:firstLine="347"/>
        <w:spacing w:after="0" w:line="265" w:lineRule="auto"/>
        <w:rPr>
          <w:sz w:val="20"/>
          <w:szCs w:val="20"/>
          <w:color w:val="auto"/>
        </w:rPr>
      </w:pPr>
      <w:r>
        <w:rPr>
          <w:rFonts w:ascii="Times New Roman" w:cs="Times New Roman" w:eastAsia="Times New Roman" w:hAnsi="Times New Roman"/>
          <w:sz w:val="17"/>
          <w:szCs w:val="17"/>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68" w:lineRule="exact"/>
        <w:rPr>
          <w:sz w:val="20"/>
          <w:szCs w:val="20"/>
          <w:color w:val="auto"/>
        </w:rPr>
      </w:pPr>
    </w:p>
    <w:p>
      <w:pPr>
        <w:ind w:left="440" w:right="479" w:firstLine="347"/>
        <w:spacing w:after="0" w:line="262" w:lineRule="auto"/>
        <w:rPr>
          <w:sz w:val="20"/>
          <w:szCs w:val="20"/>
          <w:color w:val="auto"/>
        </w:rPr>
      </w:pPr>
      <w:r>
        <w:rPr>
          <w:rFonts w:ascii="Times New Roman" w:cs="Times New Roman" w:eastAsia="Times New Roman" w:hAnsi="Times New Roman"/>
          <w:sz w:val="17"/>
          <w:szCs w:val="17"/>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71" w:lineRule="exact"/>
        <w:rPr>
          <w:sz w:val="20"/>
          <w:szCs w:val="20"/>
          <w:color w:val="auto"/>
        </w:rPr>
      </w:pPr>
    </w:p>
    <w:p>
      <w:pPr>
        <w:ind w:left="440" w:right="519" w:firstLine="347"/>
        <w:spacing w:after="0" w:line="268" w:lineRule="auto"/>
        <w:rPr>
          <w:sz w:val="20"/>
          <w:szCs w:val="20"/>
          <w:color w:val="auto"/>
        </w:rPr>
      </w:pPr>
      <w:r>
        <w:rPr>
          <w:rFonts w:ascii="Times New Roman" w:cs="Times New Roman" w:eastAsia="Times New Roman" w:hAnsi="Times New Roman"/>
          <w:sz w:val="17"/>
          <w:szCs w:val="17"/>
          <w:color w:val="auto"/>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Street Name Holders</w:t>
      </w:r>
    </w:p>
    <w:p>
      <w:pPr>
        <w:spacing w:after="0" w:line="119" w:lineRule="exact"/>
        <w:rPr>
          <w:sz w:val="20"/>
          <w:szCs w:val="20"/>
          <w:color w:val="auto"/>
        </w:rPr>
      </w:pPr>
    </w:p>
    <w:p>
      <w:pPr>
        <w:ind w:left="440" w:right="459" w:firstLine="347"/>
        <w:spacing w:after="0" w:line="268" w:lineRule="auto"/>
        <w:rPr>
          <w:sz w:val="20"/>
          <w:szCs w:val="20"/>
          <w:color w:val="auto"/>
        </w:rPr>
      </w:pPr>
      <w:r>
        <w:rPr>
          <w:rFonts w:ascii="Times New Roman" w:cs="Times New Roman" w:eastAsia="Times New Roman" w:hAnsi="Times New Roman"/>
          <w:sz w:val="17"/>
          <w:szCs w:val="17"/>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66" w:lineRule="exact"/>
        <w:rPr>
          <w:sz w:val="20"/>
          <w:szCs w:val="20"/>
          <w:color w:val="auto"/>
        </w:rPr>
      </w:pPr>
    </w:p>
    <w:p>
      <w:pPr>
        <w:ind w:left="440" w:right="459" w:firstLine="347"/>
        <w:spacing w:after="0" w:line="263" w:lineRule="auto"/>
        <w:rPr>
          <w:sz w:val="20"/>
          <w:szCs w:val="20"/>
          <w:color w:val="auto"/>
        </w:rPr>
      </w:pPr>
      <w:r>
        <w:rPr>
          <w:rFonts w:ascii="Times New Roman" w:cs="Times New Roman" w:eastAsia="Times New Roman" w:hAnsi="Times New Roman"/>
          <w:sz w:val="17"/>
          <w:szCs w:val="17"/>
          <w:color w:val="auto"/>
        </w:rPr>
        <w:t>For securities held in street name, we will recognize only the intermediary banks, brokers and other financial institutions in whose names the securities are registered as the holders of those securities, and we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Legal Holders</w:t>
      </w:r>
    </w:p>
    <w:p>
      <w:pPr>
        <w:spacing w:after="0" w:line="119" w:lineRule="exact"/>
        <w:rPr>
          <w:sz w:val="20"/>
          <w:szCs w:val="20"/>
          <w:color w:val="auto"/>
        </w:rPr>
      </w:pPr>
    </w:p>
    <w:p>
      <w:pPr>
        <w:ind w:left="440" w:right="459" w:firstLine="347"/>
        <w:spacing w:after="0" w:line="265" w:lineRule="auto"/>
        <w:rPr>
          <w:sz w:val="20"/>
          <w:szCs w:val="20"/>
          <w:color w:val="auto"/>
        </w:rPr>
      </w:pPr>
      <w:r>
        <w:rPr>
          <w:rFonts w:ascii="Times New Roman" w:cs="Times New Roman" w:eastAsia="Times New Roman" w:hAnsi="Times New Roman"/>
          <w:sz w:val="17"/>
          <w:szCs w:val="17"/>
          <w:color w:val="auto"/>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68" w:lineRule="exact"/>
        <w:rPr>
          <w:sz w:val="20"/>
          <w:szCs w:val="20"/>
          <w:color w:val="auto"/>
        </w:rPr>
      </w:pPr>
    </w:p>
    <w:p>
      <w:pPr>
        <w:ind w:left="440" w:right="459" w:firstLine="347"/>
        <w:spacing w:after="0" w:line="262" w:lineRule="auto"/>
        <w:rPr>
          <w:sz w:val="20"/>
          <w:szCs w:val="20"/>
          <w:color w:val="auto"/>
        </w:rPr>
      </w:pPr>
      <w:r>
        <w:rPr>
          <w:rFonts w:ascii="Times New Roman" w:cs="Times New Roman" w:eastAsia="Times New Roman" w:hAnsi="Times New Roman"/>
          <w:sz w:val="17"/>
          <w:szCs w:val="17"/>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135890</wp:posOffset>
            </wp:positionV>
            <wp:extent cx="6756400"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0">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9" w:right="1440" w:bottom="1440" w:gutter="0" w:footer="0" w:header="0"/>
        </w:sectPr>
      </w:pPr>
    </w:p>
    <w:bookmarkStart w:id="40" w:name="page41"/>
    <w:bookmarkEnd w:id="40"/>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Special Considerations for Indirect Holders</w:t>
      </w:r>
    </w:p>
    <w:p>
      <w:pPr>
        <w:spacing w:after="0" w:line="119" w:lineRule="exact"/>
        <w:rPr>
          <w:sz w:val="20"/>
          <w:szCs w:val="20"/>
          <w:color w:val="auto"/>
        </w:rPr>
      </w:pPr>
    </w:p>
    <w:p>
      <w:pPr>
        <w:ind w:left="440" w:right="519" w:firstLine="347"/>
        <w:spacing w:after="0" w:line="294" w:lineRule="auto"/>
        <w:rPr>
          <w:sz w:val="20"/>
          <w:szCs w:val="20"/>
          <w:color w:val="auto"/>
        </w:rPr>
      </w:pPr>
      <w:r>
        <w:rPr>
          <w:rFonts w:ascii="Times New Roman" w:cs="Times New Roman" w:eastAsia="Times New Roman" w:hAnsi="Times New Roman"/>
          <w:sz w:val="17"/>
          <w:szCs w:val="17"/>
          <w:color w:val="auto"/>
        </w:rPr>
        <w:t>If you hold securities through a bank, broker or other financial institution, either in book-entry form or in street name, you should check with your own institution to find out:</w:t>
      </w:r>
    </w:p>
    <w:p>
      <w:pPr>
        <w:spacing w:after="0" w:line="43" w:lineRule="exact"/>
        <w:rPr>
          <w:sz w:val="20"/>
          <w:szCs w:val="20"/>
          <w:color w:val="auto"/>
        </w:rPr>
      </w:pPr>
    </w:p>
    <w:p>
      <w:pPr>
        <w:ind w:left="1120" w:hanging="337"/>
        <w:spacing w:after="0"/>
        <w:tabs>
          <w:tab w:leader="none" w:pos="11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performance of third-party service providers;</w:t>
      </w:r>
    </w:p>
    <w:p>
      <w:pPr>
        <w:spacing w:after="0" w:line="117"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how it handles securities payments and notices;</w:t>
      </w:r>
    </w:p>
    <w:p>
      <w:pPr>
        <w:spacing w:after="0" w:line="117"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it imposes fees or charges;</w:t>
      </w:r>
    </w:p>
    <w:p>
      <w:pPr>
        <w:spacing w:after="0" w:line="117"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how it would handle a request for the holders’ consent, if ever required;</w:t>
      </w:r>
    </w:p>
    <w:p>
      <w:pPr>
        <w:spacing w:after="0" w:line="117" w:lineRule="exact"/>
        <w:rPr>
          <w:rFonts w:ascii="Times New Roman" w:cs="Times New Roman" w:eastAsia="Times New Roman" w:hAnsi="Times New Roman"/>
          <w:sz w:val="17"/>
          <w:szCs w:val="17"/>
          <w:color w:val="auto"/>
        </w:rPr>
      </w:pPr>
    </w:p>
    <w:p>
      <w:pPr>
        <w:ind w:left="1120" w:right="719" w:hanging="337"/>
        <w:spacing w:after="0" w:line="294" w:lineRule="auto"/>
        <w:tabs>
          <w:tab w:leader="none" w:pos="11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and how you can instruct it to send you securities registered in your own name so you can be a holder, if that is permitted in the future;</w:t>
      </w:r>
    </w:p>
    <w:p>
      <w:pPr>
        <w:spacing w:after="0" w:line="42" w:lineRule="exact"/>
        <w:rPr>
          <w:rFonts w:ascii="Times New Roman" w:cs="Times New Roman" w:eastAsia="Times New Roman" w:hAnsi="Times New Roman"/>
          <w:sz w:val="17"/>
          <w:szCs w:val="17"/>
          <w:color w:val="auto"/>
        </w:rPr>
      </w:pPr>
    </w:p>
    <w:p>
      <w:pPr>
        <w:ind w:left="1120" w:right="599" w:hanging="337"/>
        <w:spacing w:after="0" w:line="294" w:lineRule="auto"/>
        <w:tabs>
          <w:tab w:leader="none" w:pos="11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how it would exercise rights under the securities if there were a default or other event triggering the need for holders to act to protect their interests; and</w:t>
      </w:r>
    </w:p>
    <w:p>
      <w:pPr>
        <w:spacing w:after="0" w:line="42"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securities are in book-entry form, how the depositary’s rules and procedures will affect these matters.</w:t>
      </w:r>
    </w:p>
    <w:p>
      <w:pPr>
        <w:spacing w:after="0" w:line="3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Global Securities</w:t>
      </w:r>
    </w:p>
    <w:p>
      <w:pPr>
        <w:spacing w:after="0" w:line="119" w:lineRule="exact"/>
        <w:rPr>
          <w:sz w:val="20"/>
          <w:szCs w:val="20"/>
          <w:color w:val="auto"/>
        </w:rPr>
      </w:pPr>
    </w:p>
    <w:p>
      <w:pPr>
        <w:ind w:left="440" w:right="1039" w:firstLine="347"/>
        <w:spacing w:after="0" w:line="294" w:lineRule="auto"/>
        <w:rPr>
          <w:sz w:val="20"/>
          <w:szCs w:val="20"/>
          <w:color w:val="auto"/>
        </w:rPr>
      </w:pPr>
      <w:r>
        <w:rPr>
          <w:rFonts w:ascii="Times New Roman" w:cs="Times New Roman" w:eastAsia="Times New Roman" w:hAnsi="Times New Roman"/>
          <w:sz w:val="17"/>
          <w:szCs w:val="17"/>
          <w:color w:val="auto"/>
        </w:rPr>
        <w:t>A global security is a security that represents one or any other number of individual securities held by a depositary. Generally, all securities represented by the same global securities will have the same terms.</w:t>
      </w:r>
    </w:p>
    <w:p>
      <w:pPr>
        <w:spacing w:after="0" w:line="43" w:lineRule="exact"/>
        <w:rPr>
          <w:sz w:val="20"/>
          <w:szCs w:val="20"/>
          <w:color w:val="auto"/>
        </w:rPr>
      </w:pPr>
    </w:p>
    <w:p>
      <w:pPr>
        <w:ind w:left="440" w:right="459" w:firstLine="347"/>
        <w:spacing w:after="0" w:line="268" w:lineRule="auto"/>
        <w:rPr>
          <w:sz w:val="20"/>
          <w:szCs w:val="20"/>
          <w:color w:val="auto"/>
        </w:rPr>
      </w:pPr>
      <w:r>
        <w:rPr>
          <w:rFonts w:ascii="Times New Roman" w:cs="Times New Roman" w:eastAsia="Times New Roman" w:hAnsi="Times New Roman"/>
          <w:sz w:val="17"/>
          <w:szCs w:val="17"/>
          <w:color w:val="auto"/>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66" w:lineRule="exact"/>
        <w:rPr>
          <w:sz w:val="20"/>
          <w:szCs w:val="20"/>
          <w:color w:val="auto"/>
        </w:rPr>
      </w:pPr>
    </w:p>
    <w:p>
      <w:pPr>
        <w:ind w:left="440" w:right="479" w:firstLine="347"/>
        <w:spacing w:after="0" w:line="260" w:lineRule="auto"/>
        <w:rPr>
          <w:sz w:val="20"/>
          <w:szCs w:val="20"/>
          <w:color w:val="auto"/>
        </w:rPr>
      </w:pPr>
      <w:r>
        <w:rPr>
          <w:rFonts w:ascii="Times New Roman" w:cs="Times New Roman" w:eastAsia="Times New Roman" w:hAnsi="Times New Roman"/>
          <w:sz w:val="17"/>
          <w:szCs w:val="17"/>
          <w:color w:val="auto"/>
        </w:rPr>
        <w:t>A global security may not be transferred to or registered in the name of anyone other than the depositary, its nominee or a successor depositary, unless special termination situations arise. We describe those situations below under the section entitled “Special Situations When a Global Security Will Be Terminated” in this prospectus.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76" w:lineRule="exact"/>
        <w:rPr>
          <w:sz w:val="20"/>
          <w:szCs w:val="20"/>
          <w:color w:val="auto"/>
        </w:rPr>
      </w:pPr>
    </w:p>
    <w:p>
      <w:pPr>
        <w:ind w:left="440" w:right="539" w:firstLine="347"/>
        <w:spacing w:after="0" w:line="268" w:lineRule="auto"/>
        <w:rPr>
          <w:sz w:val="20"/>
          <w:szCs w:val="20"/>
          <w:color w:val="auto"/>
        </w:rPr>
      </w:pPr>
      <w:r>
        <w:rPr>
          <w:rFonts w:ascii="Times New Roman" w:cs="Times New Roman" w:eastAsia="Times New Roman" w:hAnsi="Times New Roman"/>
          <w:sz w:val="17"/>
          <w:szCs w:val="17"/>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2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Special Considerations for Global Securities</w:t>
      </w:r>
    </w:p>
    <w:p>
      <w:pPr>
        <w:spacing w:after="0" w:line="119" w:lineRule="exact"/>
        <w:rPr>
          <w:sz w:val="20"/>
          <w:szCs w:val="20"/>
          <w:color w:val="auto"/>
        </w:rPr>
      </w:pPr>
    </w:p>
    <w:p>
      <w:pPr>
        <w:ind w:left="440" w:right="699" w:firstLine="347"/>
        <w:spacing w:after="0" w:line="268" w:lineRule="auto"/>
        <w:rPr>
          <w:sz w:val="20"/>
          <w:szCs w:val="20"/>
          <w:color w:val="auto"/>
        </w:rPr>
      </w:pPr>
      <w:r>
        <w:rPr>
          <w:rFonts w:ascii="Times New Roman" w:cs="Times New Roman" w:eastAsia="Times New Roman" w:hAnsi="Times New Roman"/>
          <w:sz w:val="17"/>
          <w:szCs w:val="17"/>
          <w:color w:val="auto"/>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0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If securities are issued only in the form of a global security, an investor should be aware of the following:</w:t>
      </w:r>
    </w:p>
    <w:p>
      <w:pPr>
        <w:spacing w:after="0" w:line="117" w:lineRule="exact"/>
        <w:rPr>
          <w:sz w:val="20"/>
          <w:szCs w:val="20"/>
          <w:color w:val="auto"/>
        </w:rPr>
      </w:pPr>
    </w:p>
    <w:p>
      <w:pPr>
        <w:ind w:left="1120" w:right="699" w:hanging="337"/>
        <w:spacing w:after="0" w:line="294" w:lineRule="auto"/>
        <w:tabs>
          <w:tab w:leader="none" w:pos="11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investor cannot cause the securities to be registered in his or her name, and cannot obtain non-global certificates for his or her interest in the securities, except in the special situations we describe below;</w:t>
      </w:r>
    </w:p>
    <w:p>
      <w:pPr>
        <w:spacing w:after="0" w:line="42" w:lineRule="exact"/>
        <w:rPr>
          <w:rFonts w:ascii="Times New Roman" w:cs="Times New Roman" w:eastAsia="Times New Roman" w:hAnsi="Times New Roman"/>
          <w:sz w:val="17"/>
          <w:szCs w:val="17"/>
          <w:color w:val="auto"/>
        </w:rPr>
      </w:pPr>
    </w:p>
    <w:p>
      <w:pPr>
        <w:ind w:left="1120" w:right="599" w:hanging="337"/>
        <w:spacing w:after="0" w:line="294" w:lineRule="auto"/>
        <w:tabs>
          <w:tab w:leader="none" w:pos="11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investor will be an indirect holder and must look to his or her own bank or broker for payments on the securities and protection of his or her legal rights relating to the securities, as we describe above;</w:t>
      </w:r>
    </w:p>
    <w:p>
      <w:pPr>
        <w:spacing w:after="0" w:line="42" w:lineRule="exact"/>
        <w:rPr>
          <w:rFonts w:ascii="Times New Roman" w:cs="Times New Roman" w:eastAsia="Times New Roman" w:hAnsi="Times New Roman"/>
          <w:sz w:val="17"/>
          <w:szCs w:val="17"/>
          <w:color w:val="auto"/>
        </w:rPr>
      </w:pPr>
    </w:p>
    <w:p>
      <w:pPr>
        <w:ind w:left="1120" w:right="799" w:hanging="337"/>
        <w:spacing w:after="0" w:line="294" w:lineRule="auto"/>
        <w:tabs>
          <w:tab w:leader="none" w:pos="11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investor may not be able to sell interests in the securities to some insurance companies and to other institutions that are required by law to own their securities in non-book-entry form;</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127635</wp:posOffset>
            </wp:positionV>
            <wp:extent cx="6756400"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1">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41" w:name="page42"/>
    <w:bookmarkEnd w:id="41"/>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ind w:left="1120" w:right="539" w:hanging="337"/>
        <w:spacing w:after="0" w:line="275" w:lineRule="auto"/>
        <w:tabs>
          <w:tab w:leader="none" w:pos="11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spacing w:after="0" w:line="58" w:lineRule="exact"/>
        <w:rPr>
          <w:rFonts w:ascii="Times New Roman" w:cs="Times New Roman" w:eastAsia="Times New Roman" w:hAnsi="Times New Roman"/>
          <w:sz w:val="17"/>
          <w:szCs w:val="17"/>
          <w:color w:val="auto"/>
        </w:rPr>
      </w:pPr>
    </w:p>
    <w:p>
      <w:pPr>
        <w:ind w:left="1120" w:right="479" w:hanging="337"/>
        <w:spacing w:after="0" w:line="294" w:lineRule="auto"/>
        <w:tabs>
          <w:tab w:leader="none" w:pos="11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depositary’s policies, which may change from time to time, will govern payments, transfers, exchanges and other matters relating to an investor’s interest in a global security;</w:t>
      </w:r>
    </w:p>
    <w:p>
      <w:pPr>
        <w:spacing w:after="0" w:line="42" w:lineRule="exact"/>
        <w:rPr>
          <w:rFonts w:ascii="Times New Roman" w:cs="Times New Roman" w:eastAsia="Times New Roman" w:hAnsi="Times New Roman"/>
          <w:sz w:val="17"/>
          <w:szCs w:val="17"/>
          <w:color w:val="auto"/>
        </w:rPr>
      </w:pPr>
    </w:p>
    <w:p>
      <w:pPr>
        <w:ind w:left="1120" w:right="739" w:hanging="337"/>
        <w:spacing w:after="0" w:line="275" w:lineRule="auto"/>
        <w:tabs>
          <w:tab w:leader="none" w:pos="11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and any applicable trustee have no responsibility for any aspect of the depositary’s actions or for its records of ownership interests in a global security, nor do we or any applicable trustee supervise the depositary in any way;</w:t>
      </w:r>
    </w:p>
    <w:p>
      <w:pPr>
        <w:spacing w:after="0" w:line="58" w:lineRule="exact"/>
        <w:rPr>
          <w:rFonts w:ascii="Times New Roman" w:cs="Times New Roman" w:eastAsia="Times New Roman" w:hAnsi="Times New Roman"/>
          <w:sz w:val="17"/>
          <w:szCs w:val="17"/>
          <w:color w:val="auto"/>
        </w:rPr>
      </w:pPr>
    </w:p>
    <w:p>
      <w:pPr>
        <w:ind w:left="1120" w:right="519" w:hanging="337"/>
        <w:spacing w:after="0" w:line="275" w:lineRule="auto"/>
        <w:tabs>
          <w:tab w:leader="none" w:pos="11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depositary may, and we understand that DTC will, require that those who purchase and sell interests in a global security within its book-entry system use immediately available funds, and your broker or bank may require you to do so as well; and</w:t>
      </w:r>
    </w:p>
    <w:p>
      <w:pPr>
        <w:spacing w:after="0" w:line="58" w:lineRule="exact"/>
        <w:rPr>
          <w:rFonts w:ascii="Times New Roman" w:cs="Times New Roman" w:eastAsia="Times New Roman" w:hAnsi="Times New Roman"/>
          <w:sz w:val="17"/>
          <w:szCs w:val="17"/>
          <w:color w:val="auto"/>
        </w:rPr>
      </w:pPr>
    </w:p>
    <w:p>
      <w:pPr>
        <w:ind w:left="1120" w:right="539" w:hanging="337"/>
        <w:spacing w:after="0" w:line="275" w:lineRule="auto"/>
        <w:tabs>
          <w:tab w:leader="none" w:pos="11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institutions that participate in the depositary’s book-entry system, and through which an investor holds its interest in a global security, may also have their own policies affecting payments, notices and other matters relating to the securities.</w:t>
      </w:r>
    </w:p>
    <w:p>
      <w:pPr>
        <w:spacing w:after="0" w:line="58" w:lineRule="exact"/>
        <w:rPr>
          <w:sz w:val="20"/>
          <w:szCs w:val="20"/>
          <w:color w:val="auto"/>
        </w:rPr>
      </w:pPr>
    </w:p>
    <w:p>
      <w:pPr>
        <w:ind w:left="440" w:right="999" w:firstLine="347"/>
        <w:spacing w:after="0" w:line="294" w:lineRule="auto"/>
        <w:rPr>
          <w:sz w:val="20"/>
          <w:szCs w:val="20"/>
          <w:color w:val="auto"/>
        </w:rPr>
      </w:pPr>
      <w:r>
        <w:rPr>
          <w:rFonts w:ascii="Times New Roman" w:cs="Times New Roman" w:eastAsia="Times New Roman" w:hAnsi="Times New Roman"/>
          <w:sz w:val="17"/>
          <w:szCs w:val="17"/>
          <w:color w:val="auto"/>
        </w:rPr>
        <w:t>There may be more than one financial intermediary in the chain of ownership for an investor. We do not monitor and are not responsible for the actions of any of those intermediaries.</w:t>
      </w:r>
    </w:p>
    <w:p>
      <w:pPr>
        <w:spacing w:after="0" w:line="3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Special Situations When a Global Security Will Be Terminated</w:t>
      </w:r>
    </w:p>
    <w:p>
      <w:pPr>
        <w:spacing w:after="0" w:line="119" w:lineRule="exact"/>
        <w:rPr>
          <w:sz w:val="20"/>
          <w:szCs w:val="20"/>
          <w:color w:val="auto"/>
        </w:rPr>
      </w:pPr>
    </w:p>
    <w:p>
      <w:pPr>
        <w:ind w:left="440" w:right="459" w:firstLine="347"/>
        <w:spacing w:after="0" w:line="265" w:lineRule="auto"/>
        <w:rPr>
          <w:sz w:val="20"/>
          <w:szCs w:val="20"/>
          <w:color w:val="auto"/>
        </w:rPr>
      </w:pPr>
      <w:r>
        <w:rPr>
          <w:rFonts w:ascii="Times New Roman" w:cs="Times New Roman" w:eastAsia="Times New Roman" w:hAnsi="Times New Roman"/>
          <w:sz w:val="17"/>
          <w:szCs w:val="17"/>
          <w:color w:val="auto"/>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spacing w:after="0" w:line="68" w:lineRule="exact"/>
        <w:rPr>
          <w:sz w:val="20"/>
          <w:szCs w:val="20"/>
          <w:color w:val="auto"/>
        </w:rPr>
      </w:pPr>
    </w:p>
    <w:p>
      <w:pPr>
        <w:ind w:left="440" w:right="599" w:firstLine="347"/>
        <w:spacing w:after="0" w:line="294" w:lineRule="auto"/>
        <w:rPr>
          <w:sz w:val="20"/>
          <w:szCs w:val="20"/>
          <w:color w:val="auto"/>
        </w:rPr>
      </w:pPr>
      <w:r>
        <w:rPr>
          <w:rFonts w:ascii="Times New Roman" w:cs="Times New Roman" w:eastAsia="Times New Roman" w:hAnsi="Times New Roman"/>
          <w:sz w:val="17"/>
          <w:szCs w:val="17"/>
          <w:color w:val="auto"/>
        </w:rPr>
        <w:t>Unless we provide otherwise in the applicable prospectus supplement, the global security will terminate when the following special situations occur:</w:t>
      </w:r>
    </w:p>
    <w:p>
      <w:pPr>
        <w:spacing w:after="0" w:line="43" w:lineRule="exact"/>
        <w:rPr>
          <w:sz w:val="20"/>
          <w:szCs w:val="20"/>
          <w:color w:val="auto"/>
        </w:rPr>
      </w:pPr>
    </w:p>
    <w:p>
      <w:pPr>
        <w:ind w:left="1120" w:right="559" w:hanging="337"/>
        <w:spacing w:after="0" w:line="294" w:lineRule="auto"/>
        <w:tabs>
          <w:tab w:leader="none" w:pos="11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depositary notifies us that it is unwilling, unable or no longer qualified to continue as depositary for that global security and we do not appoint another institution to act as depositary within 90 days;</w:t>
      </w:r>
    </w:p>
    <w:p>
      <w:pPr>
        <w:spacing w:after="0" w:line="42"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notify any applicable trustee that we wish to terminate that global security; or</w:t>
      </w:r>
    </w:p>
    <w:p>
      <w:pPr>
        <w:spacing w:after="0" w:line="117" w:lineRule="exact"/>
        <w:rPr>
          <w:rFonts w:ascii="Times New Roman" w:cs="Times New Roman" w:eastAsia="Times New Roman" w:hAnsi="Times New Roman"/>
          <w:sz w:val="17"/>
          <w:szCs w:val="17"/>
          <w:color w:val="auto"/>
        </w:rPr>
      </w:pPr>
    </w:p>
    <w:p>
      <w:pPr>
        <w:ind w:left="1120" w:right="539" w:hanging="337"/>
        <w:spacing w:after="0" w:line="294" w:lineRule="auto"/>
        <w:tabs>
          <w:tab w:leader="none" w:pos="11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 event of default has occurred with regard to securities represented by that global security and has not been cured or waived.</w:t>
      </w:r>
    </w:p>
    <w:p>
      <w:pPr>
        <w:spacing w:after="0" w:line="43" w:lineRule="exact"/>
        <w:rPr>
          <w:sz w:val="20"/>
          <w:szCs w:val="20"/>
          <w:color w:val="auto"/>
        </w:rPr>
      </w:pPr>
    </w:p>
    <w:p>
      <w:pPr>
        <w:ind w:left="440" w:right="459" w:firstLine="347"/>
        <w:spacing w:after="0" w:line="268" w:lineRule="auto"/>
        <w:rPr>
          <w:sz w:val="20"/>
          <w:szCs w:val="20"/>
          <w:color w:val="auto"/>
        </w:rPr>
      </w:pPr>
      <w:r>
        <w:rPr>
          <w:rFonts w:ascii="Times New Roman" w:cs="Times New Roman" w:eastAsia="Times New Roman" w:hAnsi="Times New Roman"/>
          <w:sz w:val="17"/>
          <w:szCs w:val="17"/>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127635</wp:posOffset>
            </wp:positionV>
            <wp:extent cx="675640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2">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42" w:name="page43"/>
    <w:bookmarkEnd w:id="42"/>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SELLING SECURITYHOLDERS</w:t>
      </w:r>
    </w:p>
    <w:p>
      <w:pPr>
        <w:spacing w:after="0" w:line="119" w:lineRule="exact"/>
        <w:rPr>
          <w:sz w:val="20"/>
          <w:szCs w:val="20"/>
          <w:color w:val="auto"/>
        </w:rPr>
      </w:pPr>
    </w:p>
    <w:p>
      <w:pPr>
        <w:ind w:left="440" w:right="519" w:firstLine="347"/>
        <w:spacing w:after="0" w:line="264" w:lineRule="auto"/>
        <w:rPr>
          <w:sz w:val="20"/>
          <w:szCs w:val="20"/>
          <w:color w:val="auto"/>
        </w:rPr>
      </w:pPr>
      <w:r>
        <w:rPr>
          <w:rFonts w:ascii="Times New Roman" w:cs="Times New Roman" w:eastAsia="Times New Roman" w:hAnsi="Times New Roman"/>
          <w:sz w:val="17"/>
          <w:szCs w:val="17"/>
          <w:color w:val="auto"/>
        </w:rPr>
        <w:t>Selling securityholders are persons or entities that, directly or indirectly, have acquired or will from time to time acquire from us, our securities. If the registration statement of which this prospectus forms a part is used by selling securityholders for the resale of any securities registered thereunder pursuant to a registration rights agreement between us and such selling securityholders or otherwise, information about such selling securityholders, their beneficial ownership of our securities and their relationship with us will be set forth in a prospectus supplement.</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135890</wp:posOffset>
            </wp:positionV>
            <wp:extent cx="6756400"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3">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43" w:name="page44"/>
    <w:bookmarkEnd w:id="43"/>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119" w:lineRule="exact"/>
        <w:rPr>
          <w:sz w:val="20"/>
          <w:szCs w:val="20"/>
          <w:color w:val="auto"/>
        </w:rPr>
      </w:pPr>
    </w:p>
    <w:p>
      <w:pPr>
        <w:ind w:left="440" w:right="519" w:firstLine="347"/>
        <w:spacing w:after="0" w:line="262" w:lineRule="auto"/>
        <w:rPr>
          <w:sz w:val="20"/>
          <w:szCs w:val="20"/>
          <w:color w:val="auto"/>
        </w:rPr>
      </w:pPr>
      <w:r>
        <w:rPr>
          <w:rFonts w:ascii="Times New Roman" w:cs="Times New Roman" w:eastAsia="Times New Roman" w:hAnsi="Times New Roman"/>
          <w:sz w:val="17"/>
          <w:szCs w:val="17"/>
          <w:color w:val="auto"/>
        </w:rPr>
        <w:t>Except as described in any applicable prospectus supplement or in any free writing prospectuses we have authorized for use in connection with a specific offering, we intend to use the net proceeds from the sale of the securities under this prospectus for general corporate purposes, which may include funding research and development and sales and marketing activities, increasing our working capital, acquisitions or investments in businesses, products or technologies that are complementary to our own, and capital expenditures. We will set forth in the applicable prospectus supplement our intended use for the net proceeds received from the sale of any securities. Pending the use of the net proceeds, we intend to invest the net proceeds in short-term, investment-grade, interest-bearing securities.</w:t>
      </w:r>
    </w:p>
    <w:p>
      <w:pPr>
        <w:spacing w:after="0" w:line="279" w:lineRule="exact"/>
        <w:rPr>
          <w:sz w:val="20"/>
          <w:szCs w:val="20"/>
          <w:color w:val="auto"/>
        </w:rPr>
      </w:pPr>
    </w:p>
    <w:p>
      <w:pPr>
        <w:ind w:left="440" w:right="559" w:firstLine="347"/>
        <w:spacing w:after="0" w:line="294" w:lineRule="auto"/>
        <w:rPr>
          <w:sz w:val="20"/>
          <w:szCs w:val="20"/>
          <w:color w:val="auto"/>
        </w:rPr>
      </w:pPr>
      <w:r>
        <w:rPr>
          <w:rFonts w:ascii="Times New Roman" w:cs="Times New Roman" w:eastAsia="Times New Roman" w:hAnsi="Times New Roman"/>
          <w:sz w:val="17"/>
          <w:szCs w:val="17"/>
          <w:color w:val="auto"/>
        </w:rPr>
        <w:t>Unless the applicable prospectus supplement provides otherwise, we will not receive any of the proceeds from the sale of our securities by selling securityholders.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135890</wp:posOffset>
            </wp:positionV>
            <wp:extent cx="6756400"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4">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9" w:right="1440" w:bottom="1440" w:gutter="0" w:footer="0" w:header="0"/>
        </w:sectPr>
      </w:pPr>
    </w:p>
    <w:bookmarkStart w:id="44" w:name="page45"/>
    <w:bookmarkEnd w:id="44"/>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119" w:lineRule="exact"/>
        <w:rPr>
          <w:sz w:val="20"/>
          <w:szCs w:val="20"/>
          <w:color w:val="auto"/>
        </w:rPr>
      </w:pPr>
    </w:p>
    <w:p>
      <w:pPr>
        <w:ind w:left="440" w:right="559" w:firstLine="347"/>
        <w:spacing w:after="0" w:line="265" w:lineRule="auto"/>
        <w:rPr>
          <w:sz w:val="20"/>
          <w:szCs w:val="20"/>
          <w:color w:val="auto"/>
        </w:rPr>
      </w:pPr>
      <w:r>
        <w:rPr>
          <w:rFonts w:ascii="Times New Roman" w:cs="Times New Roman" w:eastAsia="Times New Roman" w:hAnsi="Times New Roman"/>
          <w:sz w:val="17"/>
          <w:szCs w:val="17"/>
          <w:color w:val="auto"/>
        </w:rPr>
        <w:t>We or selling securityholders may sell the securities from time to time pursuant to underwritten public offerings, “at-the-market” offerings, negotiated transactions, block trades or a combination of these methods. We or selling securityholders may sell the securities to or through one or more underwriters or dealers (acting as principal or agent), through agents, or directly to one or more purchasers. We or selling securityholders may distribute securities from time to time in one or more transactions:</w:t>
      </w:r>
    </w:p>
    <w:p>
      <w:pPr>
        <w:spacing w:after="0" w:line="68" w:lineRule="exact"/>
        <w:rPr>
          <w:sz w:val="20"/>
          <w:szCs w:val="20"/>
          <w:color w:val="auto"/>
        </w:rPr>
      </w:pPr>
    </w:p>
    <w:p>
      <w:pPr>
        <w:ind w:left="1120" w:hanging="337"/>
        <w:spacing w:after="0"/>
        <w:tabs>
          <w:tab w:leader="none" w:pos="11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 fixed price or prices, which may be changed;</w:t>
      </w:r>
    </w:p>
    <w:p>
      <w:pPr>
        <w:spacing w:after="0" w:line="117"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market prices prevailing at the time of sale;</w:t>
      </w:r>
    </w:p>
    <w:p>
      <w:pPr>
        <w:spacing w:after="0" w:line="117"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prices related to such prevailing market prices; or</w:t>
      </w:r>
    </w:p>
    <w:p>
      <w:pPr>
        <w:spacing w:after="0" w:line="117"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negotiated prices.</w:t>
      </w:r>
    </w:p>
    <w:p>
      <w:pPr>
        <w:spacing w:after="0" w:line="117" w:lineRule="exact"/>
        <w:rPr>
          <w:sz w:val="20"/>
          <w:szCs w:val="20"/>
          <w:color w:val="auto"/>
        </w:rPr>
      </w:pPr>
    </w:p>
    <w:p>
      <w:pPr>
        <w:ind w:left="440" w:right="599" w:firstLine="347"/>
        <w:spacing w:after="0" w:line="294" w:lineRule="auto"/>
        <w:rPr>
          <w:sz w:val="20"/>
          <w:szCs w:val="20"/>
          <w:color w:val="auto"/>
        </w:rPr>
      </w:pPr>
      <w:r>
        <w:rPr>
          <w:rFonts w:ascii="Times New Roman" w:cs="Times New Roman" w:eastAsia="Times New Roman" w:hAnsi="Times New Roman"/>
          <w:sz w:val="17"/>
          <w:szCs w:val="17"/>
          <w:color w:val="auto"/>
        </w:rPr>
        <w:t>A prospectus supplement or supplements (and any related free writing prospectus that we may authorize to be provided to you) will describe the terms of the offering of the securities, including, to the extent applicable:</w:t>
      </w:r>
    </w:p>
    <w:p>
      <w:pPr>
        <w:spacing w:after="0" w:line="43" w:lineRule="exact"/>
        <w:rPr>
          <w:sz w:val="20"/>
          <w:szCs w:val="20"/>
          <w:color w:val="auto"/>
        </w:rPr>
      </w:pPr>
    </w:p>
    <w:p>
      <w:pPr>
        <w:ind w:left="1120" w:hanging="337"/>
        <w:spacing w:after="0"/>
        <w:tabs>
          <w:tab w:leader="none" w:pos="11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or names of the underwriters, dealers or agents, if any;</w:t>
      </w:r>
    </w:p>
    <w:p>
      <w:pPr>
        <w:spacing w:after="0" w:line="117"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or names of the selling securityholders, if any;</w:t>
      </w:r>
    </w:p>
    <w:p>
      <w:pPr>
        <w:spacing w:after="0" w:line="117" w:lineRule="exact"/>
        <w:rPr>
          <w:rFonts w:ascii="Times New Roman" w:cs="Times New Roman" w:eastAsia="Times New Roman" w:hAnsi="Times New Roman"/>
          <w:sz w:val="17"/>
          <w:szCs w:val="17"/>
          <w:color w:val="auto"/>
        </w:rPr>
      </w:pPr>
    </w:p>
    <w:p>
      <w:pPr>
        <w:ind w:left="1120" w:right="459" w:hanging="337"/>
        <w:spacing w:after="0" w:line="294" w:lineRule="auto"/>
        <w:tabs>
          <w:tab w:leader="none" w:pos="11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 price of the securities or other consideration therefor, and the proceeds, if any, we will receive from the sale;</w:t>
      </w:r>
    </w:p>
    <w:p>
      <w:pPr>
        <w:spacing w:after="0" w:line="42" w:lineRule="exact"/>
        <w:rPr>
          <w:rFonts w:ascii="Times New Roman" w:cs="Times New Roman" w:eastAsia="Times New Roman" w:hAnsi="Times New Roman"/>
          <w:sz w:val="17"/>
          <w:szCs w:val="17"/>
          <w:color w:val="auto"/>
        </w:rPr>
      </w:pPr>
    </w:p>
    <w:p>
      <w:pPr>
        <w:ind w:left="1120" w:right="579" w:hanging="337"/>
        <w:spacing w:after="0" w:line="294" w:lineRule="auto"/>
        <w:tabs>
          <w:tab w:leader="none" w:pos="11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over-allotment or other options under which underwriters may purchase additional securities from us or any selling securityholders;</w:t>
      </w:r>
    </w:p>
    <w:p>
      <w:pPr>
        <w:spacing w:after="0" w:line="42" w:lineRule="exact"/>
        <w:rPr>
          <w:rFonts w:ascii="Times New Roman" w:cs="Times New Roman" w:eastAsia="Times New Roman" w:hAnsi="Times New Roman"/>
          <w:sz w:val="17"/>
          <w:szCs w:val="17"/>
          <w:color w:val="auto"/>
        </w:rPr>
      </w:pPr>
    </w:p>
    <w:p>
      <w:pPr>
        <w:ind w:left="1120" w:right="1259" w:hanging="337"/>
        <w:spacing w:after="0" w:line="294" w:lineRule="auto"/>
        <w:tabs>
          <w:tab w:leader="none" w:pos="11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agency fees or underwriting discounts and other items constituting agents’ or underwriters’ compensation;</w:t>
      </w:r>
    </w:p>
    <w:p>
      <w:pPr>
        <w:spacing w:after="0" w:line="42"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public offering price;</w:t>
      </w:r>
    </w:p>
    <w:p>
      <w:pPr>
        <w:spacing w:after="0" w:line="117"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discounts or concessions allowed or re-allowed or paid to dealers; and</w:t>
      </w:r>
    </w:p>
    <w:p>
      <w:pPr>
        <w:spacing w:after="0" w:line="117"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securities exchange or market on which the securities may be listed.</w:t>
      </w:r>
    </w:p>
    <w:p>
      <w:pPr>
        <w:spacing w:after="0" w:line="117" w:lineRule="exact"/>
        <w:rPr>
          <w:sz w:val="20"/>
          <w:szCs w:val="20"/>
          <w:color w:val="auto"/>
        </w:rPr>
      </w:pPr>
    </w:p>
    <w:p>
      <w:pPr>
        <w:ind w:left="440" w:right="439" w:firstLine="347"/>
        <w:spacing w:after="0" w:line="265" w:lineRule="auto"/>
        <w:rPr>
          <w:sz w:val="20"/>
          <w:szCs w:val="20"/>
          <w:color w:val="auto"/>
        </w:rPr>
      </w:pPr>
      <w:r>
        <w:rPr>
          <w:rFonts w:ascii="Times New Roman" w:cs="Times New Roman" w:eastAsia="Times New Roman" w:hAnsi="Times New Roman"/>
          <w:sz w:val="17"/>
          <w:szCs w:val="17"/>
          <w:color w:val="auto"/>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68" w:lineRule="exact"/>
        <w:rPr>
          <w:sz w:val="20"/>
          <w:szCs w:val="20"/>
          <w:color w:val="auto"/>
        </w:rPr>
      </w:pPr>
    </w:p>
    <w:p>
      <w:pPr>
        <w:ind w:left="440" w:right="459" w:firstLine="347"/>
        <w:spacing w:after="0" w:line="275" w:lineRule="auto"/>
        <w:rPr>
          <w:sz w:val="20"/>
          <w:szCs w:val="20"/>
          <w:color w:val="auto"/>
        </w:rPr>
      </w:pPr>
      <w:r>
        <w:rPr>
          <w:rFonts w:ascii="Times New Roman" w:cs="Times New Roman" w:eastAsia="Times New Roman" w:hAnsi="Times New Roman"/>
          <w:sz w:val="17"/>
          <w:szCs w:val="17"/>
          <w:color w:val="auto"/>
        </w:rPr>
        <w:t>Unless stated otherwise in the prospectus supplement, the securities offered by a prospectus supplement have not been qualified for distribution by prospectus under the securities laws of any province or territory of Canada, and may only be sold in Canada pursuant to an exemption from the prospectus requirements of Canadian securities laws.</w:t>
      </w:r>
    </w:p>
    <w:p>
      <w:pPr>
        <w:spacing w:after="0" w:line="58" w:lineRule="exact"/>
        <w:rPr>
          <w:sz w:val="20"/>
          <w:szCs w:val="20"/>
          <w:color w:val="auto"/>
        </w:rPr>
      </w:pPr>
    </w:p>
    <w:p>
      <w:pPr>
        <w:ind w:left="440" w:right="459" w:firstLine="347"/>
        <w:spacing w:after="0" w:line="259" w:lineRule="auto"/>
        <w:rPr>
          <w:sz w:val="20"/>
          <w:szCs w:val="20"/>
          <w:color w:val="auto"/>
        </w:rPr>
      </w:pPr>
      <w:r>
        <w:rPr>
          <w:rFonts w:ascii="Times New Roman" w:cs="Times New Roman" w:eastAsia="Times New Roman" w:hAnsi="Times New Roman"/>
          <w:sz w:val="17"/>
          <w:szCs w:val="17"/>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or selling securityholders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If a dealer is used in the sale of securities, we, a selling stockholder,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w:t>
      </w:r>
    </w:p>
    <w:p>
      <w:pPr>
        <w:spacing w:after="0" w:line="287" w:lineRule="exact"/>
        <w:rPr>
          <w:sz w:val="20"/>
          <w:szCs w:val="20"/>
          <w:color w:val="auto"/>
        </w:rPr>
      </w:pPr>
    </w:p>
    <w:p>
      <w:pPr>
        <w:ind w:left="440" w:right="659" w:firstLine="347"/>
        <w:spacing w:after="0" w:line="275" w:lineRule="auto"/>
        <w:rPr>
          <w:sz w:val="20"/>
          <w:szCs w:val="20"/>
          <w:color w:val="auto"/>
        </w:rPr>
      </w:pPr>
      <w:r>
        <w:rPr>
          <w:rFonts w:ascii="Times New Roman" w:cs="Times New Roman" w:eastAsia="Times New Roman" w:hAnsi="Times New Roman"/>
          <w:sz w:val="17"/>
          <w:szCs w:val="17"/>
          <w:color w:val="auto"/>
        </w:rPr>
        <w:t>We or selling securityholders may use underwriters, dealers or agents with whom we have a material relationship. We will describe in the prospectus supplement, naming the underwriter, dealer or agent, the nature of any such relationship.</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135890</wp:posOffset>
            </wp:positionV>
            <wp:extent cx="6756400"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5">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45" w:name="page46"/>
    <w:bookmarkEnd w:id="45"/>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ind w:left="440" w:right="519" w:firstLine="347"/>
        <w:spacing w:after="0" w:line="268" w:lineRule="auto"/>
        <w:rPr>
          <w:sz w:val="20"/>
          <w:szCs w:val="20"/>
          <w:color w:val="auto"/>
        </w:rPr>
      </w:pPr>
      <w:r>
        <w:rPr>
          <w:rFonts w:ascii="Times New Roman" w:cs="Times New Roman" w:eastAsia="Times New Roman" w:hAnsi="Times New Roman"/>
          <w:sz w:val="17"/>
          <w:szCs w:val="17"/>
          <w:color w:val="auto"/>
        </w:rPr>
        <w:t>We or selling securityholders may sell securities directly or through agents we designate from time to time. We will name any agent involved in the offering and sale of securities and we will describe any commissions payable to the agent in the prospectus supplement. Unless the prospectus supplement states otherwise, the agent will act on a best-efforts basis for the period of its appointment.</w:t>
      </w:r>
    </w:p>
    <w:p>
      <w:pPr>
        <w:spacing w:after="0" w:line="66" w:lineRule="exact"/>
        <w:rPr>
          <w:sz w:val="20"/>
          <w:szCs w:val="20"/>
          <w:color w:val="auto"/>
        </w:rPr>
      </w:pPr>
    </w:p>
    <w:p>
      <w:pPr>
        <w:ind w:left="440" w:right="579" w:firstLine="347"/>
        <w:spacing w:after="0" w:line="268" w:lineRule="auto"/>
        <w:rPr>
          <w:sz w:val="20"/>
          <w:szCs w:val="20"/>
          <w:color w:val="auto"/>
        </w:rPr>
      </w:pPr>
      <w:r>
        <w:rPr>
          <w:rFonts w:ascii="Times New Roman" w:cs="Times New Roman" w:eastAsia="Times New Roman" w:hAnsi="Times New Roman"/>
          <w:sz w:val="17"/>
          <w:szCs w:val="17"/>
          <w:color w:val="auto"/>
        </w:rPr>
        <w:t>We may provide agents, underwriters and dealers with indemnification against civil liabilities, including liabilities under the Securities Act, or contribution with respect to payments that the agents, underwriters or dealers may make with respect to these liabilities. Agents, underwriters and dealers, or their affiliates, may engage in transactions with, or perform services for, us in the ordinary course of business.</w:t>
      </w:r>
    </w:p>
    <w:p>
      <w:pPr>
        <w:spacing w:after="0" w:line="66" w:lineRule="exact"/>
        <w:rPr>
          <w:sz w:val="20"/>
          <w:szCs w:val="20"/>
          <w:color w:val="auto"/>
        </w:rPr>
      </w:pPr>
    </w:p>
    <w:p>
      <w:pPr>
        <w:jc w:val="both"/>
        <w:ind w:left="440" w:right="819" w:firstLine="347"/>
        <w:spacing w:after="0" w:line="275" w:lineRule="auto"/>
        <w:rPr>
          <w:sz w:val="20"/>
          <w:szCs w:val="20"/>
          <w:color w:val="auto"/>
        </w:rPr>
      </w:pPr>
      <w:r>
        <w:rPr>
          <w:rFonts w:ascii="Times New Roman" w:cs="Times New Roman" w:eastAsia="Times New Roman" w:hAnsi="Times New Roman"/>
          <w:sz w:val="17"/>
          <w:szCs w:val="17"/>
          <w:color w:val="auto"/>
        </w:rPr>
        <w:t>Selling securityholders may be deemed to be underwriters under the Securities Act in connection with the securities they resell and any profits on the sales may be deemed to be underwriting discounts and commissions under the Securities Act.</w:t>
      </w:r>
    </w:p>
    <w:p>
      <w:pPr>
        <w:spacing w:after="0" w:line="58" w:lineRule="exact"/>
        <w:rPr>
          <w:sz w:val="20"/>
          <w:szCs w:val="20"/>
          <w:color w:val="auto"/>
        </w:rPr>
      </w:pPr>
    </w:p>
    <w:p>
      <w:pPr>
        <w:ind w:left="440" w:right="539" w:firstLine="347"/>
        <w:spacing w:after="0" w:line="268" w:lineRule="auto"/>
        <w:rPr>
          <w:sz w:val="20"/>
          <w:szCs w:val="20"/>
          <w:color w:val="auto"/>
        </w:rPr>
      </w:pPr>
      <w:r>
        <w:rPr>
          <w:rFonts w:ascii="Times New Roman" w:cs="Times New Roman" w:eastAsia="Times New Roman" w:hAnsi="Times New Roman"/>
          <w:sz w:val="17"/>
          <w:szCs w:val="17"/>
          <w:color w:val="auto"/>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66" w:lineRule="exact"/>
        <w:rPr>
          <w:sz w:val="20"/>
          <w:szCs w:val="20"/>
          <w:color w:val="auto"/>
        </w:rPr>
      </w:pPr>
    </w:p>
    <w:p>
      <w:pPr>
        <w:ind w:left="440" w:right="459" w:firstLine="347"/>
        <w:spacing w:after="0" w:line="260" w:lineRule="auto"/>
        <w:rPr>
          <w:sz w:val="20"/>
          <w:szCs w:val="20"/>
          <w:color w:val="auto"/>
        </w:rPr>
      </w:pPr>
      <w:r>
        <w:rPr>
          <w:rFonts w:ascii="Times New Roman" w:cs="Times New Roman" w:eastAsia="Times New Roman" w:hAnsi="Times New Roman"/>
          <w:sz w:val="17"/>
          <w:szCs w:val="17"/>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76" w:lineRule="exact"/>
        <w:rPr>
          <w:sz w:val="20"/>
          <w:szCs w:val="20"/>
          <w:color w:val="auto"/>
        </w:rPr>
      </w:pPr>
    </w:p>
    <w:p>
      <w:pPr>
        <w:ind w:left="440" w:right="479" w:firstLine="347"/>
        <w:spacing w:after="0" w:line="260" w:lineRule="auto"/>
        <w:rPr>
          <w:sz w:val="20"/>
          <w:szCs w:val="20"/>
          <w:color w:val="auto"/>
        </w:rPr>
      </w:pPr>
      <w:r>
        <w:rPr>
          <w:rFonts w:ascii="Times New Roman" w:cs="Times New Roman" w:eastAsia="Times New Roman" w:hAnsi="Times New Roman"/>
          <w:sz w:val="17"/>
          <w:szCs w:val="17"/>
          <w:color w:val="auto"/>
        </w:rPr>
        <w:t>Any underwriters that are qualified market makers on The Nasdaq Global Select Market may engage in passive market making transactions in the common stock on The Nasdaq Global Select Market in accordance with Regulation M under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135890</wp:posOffset>
            </wp:positionV>
            <wp:extent cx="6756400"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46" w:name="page47"/>
    <w:bookmarkEnd w:id="46"/>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19" w:lineRule="exact"/>
        <w:rPr>
          <w:sz w:val="20"/>
          <w:szCs w:val="20"/>
          <w:color w:val="auto"/>
        </w:rPr>
      </w:pPr>
    </w:p>
    <w:p>
      <w:pPr>
        <w:ind w:left="440" w:right="459" w:firstLine="347"/>
        <w:spacing w:after="0" w:line="268" w:lineRule="auto"/>
        <w:rPr>
          <w:sz w:val="20"/>
          <w:szCs w:val="20"/>
          <w:color w:val="auto"/>
        </w:rPr>
      </w:pPr>
      <w:r>
        <w:rPr>
          <w:rFonts w:ascii="Times New Roman" w:cs="Times New Roman" w:eastAsia="Times New Roman" w:hAnsi="Times New Roman"/>
          <w:sz w:val="17"/>
          <w:szCs w:val="17"/>
          <w:color w:val="auto"/>
        </w:rPr>
        <w:t>Unless otherwise indicated in the applicable prospectus supplement, the validity of the securities offered by this prospectus, and any supplement thereto, will be passed upon for us by DLA Piper LLP (US), New York, New York. Any underwriters, dealers or agents will also be advised about the validity of the securities and other legal matters by their own counsel, which will be named in the applicable prospectus supplement.</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119" w:lineRule="exact"/>
        <w:rPr>
          <w:sz w:val="20"/>
          <w:szCs w:val="20"/>
          <w:color w:val="auto"/>
        </w:rPr>
      </w:pPr>
    </w:p>
    <w:p>
      <w:pPr>
        <w:ind w:left="440" w:right="499" w:firstLine="347"/>
        <w:spacing w:after="0" w:line="260" w:lineRule="auto"/>
        <w:rPr>
          <w:sz w:val="20"/>
          <w:szCs w:val="20"/>
          <w:color w:val="auto"/>
        </w:rPr>
      </w:pPr>
      <w:r>
        <w:rPr>
          <w:rFonts w:ascii="Times New Roman" w:cs="Times New Roman" w:eastAsia="Times New Roman" w:hAnsi="Times New Roman"/>
          <w:sz w:val="17"/>
          <w:szCs w:val="17"/>
          <w:color w:val="auto"/>
        </w:rPr>
        <w:t>The financial statements and management’s assessment of the effectiveness of internal control over financial reporting (which is included in Management’s Report on Internal Control over Financial Reporting) incorporated by reference in this prospectus by reference to the Annual Report on Form 10-K for the year ended May 31, 2025 have been so incorporated in reliance on the report (which contains a paragraph relating to the effectiveness of internal control over financial reporting due to the exclusion of the Craft Acquisition II, which includes Atwater Brewery, Hop Valley Brewing Company, Terrapin Beer Co., and Revolver Brewing, because they were acquired by the Company in purchase business combinations during the year ended May 31, 2025) of PricewaterhouseCoopers LLP, an independent registered public accounting firm, given on the authority of said firm as experts in auditing and accounting.</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119" w:lineRule="exact"/>
        <w:rPr>
          <w:sz w:val="20"/>
          <w:szCs w:val="20"/>
          <w:color w:val="auto"/>
        </w:rPr>
      </w:pPr>
    </w:p>
    <w:p>
      <w:pPr>
        <w:ind w:left="440" w:right="459" w:firstLine="347"/>
        <w:spacing w:after="0" w:line="263" w:lineRule="auto"/>
        <w:rPr>
          <w:sz w:val="20"/>
          <w:szCs w:val="20"/>
          <w:color w:val="auto"/>
        </w:rPr>
      </w:pPr>
      <w:r>
        <w:rPr>
          <w:rFonts w:ascii="Times New Roman" w:cs="Times New Roman" w:eastAsia="Times New Roman" w:hAnsi="Times New Roman"/>
          <w:sz w:val="17"/>
          <w:szCs w:val="17"/>
          <w:color w:val="auto"/>
        </w:rPr>
        <w:t>This prospectus is part of the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w:t>
      </w:r>
    </w:p>
    <w:p>
      <w:pPr>
        <w:spacing w:after="0" w:line="71" w:lineRule="exact"/>
        <w:rPr>
          <w:sz w:val="20"/>
          <w:szCs w:val="20"/>
          <w:color w:val="auto"/>
        </w:rPr>
      </w:pPr>
    </w:p>
    <w:p>
      <w:pPr>
        <w:ind w:left="440" w:right="499" w:firstLine="347"/>
        <w:spacing w:after="0" w:line="262" w:lineRule="auto"/>
        <w:rPr>
          <w:sz w:val="20"/>
          <w:szCs w:val="20"/>
          <w:color w:val="auto"/>
        </w:rPr>
      </w:pPr>
      <w:r>
        <w:rPr>
          <w:rFonts w:ascii="Times New Roman" w:cs="Times New Roman" w:eastAsia="Times New Roman" w:hAnsi="Times New Roman"/>
          <w:sz w:val="17"/>
          <w:szCs w:val="17"/>
          <w:color w:val="auto"/>
        </w:rPr>
        <w:t>We are required to file periodic reports, proxy statements and other information with the SEC pursuant to the Exchange Act. Our SEC filings are available to the public on the SEC’s website at www.sec.gov, which contains reports, proxies and information statements and other information regarding registrants that file electronically. We also maintain a website at www.tilray.com, at which you may access these materials free of charge as soon as reasonably practicable after they are electronically filed with, or furnished to, the SEC. Information contained on, or that can be accessed through, our website is not a part of this prospectus and the inclusion of our website address in this prospectus is an inactive textual reference only.</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127635</wp:posOffset>
            </wp:positionV>
            <wp:extent cx="6756400"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7">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47" w:name="page48"/>
    <w:bookmarkEnd w:id="47"/>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INCORPORATION OF CERTAIN INFORMATION BY REFERENCE</w:t>
      </w:r>
    </w:p>
    <w:p>
      <w:pPr>
        <w:spacing w:after="0" w:line="119" w:lineRule="exact"/>
        <w:rPr>
          <w:sz w:val="20"/>
          <w:szCs w:val="20"/>
          <w:color w:val="auto"/>
        </w:rPr>
      </w:pPr>
    </w:p>
    <w:p>
      <w:pPr>
        <w:ind w:left="440" w:right="459" w:firstLine="347"/>
        <w:spacing w:after="0" w:line="264" w:lineRule="auto"/>
        <w:rPr>
          <w:sz w:val="20"/>
          <w:szCs w:val="20"/>
          <w:color w:val="auto"/>
        </w:rPr>
      </w:pPr>
      <w:r>
        <w:rPr>
          <w:rFonts w:ascii="Times New Roman" w:cs="Times New Roman" w:eastAsia="Times New Roman" w:hAnsi="Times New Roman"/>
          <w:sz w:val="17"/>
          <w:szCs w:val="17"/>
          <w:color w:val="auto"/>
        </w:rPr>
        <w:t>The SEC allows us to “incorporate by reference” into this prospectus certain information. This means that we can disclose important information to you by referring you to those documents that contain the information. The information we incorporate by reference is considered a part of this prospectus. We incorporate by reference into this prospectus the documents listed below that we have filed with the SEC. Any report or information within any of the documents referenced below that is furnished, but not filed, shall not be incorporated by reference into this prospectus.</w:t>
      </w:r>
    </w:p>
    <w:p>
      <w:pPr>
        <w:spacing w:after="0" w:line="281" w:lineRule="exact"/>
        <w:rPr>
          <w:sz w:val="20"/>
          <w:szCs w:val="20"/>
          <w:color w:val="auto"/>
        </w:rPr>
      </w:pPr>
    </w:p>
    <w:p>
      <w:pPr>
        <w:ind w:left="1120" w:right="639" w:hanging="337"/>
        <w:spacing w:after="0" w:line="294" w:lineRule="auto"/>
        <w:tabs>
          <w:tab w:leader="none" w:pos="1120" w:val="left"/>
        </w:tabs>
        <w:numPr>
          <w:ilvl w:val="0"/>
          <w:numId w:val="38"/>
        </w:numPr>
        <w:rPr>
          <w:rFonts w:ascii="Times New Roman" w:cs="Times New Roman" w:eastAsia="Times New Roman" w:hAnsi="Times New Roman"/>
          <w:sz w:val="17"/>
          <w:szCs w:val="17"/>
          <w:color w:val="0000EE"/>
        </w:rPr>
      </w:pPr>
      <w:hyperlink r:id="rId27">
        <w:r>
          <w:rPr>
            <w:rFonts w:ascii="Times New Roman" w:cs="Times New Roman" w:eastAsia="Times New Roman" w:hAnsi="Times New Roman"/>
            <w:sz w:val="17"/>
            <w:szCs w:val="17"/>
            <w:color w:val="auto"/>
          </w:rPr>
          <w:t xml:space="preserve">our Annual Report on Form 10-K for the fiscal year ended May 31, 2025, filed with the SEC on </w:t>
        </w:r>
        <w:r>
          <w:rPr>
            <w:rFonts w:ascii="Times New Roman" w:cs="Times New Roman" w:eastAsia="Times New Roman" w:hAnsi="Times New Roman"/>
            <w:sz w:val="17"/>
            <w:szCs w:val="17"/>
            <w:u w:val="single" w:color="auto"/>
            <w:color w:val="0000EE"/>
          </w:rPr>
          <w:t>July 29,</w:t>
        </w:r>
      </w:hyperlink>
      <w:r>
        <w:rPr>
          <w:rFonts w:ascii="Times New Roman" w:cs="Times New Roman" w:eastAsia="Times New Roman" w:hAnsi="Times New Roman"/>
          <w:sz w:val="17"/>
          <w:szCs w:val="17"/>
          <w:color w:val="auto"/>
        </w:rPr>
        <w:t xml:space="preserve"> </w:t>
      </w:r>
      <w:hyperlink r:id="rId27">
        <w:r>
          <w:rPr>
            <w:rFonts w:ascii="Times New Roman" w:cs="Times New Roman" w:eastAsia="Times New Roman" w:hAnsi="Times New Roman"/>
            <w:sz w:val="17"/>
            <w:szCs w:val="17"/>
            <w:u w:val="single" w:color="auto"/>
            <w:color w:val="0000EE"/>
          </w:rPr>
          <w:t>2025</w:t>
        </w:r>
        <w:r>
          <w:rPr>
            <w:rFonts w:ascii="Times New Roman" w:cs="Times New Roman" w:eastAsia="Times New Roman" w:hAnsi="Times New Roman"/>
            <w:sz w:val="17"/>
            <w:szCs w:val="17"/>
            <w:color w:val="000000"/>
          </w:rPr>
          <w:t>;</w:t>
        </w:r>
      </w:hyperlink>
    </w:p>
    <w:p>
      <w:pPr>
        <w:spacing w:after="0" w:line="42" w:lineRule="exact"/>
        <w:rPr>
          <w:rFonts w:ascii="Times New Roman" w:cs="Times New Roman" w:eastAsia="Times New Roman" w:hAnsi="Times New Roman"/>
          <w:sz w:val="17"/>
          <w:szCs w:val="17"/>
          <w:color w:val="0000EE"/>
        </w:rPr>
      </w:pPr>
    </w:p>
    <w:p>
      <w:pPr>
        <w:jc w:val="both"/>
        <w:ind w:left="1120" w:right="1039" w:hanging="337"/>
        <w:spacing w:after="0" w:line="294" w:lineRule="auto"/>
        <w:tabs>
          <w:tab w:leader="none" w:pos="11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information specifically incorporated by reference into the Form 10-K for the fiscal year ended May 31, 2025 from our definitive proxy statement on Schedule 14A, filed on </w:t>
      </w:r>
      <w:hyperlink r:id="rId28">
        <w:r>
          <w:rPr>
            <w:rFonts w:ascii="Times New Roman" w:cs="Times New Roman" w:eastAsia="Times New Roman" w:hAnsi="Times New Roman"/>
            <w:sz w:val="17"/>
            <w:szCs w:val="17"/>
            <w:u w:val="single" w:color="auto"/>
            <w:color w:val="0000EE"/>
          </w:rPr>
          <w:t>September 26, 2025</w:t>
        </w:r>
      </w:hyperlink>
      <w:r>
        <w:rPr>
          <w:rFonts w:ascii="Times New Roman" w:cs="Times New Roman" w:eastAsia="Times New Roman" w:hAnsi="Times New Roman"/>
          <w:sz w:val="17"/>
          <w:szCs w:val="17"/>
          <w:color w:val="auto"/>
        </w:rPr>
        <w:t>;</w:t>
      </w:r>
    </w:p>
    <w:p>
      <w:pPr>
        <w:spacing w:after="0" w:line="42"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Quarterly Report on Form 10-Q for the quarter ended August 31, 2025, filed on </w:t>
      </w:r>
      <w:hyperlink r:id="rId29">
        <w:r>
          <w:rPr>
            <w:rFonts w:ascii="Times New Roman" w:cs="Times New Roman" w:eastAsia="Times New Roman" w:hAnsi="Times New Roman"/>
            <w:sz w:val="17"/>
            <w:szCs w:val="17"/>
            <w:u w:val="single" w:color="auto"/>
            <w:color w:val="0000EE"/>
          </w:rPr>
          <w:t>October 9, 2025</w:t>
        </w:r>
      </w:hyperlink>
      <w:r>
        <w:rPr>
          <w:rFonts w:ascii="Times New Roman" w:cs="Times New Roman" w:eastAsia="Times New Roman" w:hAnsi="Times New Roman"/>
          <w:sz w:val="17"/>
          <w:szCs w:val="17"/>
          <w:color w:val="auto"/>
        </w:rPr>
        <w:t>;</w:t>
      </w:r>
    </w:p>
    <w:p>
      <w:pPr>
        <w:spacing w:after="0" w:line="117"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Current Reports on Form 8-K, filed on </w:t>
      </w:r>
      <w:hyperlink r:id="rId78">
        <w:r>
          <w:rPr>
            <w:rFonts w:ascii="Times New Roman" w:cs="Times New Roman" w:eastAsia="Times New Roman" w:hAnsi="Times New Roman"/>
            <w:sz w:val="17"/>
            <w:szCs w:val="17"/>
            <w:u w:val="single" w:color="auto"/>
            <w:color w:val="0000EE"/>
          </w:rPr>
          <w:t>June 23, 2025</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and </w:t>
      </w:r>
      <w:hyperlink r:id="rId79">
        <w:r>
          <w:rPr>
            <w:rFonts w:ascii="Times New Roman" w:cs="Times New Roman" w:eastAsia="Times New Roman" w:hAnsi="Times New Roman"/>
            <w:sz w:val="17"/>
            <w:szCs w:val="17"/>
            <w:u w:val="single" w:color="auto"/>
            <w:color w:val="0000EE"/>
          </w:rPr>
          <w:t>June 10, 2025</w:t>
        </w:r>
      </w:hyperlink>
      <w:r>
        <w:rPr>
          <w:rFonts w:ascii="Times New Roman" w:cs="Times New Roman" w:eastAsia="Times New Roman" w:hAnsi="Times New Roman"/>
          <w:sz w:val="17"/>
          <w:szCs w:val="17"/>
          <w:color w:val="auto"/>
        </w:rPr>
        <w:t>; and</w:t>
      </w:r>
    </w:p>
    <w:p>
      <w:pPr>
        <w:spacing w:after="0" w:line="117" w:lineRule="exact"/>
        <w:rPr>
          <w:rFonts w:ascii="Times New Roman" w:cs="Times New Roman" w:eastAsia="Times New Roman" w:hAnsi="Times New Roman"/>
          <w:sz w:val="17"/>
          <w:szCs w:val="17"/>
          <w:color w:val="auto"/>
        </w:rPr>
      </w:pPr>
    </w:p>
    <w:p>
      <w:pPr>
        <w:ind w:left="1120" w:right="579" w:hanging="337"/>
        <w:spacing w:after="0" w:line="267" w:lineRule="auto"/>
        <w:tabs>
          <w:tab w:leader="none" w:pos="11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our securities as set forth in our registration statement on Form 8-A/A (File No. 001-38594), filed with the SEC on </w:t>
      </w:r>
      <w:hyperlink r:id="rId40">
        <w:r>
          <w:rPr>
            <w:rFonts w:ascii="Times New Roman" w:cs="Times New Roman" w:eastAsia="Times New Roman" w:hAnsi="Times New Roman"/>
            <w:sz w:val="17"/>
            <w:szCs w:val="17"/>
            <w:u w:val="single" w:color="auto"/>
            <w:color w:val="0000EE"/>
          </w:rPr>
          <w:t>October 1, 2020</w:t>
        </w:r>
      </w:hyperlink>
      <w:r>
        <w:rPr>
          <w:rFonts w:ascii="Times New Roman" w:cs="Times New Roman" w:eastAsia="Times New Roman" w:hAnsi="Times New Roman"/>
          <w:sz w:val="17"/>
          <w:szCs w:val="17"/>
          <w:color w:val="auto"/>
        </w:rPr>
        <w:t xml:space="preserve">, pursuant to Section 12(b) of the Exchange Act, including the description contained in </w:t>
      </w:r>
      <w:hyperlink r:id="rId41">
        <w:r>
          <w:rPr>
            <w:rFonts w:ascii="Times New Roman" w:cs="Times New Roman" w:eastAsia="Times New Roman" w:hAnsi="Times New Roman"/>
            <w:sz w:val="17"/>
            <w:szCs w:val="17"/>
            <w:u w:val="single" w:color="auto"/>
            <w:color w:val="0000EE"/>
          </w:rPr>
          <w:t>Exhibit 4.3</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our Annual Report on Form 10-K for the fiscal year ended May 31, 2025, and any subsequent amendments or reports filed for the purpose of updating such description.</w:t>
      </w:r>
    </w:p>
    <w:p>
      <w:pPr>
        <w:spacing w:after="0" w:line="278" w:lineRule="exact"/>
        <w:rPr>
          <w:rFonts w:ascii="Times New Roman" w:cs="Times New Roman" w:eastAsia="Times New Roman" w:hAnsi="Times New Roman"/>
          <w:sz w:val="17"/>
          <w:szCs w:val="17"/>
          <w:color w:val="auto"/>
        </w:rPr>
      </w:pPr>
    </w:p>
    <w:p>
      <w:pPr>
        <w:ind w:left="440" w:right="599" w:firstLine="347"/>
        <w:spacing w:after="0" w:line="265" w:lineRule="auto"/>
        <w:rPr>
          <w:sz w:val="20"/>
          <w:szCs w:val="20"/>
          <w:color w:val="auto"/>
        </w:rPr>
      </w:pPr>
      <w:r>
        <w:rPr>
          <w:rFonts w:ascii="Times New Roman" w:cs="Times New Roman" w:eastAsia="Times New Roman" w:hAnsi="Times New Roman"/>
          <w:sz w:val="17"/>
          <w:szCs w:val="17"/>
          <w:color w:val="auto"/>
        </w:rPr>
        <w:t>We will furnish without charge to you, on written or oral request, a copy of any or all of the documents incorporated by reference. You should direct any requests for documents to Tilray Brands, Inc., 265 Talbot Street West, Leamington, Ontario, Canada. Copies of the above reports may also be accessed from our web site at ir.tilray.com. Information contained on, or that can be accessed through, our website is not a part of this prospectus and the inclusion of our website address in this prospectus is an inactive textual reference only.</w:t>
      </w:r>
    </w:p>
    <w:p>
      <w:pPr>
        <w:spacing w:after="0" w:line="68" w:lineRule="exact"/>
        <w:rPr>
          <w:rFonts w:ascii="Times New Roman" w:cs="Times New Roman" w:eastAsia="Times New Roman" w:hAnsi="Times New Roman"/>
          <w:sz w:val="17"/>
          <w:szCs w:val="17"/>
          <w:color w:val="auto"/>
        </w:rPr>
      </w:pPr>
    </w:p>
    <w:p>
      <w:pPr>
        <w:ind w:left="440" w:right="459" w:firstLine="347"/>
        <w:spacing w:after="0" w:line="261" w:lineRule="auto"/>
        <w:rPr>
          <w:sz w:val="20"/>
          <w:szCs w:val="20"/>
          <w:color w:val="auto"/>
        </w:rPr>
      </w:pPr>
      <w:r>
        <w:rPr>
          <w:rFonts w:ascii="Times New Roman" w:cs="Times New Roman" w:eastAsia="Times New Roman" w:hAnsi="Times New Roman"/>
          <w:sz w:val="17"/>
          <w:szCs w:val="17"/>
          <w:color w:val="auto"/>
        </w:rPr>
        <w:t>We also incorporate by reference in this prospectus any future filings that we make with the SEC under Section 13(a), 13(c), 14 or 15(d) of the Exchange Act until we sell all the securities to which this prospectus relates; provided, however, that we are not incorporating any information furnished under either Item 2.02 or Item 7.01 or any related exhibit furnished under Item 9.01(d) of any Current Report on Form 8-K unless, and except to the extent, specified in any such Current Report on Form 8-K or in any applicable prospectus supplement. 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spacing w:after="0" w:line="177" w:lineRule="exact"/>
        <w:rPr>
          <w:rFonts w:ascii="Times New Roman" w:cs="Times New Roman" w:eastAsia="Times New Roman" w:hAnsi="Times New Roman"/>
          <w:sz w:val="17"/>
          <w:szCs w:val="17"/>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-517525</wp:posOffset>
            </wp:positionH>
            <wp:positionV relativeFrom="paragraph">
              <wp:posOffset>135890</wp:posOffset>
            </wp:positionV>
            <wp:extent cx="6756400"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0">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48" w:name="page49"/>
    <w:bookmarkEnd w:id="48"/>
    <w:p>
      <w:pPr>
        <w:ind w:left="5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95250</wp:posOffset>
            </wp:positionV>
            <wp:extent cx="5034280"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1">
                      <a:extLst>
                        <a:ext uri="{28A0092B-C50C-407E-A947-70E740481C1C}"/>
                      </a:extLst>
                    </a:blip>
                    <a:srcRect/>
                    <a:stretch>
                      <a:fillRect/>
                    </a:stretch>
                  </pic:blipFill>
                  <pic:spPr bwMode="auto">
                    <a:xfrm>
                      <a:off x="0" y="0"/>
                      <a:ext cx="5034280" cy="16510"/>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161925</wp:posOffset>
            </wp:positionV>
            <wp:extent cx="50342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2">
                      <a:extLst>
                        <a:ext uri="{28A0092B-C50C-407E-A947-70E740481C1C}"/>
                      </a:extLst>
                    </a:blip>
                    <a:srcRect/>
                    <a:stretch>
                      <a:fillRect/>
                    </a:stretch>
                  </pic:blipFill>
                  <pic:spPr bwMode="auto">
                    <a:xfrm>
                      <a:off x="0" y="0"/>
                      <a:ext cx="5034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Up to $180,000,000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1617980</wp:posOffset>
            </wp:positionH>
            <wp:positionV relativeFrom="paragraph">
              <wp:posOffset>756920</wp:posOffset>
            </wp:positionV>
            <wp:extent cx="2492375" cy="670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3">
                      <a:extLst>
                        <a:ext uri="{28A0092B-C50C-407E-A947-70E740481C1C}"/>
                      </a:extLst>
                    </a:blip>
                    <a:srcRect/>
                    <a:stretch>
                      <a:fillRect/>
                    </a:stretch>
                  </pic:blipFill>
                  <pic:spPr bwMode="auto">
                    <a:xfrm>
                      <a:off x="0" y="0"/>
                      <a:ext cx="2492375" cy="670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Common Stock</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PROSPECTUS SUPPLEMENT</w:t>
      </w:r>
    </w:p>
    <w:p>
      <w:pPr>
        <w:spacing w:after="0" w:line="302" w:lineRule="exact"/>
        <w:rPr>
          <w:sz w:val="20"/>
          <w:szCs w:val="20"/>
          <w:color w:val="auto"/>
        </w:rPr>
      </w:pPr>
    </w:p>
    <w:p>
      <w:pPr>
        <w:ind w:left="540"/>
        <w:spacing w:after="0"/>
        <w:tabs>
          <w:tab w:leader="none" w:pos="3860" w:val="left"/>
          <w:tab w:leader="none" w:pos="6260" w:val="left"/>
        </w:tabs>
        <w:rPr>
          <w:sz w:val="20"/>
          <w:szCs w:val="20"/>
          <w:color w:val="auto"/>
        </w:rPr>
      </w:pPr>
      <w:r>
        <w:rPr>
          <w:rFonts w:ascii="Times New Roman" w:cs="Times New Roman" w:eastAsia="Times New Roman" w:hAnsi="Times New Roman"/>
          <w:sz w:val="23"/>
          <w:szCs w:val="23"/>
          <w:b w:val="1"/>
          <w:bCs w:val="1"/>
          <w:color w:val="auto"/>
        </w:rPr>
        <w:t>Jefferies</w:t>
      </w:r>
      <w:r>
        <w:rPr>
          <w:sz w:val="20"/>
          <w:szCs w:val="20"/>
          <w:color w:val="auto"/>
        </w:rPr>
        <w:tab/>
      </w:r>
      <w:r>
        <w:rPr>
          <w:rFonts w:ascii="Times New Roman" w:cs="Times New Roman" w:eastAsia="Times New Roman" w:hAnsi="Times New Roman"/>
          <w:sz w:val="23"/>
          <w:szCs w:val="23"/>
          <w:b w:val="1"/>
          <w:bCs w:val="1"/>
          <w:color w:val="auto"/>
        </w:rPr>
        <w:t>TD Securities</w:t>
      </w:r>
      <w:r>
        <w:rPr>
          <w:sz w:val="20"/>
          <w:szCs w:val="20"/>
          <w:color w:val="auto"/>
        </w:rPr>
        <w:tab/>
      </w:r>
      <w:r>
        <w:rPr>
          <w:rFonts w:ascii="Times New Roman" w:cs="Times New Roman" w:eastAsia="Times New Roman" w:hAnsi="Times New Roman"/>
          <w:sz w:val="22"/>
          <w:szCs w:val="22"/>
          <w:b w:val="1"/>
          <w:bCs w:val="1"/>
          <w:color w:val="auto"/>
        </w:rPr>
        <w:t>Roth Capital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April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152400</wp:posOffset>
            </wp:positionV>
            <wp:extent cx="50342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4">
                      <a:extLst>
                        <a:ext uri="{28A0092B-C50C-407E-A947-70E740481C1C}"/>
                      </a:extLst>
                    </a:blip>
                    <a:srcRect/>
                    <a:stretch>
                      <a:fillRect/>
                    </a:stretch>
                  </pic:blipFill>
                  <pic:spPr bwMode="auto">
                    <a:xfrm>
                      <a:off x="0" y="0"/>
                      <a:ext cx="503428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210185</wp:posOffset>
            </wp:positionV>
            <wp:extent cx="5034280"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5">
                      <a:extLst>
                        <a:ext uri="{28A0092B-C50C-407E-A947-70E740481C1C}"/>
                      </a:extLst>
                    </a:blip>
                    <a:srcRect/>
                    <a:stretch>
                      <a:fillRect/>
                    </a:stretch>
                  </pic:blipFill>
                  <pic:spPr bwMode="auto">
                    <a:xfrm>
                      <a:off x="0" y="0"/>
                      <a:ext cx="5034280" cy="16510"/>
                    </a:xfrm>
                    <a:prstGeom prst="rect">
                      <a:avLst/>
                    </a:prstGeom>
                    <a:noFill/>
                  </pic:spPr>
                </pic:pic>
              </a:graphicData>
            </a:graphic>
          </wp:anchor>
        </w:drawing>
      </w:r>
    </w:p>
    <w:p>
      <w:pPr>
        <w:sectPr>
          <w:pgSz w:w="11900" w:h="16838" w:orient="portrait"/>
          <w:cols w:equalWidth="0" w:num="1">
            <w:col w:w="9019"/>
          </w:cols>
          <w:pgMar w:left="1440" w:top="259" w:right="1440" w:bottom="1440" w:gutter="0" w:footer="0" w:header="0"/>
        </w:sectPr>
      </w:pPr>
    </w:p>
    <w:bookmarkStart w:id="49" w:name="page50"/>
    <w:bookmarkEnd w:id="49"/>
    <w:p>
      <w:pPr>
        <w:ind w:left="1038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36765" cy="330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6">
                      <a:extLst>
                        <a:ext uri="{28A0092B-C50C-407E-A947-70E740481C1C}"/>
                      </a:extLst>
                    </a:blip>
                    <a:srcRect/>
                    <a:stretch>
                      <a:fillRect/>
                    </a:stretch>
                  </pic:blipFill>
                  <pic:spPr bwMode="auto">
                    <a:xfrm>
                      <a:off x="0" y="0"/>
                      <a:ext cx="7136765" cy="33020"/>
                    </a:xfrm>
                    <a:prstGeom prst="rect">
                      <a:avLst/>
                    </a:prstGeom>
                    <a:noFill/>
                  </pic:spPr>
                </pic:pic>
              </a:graphicData>
            </a:graphic>
          </wp:anchor>
        </w:drawing>
        <w:t>Exhibit 107</w:t>
      </w:r>
    </w:p>
    <w:p>
      <w:pPr>
        <w:spacing w:after="0" w:line="1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CALCULATION OF FILING FEE TABLE</w:t>
      </w:r>
    </w:p>
    <w:p>
      <w:pPr>
        <w:spacing w:after="0" w:line="1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424(b)(5)</w:t>
      </w:r>
    </w:p>
    <w:p>
      <w:pPr>
        <w:spacing w:after="0" w:line="3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(Form Type)</w:t>
      </w:r>
    </w:p>
    <w:p>
      <w:pPr>
        <w:spacing w:after="0" w:line="20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Tilray Brands, Inc.</w:t>
      </w:r>
    </w:p>
    <w:p>
      <w:pPr>
        <w:spacing w:after="0" w:line="3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0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u w:val="single" w:color="auto"/>
          <w:color w:val="auto"/>
        </w:rPr>
        <w:t>Table 1: Newly Registered and Carry Forward Securities</w:t>
      </w:r>
    </w:p>
    <w:p>
      <w:pPr>
        <w:spacing w:after="0" w:line="40"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920" w:type="dxa"/>
            <w:vAlign w:val="bottom"/>
            <w:tcBorders>
              <w:top w:val="single" w:sz="8" w:color="auto"/>
              <w:left w:val="single" w:sz="8" w:color="auto"/>
              <w:right w:val="single" w:sz="8" w:color="auto"/>
            </w:tcBorders>
          </w:tcPr>
          <w:p>
            <w:pPr>
              <w:spacing w:after="0"/>
              <w:rPr>
                <w:sz w:val="19"/>
                <w:szCs w:val="19"/>
                <w:color w:val="auto"/>
              </w:rPr>
            </w:pPr>
          </w:p>
        </w:tc>
        <w:tc>
          <w:tcPr>
            <w:tcW w:w="660" w:type="dxa"/>
            <w:vAlign w:val="bottom"/>
            <w:tcBorders>
              <w:top w:val="single" w:sz="8" w:color="auto"/>
              <w:right w:val="single" w:sz="8" w:color="auto"/>
            </w:tcBorders>
          </w:tcPr>
          <w:p>
            <w:pPr>
              <w:spacing w:after="0"/>
              <w:rPr>
                <w:sz w:val="19"/>
                <w:szCs w:val="19"/>
                <w:color w:val="auto"/>
              </w:rPr>
            </w:pPr>
          </w:p>
        </w:tc>
        <w:tc>
          <w:tcPr>
            <w:tcW w:w="700" w:type="dxa"/>
            <w:vAlign w:val="bottom"/>
            <w:tcBorders>
              <w:top w:val="single" w:sz="8" w:color="auto"/>
              <w:right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820" w:type="dxa"/>
            <w:vAlign w:val="bottom"/>
            <w:tcBorders>
              <w:top w:val="single" w:sz="8" w:color="auto"/>
              <w:right w:val="single" w:sz="8" w:color="auto"/>
            </w:tcBorders>
          </w:tcPr>
          <w:p>
            <w:pPr>
              <w:spacing w:after="0"/>
              <w:rPr>
                <w:sz w:val="19"/>
                <w:szCs w:val="19"/>
                <w:color w:val="auto"/>
              </w:rPr>
            </w:pPr>
          </w:p>
        </w:tc>
        <w:tc>
          <w:tcPr>
            <w:tcW w:w="1000" w:type="dxa"/>
            <w:vAlign w:val="bottom"/>
            <w:tcBorders>
              <w:top w:val="single" w:sz="8" w:color="auto"/>
              <w:right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spacing w:after="0"/>
              <w:rPr>
                <w:sz w:val="19"/>
                <w:szCs w:val="19"/>
                <w:color w:val="auto"/>
              </w:rPr>
            </w:pPr>
          </w:p>
        </w:tc>
        <w:tc>
          <w:tcPr>
            <w:tcW w:w="1120" w:type="dxa"/>
            <w:vAlign w:val="bottom"/>
            <w:tcBorders>
              <w:top w:val="single" w:sz="8" w:color="auto"/>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Filing Fee</w:t>
            </w:r>
          </w:p>
        </w:tc>
      </w:tr>
      <w:tr>
        <w:trPr>
          <w:trHeight w:val="209"/>
        </w:trPr>
        <w:tc>
          <w:tcPr>
            <w:tcW w:w="92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Previously</w:t>
            </w:r>
          </w:p>
        </w:tc>
      </w:tr>
      <w:tr>
        <w:trPr>
          <w:trHeight w:val="209"/>
        </w:trPr>
        <w:tc>
          <w:tcPr>
            <w:tcW w:w="92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Paid In</w:t>
            </w:r>
          </w:p>
        </w:tc>
      </w:tr>
      <w:tr>
        <w:trPr>
          <w:trHeight w:val="209"/>
        </w:trPr>
        <w:tc>
          <w:tcPr>
            <w:tcW w:w="92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Connection</w:t>
            </w:r>
          </w:p>
        </w:tc>
      </w:tr>
      <w:tr>
        <w:trPr>
          <w:trHeight w:val="209"/>
        </w:trPr>
        <w:tc>
          <w:tcPr>
            <w:tcW w:w="92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with</w:t>
            </w:r>
          </w:p>
        </w:tc>
      </w:tr>
      <w:tr>
        <w:trPr>
          <w:trHeight w:val="209"/>
        </w:trPr>
        <w:tc>
          <w:tcPr>
            <w:tcW w:w="92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Fee</w:t>
            </w: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Proposed</w:t>
            </w:r>
          </w:p>
        </w:tc>
        <w:tc>
          <w:tcPr>
            <w:tcW w:w="10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Carry</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Unsold</w:t>
            </w:r>
          </w:p>
        </w:tc>
      </w:tr>
      <w:tr>
        <w:trPr>
          <w:trHeight w:val="209"/>
        </w:trPr>
        <w:tc>
          <w:tcPr>
            <w:tcW w:w="92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Calculation</w:t>
            </w: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Maximum</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Maximum</w:t>
            </w:r>
          </w:p>
        </w:tc>
        <w:tc>
          <w:tcPr>
            <w:tcW w:w="8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Carry</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Carry</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Forward</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Securities</w:t>
            </w:r>
          </w:p>
        </w:tc>
      </w:tr>
      <w:tr>
        <w:trPr>
          <w:trHeight w:val="209"/>
        </w:trPr>
        <w:tc>
          <w:tcPr>
            <w:tcW w:w="92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Security</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or Carry</w:t>
            </w: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Offering</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Aggregate</w:t>
            </w:r>
          </w:p>
        </w:tc>
        <w:tc>
          <w:tcPr>
            <w:tcW w:w="8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Amount of</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Forward</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Forward</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Initial</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to be</w:t>
            </w:r>
          </w:p>
        </w:tc>
      </w:tr>
      <w:tr>
        <w:trPr>
          <w:trHeight w:val="209"/>
        </w:trPr>
        <w:tc>
          <w:tcPr>
            <w:tcW w:w="92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Security</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Class</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Forward</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Price Per</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Offering</w:t>
            </w:r>
          </w:p>
        </w:tc>
        <w:tc>
          <w:tcPr>
            <w:tcW w:w="8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Registration</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Form</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File</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effective</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Carried</w:t>
            </w:r>
          </w:p>
        </w:tc>
      </w:tr>
      <w:tr>
        <w:trPr>
          <w:trHeight w:val="255"/>
        </w:trPr>
        <w:tc>
          <w:tcPr>
            <w:tcW w:w="92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Type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Title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Rule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Registered</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Unit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Price</w:t>
            </w:r>
            <w:r>
              <w:rPr>
                <w:rFonts w:ascii="Times New Roman" w:cs="Times New Roman" w:eastAsia="Times New Roman" w:hAnsi="Times New Roman"/>
                <w:sz w:val="17"/>
                <w:szCs w:val="17"/>
                <w:color w:val="auto"/>
              </w:rPr>
              <w:t>(1)</w:t>
            </w:r>
          </w:p>
        </w:tc>
        <w:tc>
          <w:tcPr>
            <w:tcW w:w="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Fee Rate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Fee</w:t>
            </w:r>
            <w:r>
              <w:rPr>
                <w:rFonts w:ascii="Times New Roman" w:cs="Times New Roman" w:eastAsia="Times New Roman" w:hAnsi="Times New Roman"/>
                <w:sz w:val="17"/>
                <w:szCs w:val="17"/>
                <w:color w:val="auto"/>
              </w:rPr>
              <w:t>(2)</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Type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Date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Forward</w:t>
            </w:r>
          </w:p>
        </w:tc>
      </w:tr>
      <w:tr>
        <w:trPr>
          <w:trHeight w:val="202"/>
        </w:trPr>
        <w:tc>
          <w:tcPr>
            <w:tcW w:w="920" w:type="dxa"/>
            <w:vAlign w:val="bottom"/>
            <w:tcBorders>
              <w:left w:val="single" w:sz="8" w:color="auto"/>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3"/>
          </w:tcPr>
          <w:p>
            <w:pPr>
              <w:jc w:val="center"/>
              <w:ind w:left="473"/>
              <w:spacing w:after="0"/>
              <w:rPr>
                <w:sz w:val="20"/>
                <w:szCs w:val="20"/>
                <w:color w:val="auto"/>
              </w:rPr>
            </w:pPr>
            <w:r>
              <w:rPr>
                <w:rFonts w:ascii="Times New Roman" w:cs="Times New Roman" w:eastAsia="Times New Roman" w:hAnsi="Times New Roman"/>
                <w:sz w:val="17"/>
                <w:szCs w:val="17"/>
                <w:b w:val="1"/>
                <w:bCs w:val="1"/>
                <w:color w:val="auto"/>
              </w:rPr>
              <w:t>Newly Registered Securities</w:t>
            </w:r>
          </w:p>
        </w:tc>
        <w:tc>
          <w:tcPr>
            <w:tcW w:w="1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r>
      <w:tr>
        <w:trPr>
          <w:trHeight w:val="209"/>
        </w:trPr>
        <w:tc>
          <w:tcPr>
            <w:tcW w:w="920" w:type="dxa"/>
            <w:vAlign w:val="bottom"/>
            <w:tcBorders>
              <w:left w:val="single" w:sz="8" w:color="auto"/>
              <w:right w:val="single" w:sz="8" w:color="auto"/>
            </w:tcBorders>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Common</w:t>
            </w:r>
          </w:p>
        </w:tc>
        <w:tc>
          <w:tcPr>
            <w:tcW w:w="92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r>
      <w:tr>
        <w:trPr>
          <w:trHeight w:val="209"/>
        </w:trPr>
        <w:tc>
          <w:tcPr>
            <w:tcW w:w="920" w:type="dxa"/>
            <w:vAlign w:val="bottom"/>
            <w:tcBorders>
              <w:left w:val="single" w:sz="8" w:color="auto"/>
              <w:right w:val="single" w:sz="8" w:color="auto"/>
            </w:tcBorders>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Stock,</w:t>
            </w:r>
          </w:p>
        </w:tc>
        <w:tc>
          <w:tcPr>
            <w:tcW w:w="92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r>
      <w:tr>
        <w:trPr>
          <w:trHeight w:val="209"/>
        </w:trPr>
        <w:tc>
          <w:tcPr>
            <w:tcW w:w="920" w:type="dxa"/>
            <w:vAlign w:val="bottom"/>
            <w:tcBorders>
              <w:left w:val="single" w:sz="8" w:color="auto"/>
              <w:right w:val="single" w:sz="8" w:color="auto"/>
            </w:tcBorders>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par value</w:t>
            </w:r>
          </w:p>
        </w:tc>
        <w:tc>
          <w:tcPr>
            <w:tcW w:w="9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Rules</w:t>
            </w:r>
          </w:p>
        </w:tc>
        <w:tc>
          <w:tcPr>
            <w:tcW w:w="84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r>
      <w:tr>
        <w:trPr>
          <w:trHeight w:val="209"/>
        </w:trPr>
        <w:tc>
          <w:tcPr>
            <w:tcW w:w="92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Fees to be</w:t>
            </w:r>
          </w:p>
        </w:tc>
        <w:tc>
          <w:tcPr>
            <w:tcW w:w="660" w:type="dxa"/>
            <w:vAlign w:val="bottom"/>
            <w:tcBorders>
              <w:right w:val="single" w:sz="8" w:color="auto"/>
            </w:tcBorders>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$0.0001</w:t>
            </w:r>
          </w:p>
        </w:tc>
        <w:tc>
          <w:tcPr>
            <w:tcW w:w="9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457(o) and</w:t>
            </w:r>
          </w:p>
        </w:tc>
        <w:tc>
          <w:tcPr>
            <w:tcW w:w="84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r>
      <w:tr>
        <w:trPr>
          <w:trHeight w:val="258"/>
        </w:trPr>
        <w:tc>
          <w:tcPr>
            <w:tcW w:w="920" w:type="dxa"/>
            <w:vAlign w:val="bottom"/>
            <w:tcBorders>
              <w:left w:val="single" w:sz="8" w:color="auto"/>
              <w:bottom w:val="single" w:sz="8" w:color="CCEEFF"/>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Paid</w:t>
            </w:r>
          </w:p>
        </w:tc>
        <w:tc>
          <w:tcPr>
            <w:tcW w:w="6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Equity</w:t>
            </w:r>
          </w:p>
        </w:tc>
        <w:tc>
          <w:tcPr>
            <w:tcW w:w="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per share</w:t>
            </w:r>
          </w:p>
        </w:tc>
        <w:tc>
          <w:tcPr>
            <w:tcW w:w="9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457(r)</w:t>
            </w:r>
          </w:p>
        </w:tc>
        <w:tc>
          <w:tcPr>
            <w:tcW w:w="8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$180,000,000</w:t>
            </w:r>
          </w:p>
        </w:tc>
        <w:tc>
          <w:tcPr>
            <w:tcW w:w="8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0.00013810</w:t>
            </w:r>
          </w:p>
        </w:tc>
        <w:tc>
          <w:tcPr>
            <w:tcW w:w="11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$24,858</w:t>
            </w:r>
          </w:p>
        </w:tc>
        <w:tc>
          <w:tcPr>
            <w:tcW w:w="860" w:type="dxa"/>
            <w:vAlign w:val="bottom"/>
            <w:tcBorders>
              <w:bottom w:val="single" w:sz="8" w:color="CCEEFF"/>
              <w:right w:val="single" w:sz="8" w:color="auto"/>
            </w:tcBorders>
            <w:shd w:val="clear" w:color="auto" w:fill="CCEEFF"/>
          </w:tcPr>
          <w:p>
            <w:pPr>
              <w:spacing w:after="0"/>
              <w:rPr>
                <w:sz w:val="22"/>
                <w:szCs w:val="22"/>
                <w:color w:val="auto"/>
              </w:rPr>
            </w:pPr>
          </w:p>
        </w:tc>
        <w:tc>
          <w:tcPr>
            <w:tcW w:w="860" w:type="dxa"/>
            <w:vAlign w:val="bottom"/>
            <w:tcBorders>
              <w:bottom w:val="single" w:sz="8" w:color="CCEEFF"/>
              <w:right w:val="single" w:sz="8" w:color="auto"/>
            </w:tcBorders>
            <w:shd w:val="clear" w:color="auto" w:fill="CCEEFF"/>
          </w:tcPr>
          <w:p>
            <w:pPr>
              <w:spacing w:after="0"/>
              <w:rPr>
                <w:sz w:val="22"/>
                <w:szCs w:val="22"/>
                <w:color w:val="auto"/>
              </w:rPr>
            </w:pPr>
          </w:p>
        </w:tc>
        <w:tc>
          <w:tcPr>
            <w:tcW w:w="860" w:type="dxa"/>
            <w:vAlign w:val="bottom"/>
            <w:tcBorders>
              <w:bottom w:val="single" w:sz="8" w:color="CCEEFF"/>
              <w:right w:val="single" w:sz="8" w:color="auto"/>
            </w:tcBorders>
            <w:shd w:val="clear" w:color="auto" w:fill="CCEEFF"/>
          </w:tcPr>
          <w:p>
            <w:pPr>
              <w:spacing w:after="0"/>
              <w:rPr>
                <w:sz w:val="22"/>
                <w:szCs w:val="22"/>
                <w:color w:val="auto"/>
              </w:rPr>
            </w:pPr>
          </w:p>
        </w:tc>
        <w:tc>
          <w:tcPr>
            <w:tcW w:w="920" w:type="dxa"/>
            <w:vAlign w:val="bottom"/>
            <w:tcBorders>
              <w:bottom w:val="single" w:sz="8" w:color="CCEEFF"/>
              <w:right w:val="single" w:sz="8" w:color="auto"/>
            </w:tcBorders>
            <w:shd w:val="clear" w:color="auto" w:fill="CCEEFF"/>
          </w:tcPr>
          <w:p>
            <w:pPr>
              <w:spacing w:after="0"/>
              <w:rPr>
                <w:sz w:val="22"/>
                <w:szCs w:val="22"/>
                <w:color w:val="auto"/>
              </w:rPr>
            </w:pPr>
          </w:p>
        </w:tc>
      </w:tr>
      <w:tr>
        <w:trPr>
          <w:trHeight w:val="209"/>
        </w:trPr>
        <w:tc>
          <w:tcPr>
            <w:tcW w:w="9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Fees</w:t>
            </w:r>
          </w:p>
        </w:tc>
        <w:tc>
          <w:tcPr>
            <w:tcW w:w="660" w:type="dxa"/>
            <w:vAlign w:val="bottom"/>
            <w:tcBorders>
              <w:top w:val="single" w:sz="8" w:color="auto"/>
              <w:right w:val="single" w:sz="8" w:color="auto"/>
            </w:tcBorders>
          </w:tcPr>
          <w:p>
            <w:pPr>
              <w:spacing w:after="0"/>
              <w:rPr>
                <w:sz w:val="18"/>
                <w:szCs w:val="18"/>
                <w:color w:val="auto"/>
              </w:rPr>
            </w:pPr>
          </w:p>
        </w:tc>
        <w:tc>
          <w:tcPr>
            <w:tcW w:w="700" w:type="dxa"/>
            <w:vAlign w:val="bottom"/>
            <w:tcBorders>
              <w:top w:val="single" w:sz="8" w:color="auto"/>
              <w:right w:val="single" w:sz="8" w:color="auto"/>
            </w:tcBorders>
          </w:tcPr>
          <w:p>
            <w:pPr>
              <w:spacing w:after="0"/>
              <w:rPr>
                <w:sz w:val="18"/>
                <w:szCs w:val="18"/>
                <w:color w:val="auto"/>
              </w:rPr>
            </w:pPr>
          </w:p>
        </w:tc>
        <w:tc>
          <w:tcPr>
            <w:tcW w:w="92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spacing w:after="0"/>
              <w:rPr>
                <w:sz w:val="18"/>
                <w:szCs w:val="18"/>
                <w:color w:val="auto"/>
              </w:rPr>
            </w:pPr>
          </w:p>
        </w:tc>
        <w:tc>
          <w:tcPr>
            <w:tcW w:w="920" w:type="dxa"/>
            <w:vAlign w:val="bottom"/>
            <w:tcBorders>
              <w:top w:val="single" w:sz="8" w:color="auto"/>
              <w:right w:val="single" w:sz="8" w:color="auto"/>
            </w:tcBorders>
          </w:tcPr>
          <w:p>
            <w:pPr>
              <w:spacing w:after="0"/>
              <w:rPr>
                <w:sz w:val="18"/>
                <w:szCs w:val="18"/>
                <w:color w:val="auto"/>
              </w:rPr>
            </w:pPr>
          </w:p>
        </w:tc>
      </w:tr>
      <w:tr>
        <w:trPr>
          <w:trHeight w:val="209"/>
        </w:trPr>
        <w:tc>
          <w:tcPr>
            <w:tcW w:w="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Previously</w:t>
            </w:r>
          </w:p>
        </w:tc>
        <w:tc>
          <w:tcPr>
            <w:tcW w:w="6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27"/>
        </w:trPr>
        <w:tc>
          <w:tcPr>
            <w:tcW w:w="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Paid</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r>
      <w:tr>
        <w:trPr>
          <w:trHeight w:val="26"/>
        </w:trPr>
        <w:tc>
          <w:tcPr>
            <w:tcW w:w="920" w:type="dxa"/>
            <w:vAlign w:val="bottom"/>
            <w:tcBorders>
              <w:left w:val="single" w:sz="8" w:color="auto"/>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r>
        <w:trPr>
          <w:trHeight w:val="202"/>
        </w:trPr>
        <w:tc>
          <w:tcPr>
            <w:tcW w:w="920" w:type="dxa"/>
            <w:vAlign w:val="bottom"/>
            <w:tcBorders>
              <w:left w:val="single" w:sz="8" w:color="auto"/>
              <w:bottom w:val="single" w:sz="8" w:color="auto"/>
              <w:right w:val="single" w:sz="8" w:color="CCEEFF"/>
            </w:tcBorders>
            <w:shd w:val="clear" w:color="auto" w:fill="CCEEFF"/>
          </w:tcPr>
          <w:p>
            <w:pPr>
              <w:spacing w:after="0"/>
              <w:rPr>
                <w:sz w:val="17"/>
                <w:szCs w:val="17"/>
                <w:color w:val="auto"/>
              </w:rPr>
            </w:pPr>
          </w:p>
        </w:tc>
        <w:tc>
          <w:tcPr>
            <w:tcW w:w="660" w:type="dxa"/>
            <w:vAlign w:val="bottom"/>
            <w:tcBorders>
              <w:bottom w:val="single" w:sz="8" w:color="auto"/>
              <w:right w:val="single" w:sz="8" w:color="CCEEFF"/>
            </w:tcBorders>
            <w:shd w:val="clear" w:color="auto" w:fill="CCEEFF"/>
          </w:tcPr>
          <w:p>
            <w:pPr>
              <w:spacing w:after="0"/>
              <w:rPr>
                <w:sz w:val="17"/>
                <w:szCs w:val="17"/>
                <w:color w:val="auto"/>
              </w:rPr>
            </w:pPr>
          </w:p>
        </w:tc>
        <w:tc>
          <w:tcPr>
            <w:tcW w:w="700" w:type="dxa"/>
            <w:vAlign w:val="bottom"/>
            <w:tcBorders>
              <w:bottom w:val="single" w:sz="8" w:color="auto"/>
              <w:right w:val="single" w:sz="8" w:color="CCEEFF"/>
            </w:tcBorders>
            <w:shd w:val="clear" w:color="auto" w:fill="CCEEFF"/>
          </w:tcPr>
          <w:p>
            <w:pPr>
              <w:spacing w:after="0"/>
              <w:rPr>
                <w:sz w:val="17"/>
                <w:szCs w:val="17"/>
                <w:color w:val="auto"/>
              </w:rPr>
            </w:pPr>
          </w:p>
        </w:tc>
        <w:tc>
          <w:tcPr>
            <w:tcW w:w="920" w:type="dxa"/>
            <w:vAlign w:val="bottom"/>
            <w:tcBorders>
              <w:bottom w:val="single" w:sz="8" w:color="auto"/>
              <w:right w:val="single" w:sz="8" w:color="CCEEFF"/>
            </w:tcBorders>
            <w:shd w:val="clear" w:color="auto" w:fill="CCEEFF"/>
          </w:tcPr>
          <w:p>
            <w:pPr>
              <w:spacing w:after="0"/>
              <w:rPr>
                <w:sz w:val="17"/>
                <w:szCs w:val="17"/>
                <w:color w:val="auto"/>
              </w:rPr>
            </w:pPr>
          </w:p>
        </w:tc>
        <w:tc>
          <w:tcPr>
            <w:tcW w:w="840" w:type="dxa"/>
            <w:vAlign w:val="bottom"/>
            <w:tcBorders>
              <w:bottom w:val="single" w:sz="8" w:color="auto"/>
              <w:right w:val="single" w:sz="8" w:color="CCEEFF"/>
            </w:tcBorders>
            <w:shd w:val="clear" w:color="auto" w:fill="CCEEFF"/>
          </w:tcPr>
          <w:p>
            <w:pPr>
              <w:spacing w:after="0"/>
              <w:rPr>
                <w:sz w:val="17"/>
                <w:szCs w:val="17"/>
                <w:color w:val="auto"/>
              </w:rPr>
            </w:pPr>
          </w:p>
        </w:tc>
        <w:tc>
          <w:tcPr>
            <w:tcW w:w="2700" w:type="dxa"/>
            <w:vAlign w:val="bottom"/>
            <w:tcBorders>
              <w:bottom w:val="single" w:sz="8" w:color="auto"/>
              <w:right w:val="single" w:sz="8" w:color="CCEEFF"/>
            </w:tcBorders>
            <w:gridSpan w:val="3"/>
            <w:shd w:val="clear" w:color="auto" w:fill="CCEEFF"/>
          </w:tcPr>
          <w:p>
            <w:pPr>
              <w:jc w:val="center"/>
              <w:ind w:left="493"/>
              <w:spacing w:after="0"/>
              <w:rPr>
                <w:sz w:val="20"/>
                <w:szCs w:val="20"/>
                <w:color w:val="auto"/>
              </w:rPr>
            </w:pPr>
            <w:r>
              <w:rPr>
                <w:rFonts w:ascii="Times New Roman" w:cs="Times New Roman" w:eastAsia="Times New Roman" w:hAnsi="Times New Roman"/>
                <w:sz w:val="17"/>
                <w:szCs w:val="17"/>
                <w:b w:val="1"/>
                <w:bCs w:val="1"/>
                <w:color w:val="auto"/>
              </w:rPr>
              <w:t>Carry Forward Securities</w:t>
            </w:r>
          </w:p>
        </w:tc>
        <w:tc>
          <w:tcPr>
            <w:tcW w:w="1120" w:type="dxa"/>
            <w:vAlign w:val="bottom"/>
            <w:tcBorders>
              <w:bottom w:val="single" w:sz="8" w:color="auto"/>
              <w:right w:val="single" w:sz="8" w:color="CCEEFF"/>
            </w:tcBorders>
            <w:shd w:val="clear" w:color="auto" w:fill="CCEEFF"/>
          </w:tcPr>
          <w:p>
            <w:pPr>
              <w:spacing w:after="0"/>
              <w:rPr>
                <w:sz w:val="17"/>
                <w:szCs w:val="17"/>
                <w:color w:val="auto"/>
              </w:rPr>
            </w:pPr>
          </w:p>
        </w:tc>
        <w:tc>
          <w:tcPr>
            <w:tcW w:w="860" w:type="dxa"/>
            <w:vAlign w:val="bottom"/>
            <w:tcBorders>
              <w:bottom w:val="single" w:sz="8" w:color="auto"/>
              <w:right w:val="single" w:sz="8" w:color="CCEEFF"/>
            </w:tcBorders>
            <w:shd w:val="clear" w:color="auto" w:fill="CCEEFF"/>
          </w:tcPr>
          <w:p>
            <w:pPr>
              <w:spacing w:after="0"/>
              <w:rPr>
                <w:sz w:val="17"/>
                <w:szCs w:val="17"/>
                <w:color w:val="auto"/>
              </w:rPr>
            </w:pPr>
          </w:p>
        </w:tc>
        <w:tc>
          <w:tcPr>
            <w:tcW w:w="860" w:type="dxa"/>
            <w:vAlign w:val="bottom"/>
            <w:tcBorders>
              <w:bottom w:val="single" w:sz="8" w:color="auto"/>
              <w:right w:val="single" w:sz="8" w:color="CCEEFF"/>
            </w:tcBorders>
            <w:shd w:val="clear" w:color="auto" w:fill="CCEEFF"/>
          </w:tcPr>
          <w:p>
            <w:pPr>
              <w:spacing w:after="0"/>
              <w:rPr>
                <w:sz w:val="17"/>
                <w:szCs w:val="17"/>
                <w:color w:val="auto"/>
              </w:rPr>
            </w:pPr>
          </w:p>
        </w:tc>
        <w:tc>
          <w:tcPr>
            <w:tcW w:w="860" w:type="dxa"/>
            <w:vAlign w:val="bottom"/>
            <w:tcBorders>
              <w:bottom w:val="single" w:sz="8" w:color="auto"/>
              <w:right w:val="single" w:sz="8" w:color="CCEEFF"/>
            </w:tcBorders>
            <w:shd w:val="clear" w:color="auto" w:fill="CCEEFF"/>
          </w:tcPr>
          <w:p>
            <w:pPr>
              <w:spacing w:after="0"/>
              <w:rPr>
                <w:sz w:val="17"/>
                <w:szCs w:val="17"/>
                <w:color w:val="auto"/>
              </w:rPr>
            </w:pPr>
          </w:p>
        </w:tc>
        <w:tc>
          <w:tcPr>
            <w:tcW w:w="920" w:type="dxa"/>
            <w:vAlign w:val="bottom"/>
            <w:tcBorders>
              <w:bottom w:val="single" w:sz="8" w:color="auto"/>
              <w:right w:val="single" w:sz="8" w:color="auto"/>
            </w:tcBorders>
            <w:shd w:val="clear" w:color="auto" w:fill="CCEEFF"/>
          </w:tcPr>
          <w:p>
            <w:pPr>
              <w:spacing w:after="0"/>
              <w:rPr>
                <w:sz w:val="17"/>
                <w:szCs w:val="17"/>
                <w:color w:val="auto"/>
              </w:rPr>
            </w:pPr>
          </w:p>
        </w:tc>
      </w:tr>
      <w:tr>
        <w:trPr>
          <w:trHeight w:val="209"/>
        </w:trPr>
        <w:tc>
          <w:tcPr>
            <w:tcW w:w="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Carry</w:t>
            </w:r>
          </w:p>
        </w:tc>
        <w:tc>
          <w:tcPr>
            <w:tcW w:w="6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09"/>
        </w:trPr>
        <w:tc>
          <w:tcPr>
            <w:tcW w:w="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Forward</w:t>
            </w:r>
          </w:p>
        </w:tc>
        <w:tc>
          <w:tcPr>
            <w:tcW w:w="6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27"/>
        </w:trPr>
        <w:tc>
          <w:tcPr>
            <w:tcW w:w="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Securities</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r>
      <w:tr>
        <w:trPr>
          <w:trHeight w:val="26"/>
        </w:trPr>
        <w:tc>
          <w:tcPr>
            <w:tcW w:w="920" w:type="dxa"/>
            <w:vAlign w:val="bottom"/>
            <w:tcBorders>
              <w:left w:val="single" w:sz="8" w:color="auto"/>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r>
        <w:trPr>
          <w:trHeight w:val="259"/>
        </w:trPr>
        <w:tc>
          <w:tcPr>
            <w:tcW w:w="920" w:type="dxa"/>
            <w:vAlign w:val="bottom"/>
            <w:tcBorders>
              <w:left w:val="single" w:sz="8" w:color="auto"/>
              <w:bottom w:val="single" w:sz="8" w:color="CCEEFF"/>
              <w:right w:val="single" w:sz="8" w:color="auto"/>
            </w:tcBorders>
            <w:shd w:val="clear" w:color="auto" w:fill="CCEEFF"/>
          </w:tcPr>
          <w:p>
            <w:pPr>
              <w:spacing w:after="0"/>
              <w:rPr>
                <w:sz w:val="22"/>
                <w:szCs w:val="22"/>
                <w:color w:val="auto"/>
              </w:rPr>
            </w:pPr>
          </w:p>
        </w:tc>
        <w:tc>
          <w:tcPr>
            <w:tcW w:w="660" w:type="dxa"/>
            <w:vAlign w:val="bottom"/>
            <w:tcBorders>
              <w:bottom w:val="single" w:sz="8" w:color="CCEEFF"/>
              <w:right w:val="single" w:sz="8" w:color="CCEEFF"/>
            </w:tcBorders>
            <w:shd w:val="clear" w:color="auto" w:fill="CCEEFF"/>
          </w:tcPr>
          <w:p>
            <w:pPr>
              <w:spacing w:after="0"/>
              <w:rPr>
                <w:sz w:val="22"/>
                <w:szCs w:val="22"/>
                <w:color w:val="auto"/>
              </w:rPr>
            </w:pPr>
          </w:p>
        </w:tc>
        <w:tc>
          <w:tcPr>
            <w:tcW w:w="2460" w:type="dxa"/>
            <w:vAlign w:val="bottom"/>
            <w:tcBorders>
              <w:bottom w:val="single" w:sz="8" w:color="CCEEFF"/>
              <w:right w:val="single" w:sz="8" w:color="auto"/>
            </w:tcBorders>
            <w:gridSpan w:val="3"/>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Total Offering Amounts</w:t>
            </w:r>
          </w:p>
        </w:tc>
        <w:tc>
          <w:tcPr>
            <w:tcW w:w="820" w:type="dxa"/>
            <w:vAlign w:val="bottom"/>
            <w:tcBorders>
              <w:bottom w:val="single" w:sz="8" w:color="CCEEFF"/>
              <w:right w:val="single" w:sz="8" w:color="auto"/>
            </w:tcBorders>
            <w:shd w:val="clear" w:color="auto" w:fill="CCEEFF"/>
          </w:tcPr>
          <w:p>
            <w:pPr>
              <w:spacing w:after="0"/>
              <w:rPr>
                <w:sz w:val="22"/>
                <w:szCs w:val="22"/>
                <w:color w:val="auto"/>
              </w:rPr>
            </w:pPr>
          </w:p>
        </w:tc>
        <w:tc>
          <w:tcPr>
            <w:tcW w:w="10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$180,000,000</w:t>
            </w:r>
          </w:p>
        </w:tc>
        <w:tc>
          <w:tcPr>
            <w:tcW w:w="880" w:type="dxa"/>
            <w:vAlign w:val="bottom"/>
            <w:tcBorders>
              <w:bottom w:val="single" w:sz="8" w:color="CCEEFF"/>
              <w:right w:val="single" w:sz="8" w:color="auto"/>
            </w:tcBorders>
            <w:shd w:val="clear" w:color="auto" w:fill="CCEEFF"/>
          </w:tcPr>
          <w:p>
            <w:pPr>
              <w:spacing w:after="0"/>
              <w:rPr>
                <w:sz w:val="22"/>
                <w:szCs w:val="22"/>
                <w:color w:val="auto"/>
              </w:rPr>
            </w:pPr>
          </w:p>
        </w:tc>
        <w:tc>
          <w:tcPr>
            <w:tcW w:w="11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$24,858</w:t>
            </w:r>
          </w:p>
        </w:tc>
        <w:tc>
          <w:tcPr>
            <w:tcW w:w="860" w:type="dxa"/>
            <w:vAlign w:val="bottom"/>
            <w:tcBorders>
              <w:bottom w:val="single" w:sz="8" w:color="CCEEFF"/>
              <w:right w:val="single" w:sz="8" w:color="auto"/>
            </w:tcBorders>
            <w:shd w:val="clear" w:color="auto" w:fill="CCEEFF"/>
          </w:tcPr>
          <w:p>
            <w:pPr>
              <w:spacing w:after="0"/>
              <w:rPr>
                <w:sz w:val="22"/>
                <w:szCs w:val="22"/>
                <w:color w:val="auto"/>
              </w:rPr>
            </w:pPr>
          </w:p>
        </w:tc>
        <w:tc>
          <w:tcPr>
            <w:tcW w:w="860" w:type="dxa"/>
            <w:vAlign w:val="bottom"/>
            <w:tcBorders>
              <w:bottom w:val="single" w:sz="8" w:color="CCEEFF"/>
              <w:right w:val="single" w:sz="8" w:color="auto"/>
            </w:tcBorders>
            <w:shd w:val="clear" w:color="auto" w:fill="CCEEFF"/>
          </w:tcPr>
          <w:p>
            <w:pPr>
              <w:spacing w:after="0"/>
              <w:rPr>
                <w:sz w:val="22"/>
                <w:szCs w:val="22"/>
                <w:color w:val="auto"/>
              </w:rPr>
            </w:pPr>
          </w:p>
        </w:tc>
        <w:tc>
          <w:tcPr>
            <w:tcW w:w="860" w:type="dxa"/>
            <w:vAlign w:val="bottom"/>
            <w:tcBorders>
              <w:bottom w:val="single" w:sz="8" w:color="CCEEFF"/>
              <w:right w:val="single" w:sz="8" w:color="auto"/>
            </w:tcBorders>
            <w:shd w:val="clear" w:color="auto" w:fill="CCEEFF"/>
          </w:tcPr>
          <w:p>
            <w:pPr>
              <w:spacing w:after="0"/>
              <w:rPr>
                <w:sz w:val="22"/>
                <w:szCs w:val="22"/>
                <w:color w:val="auto"/>
              </w:rPr>
            </w:pPr>
          </w:p>
        </w:tc>
        <w:tc>
          <w:tcPr>
            <w:tcW w:w="920" w:type="dxa"/>
            <w:vAlign w:val="bottom"/>
            <w:tcBorders>
              <w:bottom w:val="single" w:sz="8" w:color="CCEEFF"/>
              <w:right w:val="single" w:sz="8" w:color="auto"/>
            </w:tcBorders>
            <w:shd w:val="clear" w:color="auto" w:fill="CCEEFF"/>
          </w:tcPr>
          <w:p>
            <w:pPr>
              <w:spacing w:after="0"/>
              <w:rPr>
                <w:sz w:val="22"/>
                <w:szCs w:val="22"/>
                <w:color w:val="auto"/>
              </w:rPr>
            </w:pPr>
          </w:p>
        </w:tc>
      </w:tr>
      <w:tr>
        <w:trPr>
          <w:trHeight w:val="228"/>
        </w:trPr>
        <w:tc>
          <w:tcPr>
            <w:tcW w:w="920" w:type="dxa"/>
            <w:vAlign w:val="bottom"/>
            <w:tcBorders>
              <w:top w:val="single" w:sz="8" w:color="auto"/>
              <w:left w:val="single" w:sz="8" w:color="auto"/>
              <w:right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460" w:type="dxa"/>
            <w:vAlign w:val="bottom"/>
            <w:tcBorders>
              <w:top w:val="single" w:sz="8" w:color="auto"/>
              <w:right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Total Fees Previously Paid</w:t>
            </w:r>
          </w:p>
        </w:tc>
        <w:tc>
          <w:tcPr>
            <w:tcW w:w="820" w:type="dxa"/>
            <w:vAlign w:val="bottom"/>
            <w:tcBorders>
              <w:top w:val="single" w:sz="8" w:color="auto"/>
              <w:right w:val="single" w:sz="8" w:color="auto"/>
            </w:tcBorders>
          </w:tcPr>
          <w:p>
            <w:pPr>
              <w:spacing w:after="0"/>
              <w:rPr>
                <w:sz w:val="19"/>
                <w:szCs w:val="19"/>
                <w:color w:val="auto"/>
              </w:rPr>
            </w:pPr>
          </w:p>
        </w:tc>
        <w:tc>
          <w:tcPr>
            <w:tcW w:w="1000" w:type="dxa"/>
            <w:vAlign w:val="bottom"/>
            <w:tcBorders>
              <w:top w:val="single" w:sz="8" w:color="auto"/>
              <w:right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spacing w:after="0"/>
              <w:rPr>
                <w:sz w:val="19"/>
                <w:szCs w:val="19"/>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spacing w:after="0"/>
              <w:rPr>
                <w:sz w:val="19"/>
                <w:szCs w:val="19"/>
                <w:color w:val="auto"/>
              </w:rPr>
            </w:pPr>
          </w:p>
        </w:tc>
      </w:tr>
      <w:tr>
        <w:trPr>
          <w:trHeight w:val="26"/>
        </w:trPr>
        <w:tc>
          <w:tcPr>
            <w:tcW w:w="920" w:type="dxa"/>
            <w:vAlign w:val="bottom"/>
            <w:tcBorders>
              <w:left w:val="single" w:sz="8" w:color="auto"/>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r>
        <w:trPr>
          <w:trHeight w:val="259"/>
        </w:trPr>
        <w:tc>
          <w:tcPr>
            <w:tcW w:w="920" w:type="dxa"/>
            <w:vAlign w:val="bottom"/>
            <w:tcBorders>
              <w:left w:val="single" w:sz="8" w:color="auto"/>
              <w:bottom w:val="single" w:sz="8" w:color="CCEEFF"/>
              <w:right w:val="single" w:sz="8" w:color="auto"/>
            </w:tcBorders>
            <w:shd w:val="clear" w:color="auto" w:fill="CCEEFF"/>
          </w:tcPr>
          <w:p>
            <w:pPr>
              <w:spacing w:after="0"/>
              <w:rPr>
                <w:sz w:val="22"/>
                <w:szCs w:val="22"/>
                <w:color w:val="auto"/>
              </w:rPr>
            </w:pPr>
          </w:p>
        </w:tc>
        <w:tc>
          <w:tcPr>
            <w:tcW w:w="660" w:type="dxa"/>
            <w:vAlign w:val="bottom"/>
            <w:tcBorders>
              <w:bottom w:val="single" w:sz="8" w:color="CCEEFF"/>
              <w:right w:val="single" w:sz="8" w:color="CCEEFF"/>
            </w:tcBorders>
            <w:shd w:val="clear" w:color="auto" w:fill="CCEEFF"/>
          </w:tcPr>
          <w:p>
            <w:pPr>
              <w:spacing w:after="0"/>
              <w:rPr>
                <w:sz w:val="22"/>
                <w:szCs w:val="22"/>
                <w:color w:val="auto"/>
              </w:rPr>
            </w:pPr>
          </w:p>
        </w:tc>
        <w:tc>
          <w:tcPr>
            <w:tcW w:w="700" w:type="dxa"/>
            <w:vAlign w:val="bottom"/>
            <w:tcBorders>
              <w:bottom w:val="single" w:sz="8" w:color="CCEEFF"/>
              <w:right w:val="single" w:sz="8" w:color="CCEEFF"/>
            </w:tcBorders>
            <w:shd w:val="clear" w:color="auto" w:fill="CCEEFF"/>
          </w:tcPr>
          <w:p>
            <w:pPr>
              <w:spacing w:after="0"/>
              <w:rPr>
                <w:sz w:val="22"/>
                <w:szCs w:val="22"/>
                <w:color w:val="auto"/>
              </w:rPr>
            </w:pPr>
          </w:p>
        </w:tc>
        <w:tc>
          <w:tcPr>
            <w:tcW w:w="1760" w:type="dxa"/>
            <w:vAlign w:val="bottom"/>
            <w:tcBorders>
              <w:bottom w:val="single" w:sz="8" w:color="CCEEFF"/>
              <w:right w:val="single" w:sz="8" w:color="auto"/>
            </w:tcBorders>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Total Fee Offsets</w:t>
            </w:r>
          </w:p>
        </w:tc>
        <w:tc>
          <w:tcPr>
            <w:tcW w:w="820" w:type="dxa"/>
            <w:vAlign w:val="bottom"/>
            <w:tcBorders>
              <w:bottom w:val="single" w:sz="8" w:color="CCEEFF"/>
              <w:right w:val="single" w:sz="8" w:color="auto"/>
            </w:tcBorders>
            <w:shd w:val="clear" w:color="auto" w:fill="CCEEFF"/>
          </w:tcPr>
          <w:p>
            <w:pPr>
              <w:spacing w:after="0"/>
              <w:rPr>
                <w:sz w:val="22"/>
                <w:szCs w:val="22"/>
                <w:color w:val="auto"/>
              </w:rPr>
            </w:pPr>
          </w:p>
        </w:tc>
        <w:tc>
          <w:tcPr>
            <w:tcW w:w="1000" w:type="dxa"/>
            <w:vAlign w:val="bottom"/>
            <w:tcBorders>
              <w:bottom w:val="single" w:sz="8" w:color="CCEEFF"/>
              <w:right w:val="single" w:sz="8" w:color="auto"/>
            </w:tcBorders>
            <w:shd w:val="clear" w:color="auto" w:fill="CCEEFF"/>
          </w:tcPr>
          <w:p>
            <w:pPr>
              <w:spacing w:after="0"/>
              <w:rPr>
                <w:sz w:val="22"/>
                <w:szCs w:val="22"/>
                <w:color w:val="auto"/>
              </w:rPr>
            </w:pPr>
          </w:p>
        </w:tc>
        <w:tc>
          <w:tcPr>
            <w:tcW w:w="880" w:type="dxa"/>
            <w:vAlign w:val="bottom"/>
            <w:tcBorders>
              <w:bottom w:val="single" w:sz="8" w:color="CCEEFF"/>
              <w:right w:val="single" w:sz="8" w:color="auto"/>
            </w:tcBorders>
            <w:shd w:val="clear" w:color="auto" w:fill="CCEEFF"/>
          </w:tcPr>
          <w:p>
            <w:pPr>
              <w:spacing w:after="0"/>
              <w:rPr>
                <w:sz w:val="22"/>
                <w:szCs w:val="22"/>
                <w:color w:val="auto"/>
              </w:rPr>
            </w:pPr>
          </w:p>
        </w:tc>
        <w:tc>
          <w:tcPr>
            <w:tcW w:w="11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right w:val="single" w:sz="8" w:color="auto"/>
            </w:tcBorders>
            <w:shd w:val="clear" w:color="auto" w:fill="CCEEFF"/>
          </w:tcPr>
          <w:p>
            <w:pPr>
              <w:spacing w:after="0"/>
              <w:rPr>
                <w:sz w:val="22"/>
                <w:szCs w:val="22"/>
                <w:color w:val="auto"/>
              </w:rPr>
            </w:pPr>
          </w:p>
        </w:tc>
        <w:tc>
          <w:tcPr>
            <w:tcW w:w="860" w:type="dxa"/>
            <w:vAlign w:val="bottom"/>
            <w:tcBorders>
              <w:bottom w:val="single" w:sz="8" w:color="CCEEFF"/>
              <w:right w:val="single" w:sz="8" w:color="auto"/>
            </w:tcBorders>
            <w:shd w:val="clear" w:color="auto" w:fill="CCEEFF"/>
          </w:tcPr>
          <w:p>
            <w:pPr>
              <w:spacing w:after="0"/>
              <w:rPr>
                <w:sz w:val="22"/>
                <w:szCs w:val="22"/>
                <w:color w:val="auto"/>
              </w:rPr>
            </w:pPr>
          </w:p>
        </w:tc>
        <w:tc>
          <w:tcPr>
            <w:tcW w:w="860" w:type="dxa"/>
            <w:vAlign w:val="bottom"/>
            <w:tcBorders>
              <w:bottom w:val="single" w:sz="8" w:color="CCEEFF"/>
              <w:right w:val="single" w:sz="8" w:color="auto"/>
            </w:tcBorders>
            <w:shd w:val="clear" w:color="auto" w:fill="CCEEFF"/>
          </w:tcPr>
          <w:p>
            <w:pPr>
              <w:spacing w:after="0"/>
              <w:rPr>
                <w:sz w:val="22"/>
                <w:szCs w:val="22"/>
                <w:color w:val="auto"/>
              </w:rPr>
            </w:pPr>
          </w:p>
        </w:tc>
        <w:tc>
          <w:tcPr>
            <w:tcW w:w="920" w:type="dxa"/>
            <w:vAlign w:val="bottom"/>
            <w:tcBorders>
              <w:bottom w:val="single" w:sz="8" w:color="CCEEFF"/>
              <w:right w:val="single" w:sz="8" w:color="auto"/>
            </w:tcBorders>
            <w:shd w:val="clear" w:color="auto" w:fill="CCEEFF"/>
          </w:tcPr>
          <w:p>
            <w:pPr>
              <w:spacing w:after="0"/>
              <w:rPr>
                <w:sz w:val="22"/>
                <w:szCs w:val="22"/>
                <w:color w:val="auto"/>
              </w:rPr>
            </w:pPr>
          </w:p>
        </w:tc>
      </w:tr>
      <w:tr>
        <w:trPr>
          <w:trHeight w:val="228"/>
        </w:trPr>
        <w:tc>
          <w:tcPr>
            <w:tcW w:w="920" w:type="dxa"/>
            <w:vAlign w:val="bottom"/>
            <w:tcBorders>
              <w:top w:val="single" w:sz="8" w:color="auto"/>
              <w:left w:val="single" w:sz="8" w:color="auto"/>
              <w:right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760" w:type="dxa"/>
            <w:vAlign w:val="bottom"/>
            <w:tcBorders>
              <w:top w:val="single" w:sz="8" w:color="auto"/>
              <w:right w:val="single" w:sz="8" w:color="auto"/>
            </w:tcBorders>
            <w:gridSpan w:val="2"/>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Net Fee Due</w:t>
            </w:r>
          </w:p>
        </w:tc>
        <w:tc>
          <w:tcPr>
            <w:tcW w:w="820" w:type="dxa"/>
            <w:vAlign w:val="bottom"/>
            <w:tcBorders>
              <w:top w:val="single" w:sz="8" w:color="auto"/>
              <w:right w:val="single" w:sz="8" w:color="auto"/>
            </w:tcBorders>
          </w:tcPr>
          <w:p>
            <w:pPr>
              <w:spacing w:after="0"/>
              <w:rPr>
                <w:sz w:val="19"/>
                <w:szCs w:val="19"/>
                <w:color w:val="auto"/>
              </w:rPr>
            </w:pPr>
          </w:p>
        </w:tc>
        <w:tc>
          <w:tcPr>
            <w:tcW w:w="1000" w:type="dxa"/>
            <w:vAlign w:val="bottom"/>
            <w:tcBorders>
              <w:top w:val="single" w:sz="8" w:color="auto"/>
              <w:right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spacing w:after="0"/>
              <w:rPr>
                <w:sz w:val="19"/>
                <w:szCs w:val="19"/>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$24,858</w:t>
            </w:r>
          </w:p>
        </w:tc>
        <w:tc>
          <w:tcPr>
            <w:tcW w:w="860" w:type="dxa"/>
            <w:vAlign w:val="bottom"/>
            <w:tcBorders>
              <w:top w:val="single" w:sz="8" w:color="auto"/>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spacing w:after="0"/>
              <w:rPr>
                <w:sz w:val="19"/>
                <w:szCs w:val="19"/>
                <w:color w:val="auto"/>
              </w:rPr>
            </w:pPr>
          </w:p>
        </w:tc>
      </w:tr>
      <w:tr>
        <w:trPr>
          <w:trHeight w:val="26"/>
        </w:trPr>
        <w:tc>
          <w:tcPr>
            <w:tcW w:w="920" w:type="dxa"/>
            <w:vAlign w:val="bottom"/>
            <w:tcBorders>
              <w:left w:val="single" w:sz="8" w:color="auto"/>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bl>
    <w:p>
      <w:pPr>
        <w:spacing w:after="0" w:line="8" w:lineRule="exact"/>
        <w:rPr>
          <w:sz w:val="20"/>
          <w:szCs w:val="20"/>
          <w:color w:val="auto"/>
        </w:rPr>
      </w:pPr>
    </w:p>
    <w:p>
      <w:pPr>
        <w:ind w:left="300" w:hanging="296"/>
        <w:spacing w:after="0"/>
        <w:tabs>
          <w:tab w:leader="none" w:pos="3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proposed maximum aggregate offering price is being used to calculate the registration fee pursuant to Rule 457(o) under the Securities Act.</w:t>
      </w:r>
    </w:p>
    <w:p>
      <w:pPr>
        <w:spacing w:after="0" w:line="104" w:lineRule="exact"/>
        <w:rPr>
          <w:rFonts w:ascii="Times New Roman" w:cs="Times New Roman" w:eastAsia="Times New Roman" w:hAnsi="Times New Roman"/>
          <w:sz w:val="17"/>
          <w:szCs w:val="17"/>
          <w:color w:val="auto"/>
        </w:rPr>
      </w:pPr>
    </w:p>
    <w:p>
      <w:pPr>
        <w:ind w:left="300" w:right="380" w:hanging="296"/>
        <w:spacing w:after="0" w:line="294" w:lineRule="auto"/>
        <w:tabs>
          <w:tab w:leader="none" w:pos="3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registration fee is calculated in accordance with Rules 456(b) and 457(r) under the Securities Act and represents deferred payment of the registration fee in connection with the Registrant’s Registration Statement on Form S-3ASR (Registration No. 333-290806) paid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171450</wp:posOffset>
            </wp:positionV>
            <wp:extent cx="7136765"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sectPr>
      <w:pgSz w:w="11900" w:h="16838" w:orient="portrait"/>
      <w:cols w:equalWidth="0" w:num="1">
        <w:col w:w="11340"/>
      </w:cols>
      <w:pgMar w:left="320" w:top="30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1)"/>
      <w:numFmt w:val="lowerRoman"/>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1)"/>
      <w:numFmt w:val="decimal"/>
      <w:start w:val="844"/>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42" Type="http://schemas.openxmlformats.org/officeDocument/2006/relationships/image" Target="media/image20.png"/><Relationship Id="rId43" Type="http://schemas.openxmlformats.org/officeDocument/2006/relationships/image" Target="media/image21.png"/><Relationship Id="rId44" Type="http://schemas.openxmlformats.org/officeDocument/2006/relationships/image" Target="media/image22.png"/><Relationship Id="rId45" Type="http://schemas.openxmlformats.org/officeDocument/2006/relationships/image" Target="media/image23.png"/><Relationship Id="rId46" Type="http://schemas.openxmlformats.org/officeDocument/2006/relationships/image" Target="media/image24.png"/><Relationship Id="rId47" Type="http://schemas.openxmlformats.org/officeDocument/2006/relationships/image" Target="media/image25.png"/><Relationship Id="rId48" Type="http://schemas.openxmlformats.org/officeDocument/2006/relationships/image" Target="media/image26.png"/><Relationship Id="rId49" Type="http://schemas.openxmlformats.org/officeDocument/2006/relationships/image" Target="media/image27.png"/><Relationship Id="rId50" Type="http://schemas.openxmlformats.org/officeDocument/2006/relationships/image" Target="media/image28.png"/><Relationship Id="rId51" Type="http://schemas.openxmlformats.org/officeDocument/2006/relationships/image" Target="media/image29.png"/><Relationship Id="rId52" Type="http://schemas.openxmlformats.org/officeDocument/2006/relationships/image" Target="media/image30.png"/><Relationship Id="rId53" Type="http://schemas.openxmlformats.org/officeDocument/2006/relationships/image" Target="media/image31.png"/><Relationship Id="rId54" Type="http://schemas.openxmlformats.org/officeDocument/2006/relationships/image" Target="media/image32.png"/><Relationship Id="rId55" Type="http://schemas.openxmlformats.org/officeDocument/2006/relationships/image" Target="media/image33.png"/><Relationship Id="rId56" Type="http://schemas.openxmlformats.org/officeDocument/2006/relationships/image" Target="media/image34.png"/><Relationship Id="rId57" Type="http://schemas.openxmlformats.org/officeDocument/2006/relationships/image" Target="media/image35.png"/><Relationship Id="rId58" Type="http://schemas.openxmlformats.org/officeDocument/2006/relationships/image" Target="media/image36.png"/><Relationship Id="rId59" Type="http://schemas.openxmlformats.org/officeDocument/2006/relationships/image" Target="media/image37.png"/><Relationship Id="rId60" Type="http://schemas.openxmlformats.org/officeDocument/2006/relationships/image" Target="media/image38.png"/><Relationship Id="rId61" Type="http://schemas.openxmlformats.org/officeDocument/2006/relationships/image" Target="media/image39.png"/><Relationship Id="rId62" Type="http://schemas.openxmlformats.org/officeDocument/2006/relationships/image" Target="media/image40.png"/><Relationship Id="rId63" Type="http://schemas.openxmlformats.org/officeDocument/2006/relationships/image" Target="media/image41.png"/><Relationship Id="rId64" Type="http://schemas.openxmlformats.org/officeDocument/2006/relationships/image" Target="media/image42.png"/><Relationship Id="rId65" Type="http://schemas.openxmlformats.org/officeDocument/2006/relationships/image" Target="media/image43.png"/><Relationship Id="rId66" Type="http://schemas.openxmlformats.org/officeDocument/2006/relationships/image" Target="media/image44.png"/><Relationship Id="rId67" Type="http://schemas.openxmlformats.org/officeDocument/2006/relationships/image" Target="media/image45.png"/><Relationship Id="rId68" Type="http://schemas.openxmlformats.org/officeDocument/2006/relationships/image" Target="media/image46.png"/><Relationship Id="rId69" Type="http://schemas.openxmlformats.org/officeDocument/2006/relationships/image" Target="media/image47.png"/><Relationship Id="rId70" Type="http://schemas.openxmlformats.org/officeDocument/2006/relationships/image" Target="media/image48.png"/><Relationship Id="rId71" Type="http://schemas.openxmlformats.org/officeDocument/2006/relationships/image" Target="media/image49.png"/><Relationship Id="rId72" Type="http://schemas.openxmlformats.org/officeDocument/2006/relationships/image" Target="media/image50.png"/><Relationship Id="rId73" Type="http://schemas.openxmlformats.org/officeDocument/2006/relationships/image" Target="media/image51.png"/><Relationship Id="rId74" Type="http://schemas.openxmlformats.org/officeDocument/2006/relationships/image" Target="media/image52.png"/><Relationship Id="rId75" Type="http://schemas.openxmlformats.org/officeDocument/2006/relationships/image" Target="media/image53.png"/><Relationship Id="rId76" Type="http://schemas.openxmlformats.org/officeDocument/2006/relationships/image" Target="media/image54.png"/><Relationship Id="rId77" Type="http://schemas.openxmlformats.org/officeDocument/2006/relationships/image" Target="media/image55.png"/><Relationship Id="rId80" Type="http://schemas.openxmlformats.org/officeDocument/2006/relationships/image" Target="media/image56.png"/><Relationship Id="rId81" Type="http://schemas.openxmlformats.org/officeDocument/2006/relationships/image" Target="media/image57.png"/><Relationship Id="rId82" Type="http://schemas.openxmlformats.org/officeDocument/2006/relationships/image" Target="media/image58.png"/><Relationship Id="rId83" Type="http://schemas.openxmlformats.org/officeDocument/2006/relationships/image" Target="media/image59.jpeg"/><Relationship Id="rId84" Type="http://schemas.openxmlformats.org/officeDocument/2006/relationships/image" Target="media/image60.png"/><Relationship Id="rId85" Type="http://schemas.openxmlformats.org/officeDocument/2006/relationships/image" Target="media/image61.png"/><Relationship Id="rId86" Type="http://schemas.openxmlformats.org/officeDocument/2006/relationships/image" Target="media/image62.png"/><Relationship Id="rId87" Type="http://schemas.openxmlformats.org/officeDocument/2006/relationships/image" Target="media/image63.png"/><Relationship Id="rId27" Type="http://schemas.openxmlformats.org/officeDocument/2006/relationships/hyperlink" Target="https://www.sec.gov/ix?doc=/Archives/edgar/data/1731348/000143774925023703/tlry20250531_10k.htm" TargetMode="External"/><Relationship Id="rId28" Type="http://schemas.openxmlformats.org/officeDocument/2006/relationships/hyperlink" Target="https://www.sec.gov/ix?doc=/Archives/edgar/data/1731348/000114036125036324/ny20053807x2_def14a.htm" TargetMode="External"/><Relationship Id="rId29" Type="http://schemas.openxmlformats.org/officeDocument/2006/relationships/hyperlink" Target="https://www.sec.gov/ix?doc=/Archives/edgar/data/1731348/000143774925030797/tlry20250730_10q.htm" TargetMode="External"/><Relationship Id="rId30" Type="http://schemas.openxmlformats.org/officeDocument/2006/relationships/hyperlink" Target="https://www.sec.gov/ix?doc=/Archives/edgar/data/1731348/000143774926000902/tlry20251130_10q.htm" TargetMode="External"/><Relationship Id="rId31" Type="http://schemas.openxmlformats.org/officeDocument/2006/relationships/hyperlink" Target="https://www.sec.gov/ix?doc=/Archives/edgar/data/1731348/000143774926010907/tlry20260228_10q.htm" TargetMode="External"/><Relationship Id="rId32" Type="http://schemas.openxmlformats.org/officeDocument/2006/relationships/hyperlink" Target="https://www.sec.gov/ix?doc=/Archives/edgar/data/1731348/000114036125022089/ef20050460_8k.htm" TargetMode="External"/><Relationship Id="rId33" Type="http://schemas.openxmlformats.org/officeDocument/2006/relationships/hyperlink" Target="https://www.sec.gov/ix?doc=/Archives/edgar/data/1731348/000143774925021037/tlry20250621_8k.htm" TargetMode="External"/><Relationship Id="rId34" Type="http://schemas.openxmlformats.org/officeDocument/2006/relationships/hyperlink" Target="https://www.sec.gov/ix?doc=/Archives/edgar/data/1731348/000143774925035455/tlry20251113c_8k.htm" TargetMode="External"/><Relationship Id="rId35" Type="http://schemas.openxmlformats.org/officeDocument/2006/relationships/hyperlink" Target="https://www.sec.gov/ix?doc=/Archives/edgar/data/1731348/000143774925035739/tlry20251113_8k.htm" TargetMode="External"/><Relationship Id="rId36" Type="http://schemas.openxmlformats.org/officeDocument/2006/relationships/hyperlink" Target="https://www.sec.gov/ix?doc=/Archives/edgar/data/1731348/000143774925036448/tlry20251122_8k.htm" TargetMode="External"/><Relationship Id="rId37" Type="http://schemas.openxmlformats.org/officeDocument/2006/relationships/hyperlink" Target="https://www.sec.gov/ix?doc=/Archives/edgar/data/1731348/000143774926006389/tlry20260114_8k.htm" TargetMode="External"/><Relationship Id="rId38" Type="http://schemas.openxmlformats.org/officeDocument/2006/relationships/hyperlink" Target="https://www.sec.gov/ix?doc=/Archives/edgar/data/1731348/000114036126014638/ny20066669x3_8k.htm" TargetMode="External"/><Relationship Id="rId39" Type="http://schemas.openxmlformats.org/officeDocument/2006/relationships/hyperlink" Target="https://www.sec.gov/ix?doc=/Archives/edgar/data/1731348/000114036126014692/ny20066669x2_8k.htm" TargetMode="External"/><Relationship Id="rId40" Type="http://schemas.openxmlformats.org/officeDocument/2006/relationships/hyperlink" Target="https://www.sec.gov/Archives/edgar/data/1731348/000119312520261461/d89853d8a12ba.htm" TargetMode="External"/><Relationship Id="rId41" Type="http://schemas.openxmlformats.org/officeDocument/2006/relationships/hyperlink" Target="https://www.sec.gov/Archives/edgar/data/1731348/000143774925023703/ex_802151.htm" TargetMode="External"/><Relationship Id="rId78" Type="http://schemas.openxmlformats.org/officeDocument/2006/relationships/hyperlink" Target="https://www.sec.gov/ix?doc=/Archives/edgar/data/0001731348/000143774925021037/tlry20250621_8k.htm" TargetMode="External"/><Relationship Id="rId79" Type="http://schemas.openxmlformats.org/officeDocument/2006/relationships/hyperlink" Target="https://www.sec.gov/ix?doc=/Archives/edgar/data/0001731348/000114036125022089/ef20050460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2026-04-15T08:16:51Z</dcterms:created>
  <dcterms:modified xsi:type="dcterms:W3CDTF">2026-04-15T08:16:51Z</dcterms:modified>
</cp:coreProperties>
</file>