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204470</wp:posOffset>
            </wp:positionH>
            <wp:positionV relativeFrom="page">
              <wp:posOffset>153670</wp:posOffset>
            </wp:positionV>
            <wp:extent cx="7140575" cy="15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0575" cy="15875"/>
                    </a:xfrm>
                    <a:prstGeom prst="rect">
                      <a:avLst/>
                    </a:prstGeom>
                    <a:noFill/>
                  </pic:spPr>
                </pic:pic>
              </a:graphicData>
            </a:graphic>
          </wp:anchor>
        </w:drawing>
        <w:drawing>
          <wp:anchor simplePos="0" relativeHeight="251657728" behindDoc="1" locked="0" layoutInCell="0" allowOverlap="1">
            <wp:simplePos x="0" y="0"/>
            <wp:positionH relativeFrom="page">
              <wp:posOffset>204470</wp:posOffset>
            </wp:positionH>
            <wp:positionV relativeFrom="page">
              <wp:posOffset>185420</wp:posOffset>
            </wp:positionV>
            <wp:extent cx="71405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0575" cy="825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Washington, D.C. 20549</w:t>
      </w:r>
    </w:p>
    <w:p>
      <w:pPr>
        <w:spacing w:after="0" w:line="177"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20"/>
          <w:szCs w:val="20"/>
          <w:color w:val="auto"/>
        </w:rPr>
        <w:t>_________________</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FORM 8-K</w:t>
      </w:r>
    </w:p>
    <w:p>
      <w:pPr>
        <w:spacing w:after="0" w:line="209"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20"/>
          <w:szCs w:val="20"/>
          <w:color w:val="auto"/>
        </w:rPr>
        <w:t>_________________</w:t>
      </w:r>
    </w:p>
    <w:p>
      <w:pPr>
        <w:spacing w:after="0" w:line="198"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100"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20"/>
          <w:szCs w:val="20"/>
          <w:b w:val="1"/>
          <w:bCs w:val="1"/>
          <w:color w:val="auto"/>
        </w:rPr>
        <w:t>Pursuant to Section 13 or 15(d)</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of the Securities Exchange Act of 1934</w:t>
      </w:r>
    </w:p>
    <w:p>
      <w:pPr>
        <w:spacing w:after="0" w:line="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April 8, 2025</w:t>
      </w:r>
    </w:p>
    <w:p>
      <w:pPr>
        <w:spacing w:after="0" w:line="206"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20"/>
          <w:szCs w:val="20"/>
          <w:color w:val="auto"/>
        </w:rPr>
        <w:t>_______________________________</w:t>
      </w:r>
    </w:p>
    <w:p>
      <w:pPr>
        <w:spacing w:after="0" w:line="1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Tilray Brands, Inc.</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184"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20"/>
          <w:szCs w:val="20"/>
          <w:color w:val="auto"/>
        </w:rPr>
        <w:t>_______________________________</w:t>
      </w:r>
    </w:p>
    <w:p>
      <w:pPr>
        <w:sectPr>
          <w:pgSz w:w="11900" w:h="16838" w:orient="portrait"/>
          <w:cols w:equalWidth="0" w:num="1">
            <w:col w:w="11240"/>
          </w:cols>
          <w:pgMar w:left="320" w:top="481" w:right="339" w:bottom="1440" w:gutter="0" w:footer="0" w:header="0"/>
        </w:sectPr>
      </w:pPr>
    </w:p>
    <w:p>
      <w:pPr>
        <w:spacing w:after="0" w:line="207"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7"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7"/>
          <w:szCs w:val="17"/>
          <w:b w:val="1"/>
          <w:bCs w:val="1"/>
          <w:color w:val="auto"/>
        </w:rPr>
        <w:t>001-38594</w:t>
      </w:r>
    </w:p>
    <w:p>
      <w:pPr>
        <w:spacing w:after="0" w:line="27"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7"/>
          <w:szCs w:val="17"/>
          <w:b w:val="1"/>
          <w:bCs w:val="1"/>
          <w:color w:val="auto"/>
        </w:rPr>
        <w:t>82-4310622</w:t>
      </w:r>
    </w:p>
    <w:p>
      <w:pPr>
        <w:spacing w:after="0" w:line="27"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6"/>
          <w:szCs w:val="16"/>
          <w:color w:val="auto"/>
        </w:rPr>
        <w:t>(I.R.S. Employer Identification No.)</w:t>
      </w:r>
    </w:p>
    <w:p>
      <w:pPr>
        <w:spacing w:after="0" w:line="200" w:lineRule="exact"/>
        <w:rPr>
          <w:sz w:val="24"/>
          <w:szCs w:val="24"/>
          <w:color w:val="auto"/>
        </w:rPr>
      </w:pPr>
    </w:p>
    <w:p>
      <w:pPr>
        <w:sectPr>
          <w:pgSz w:w="11900" w:h="16838" w:orient="portrait"/>
          <w:cols w:equalWidth="0" w:num="3">
            <w:col w:w="3980" w:space="720"/>
            <w:col w:w="2740" w:space="720"/>
            <w:col w:w="3080"/>
          </w:cols>
          <w:pgMar w:left="320" w:top="481"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265 Talbot Street West</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Leamington, Ontario N8H 4H3</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p>
      <w:pPr>
        <w:spacing w:after="0" w:line="1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(844) 845-7291</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ectPr>
          <w:pgSz w:w="11900" w:h="16838" w:orient="portrait"/>
          <w:cols w:equalWidth="0" w:num="1">
            <w:col w:w="11240"/>
          </w:cols>
          <w:pgMar w:left="320" w:top="481" w:right="339" w:bottom="1440" w:gutter="0" w:footer="0" w:header="0"/>
          <w:type w:val="continuous"/>
        </w:sectPr>
      </w:pPr>
    </w:p>
    <w:p>
      <w:pPr>
        <w:spacing w:after="0" w:line="1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w:t>
      </w:r>
    </w:p>
    <w:p>
      <w:pPr>
        <w:spacing w:after="0" w:line="18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20"/>
          <w:szCs w:val="20"/>
          <w:color w:val="auto"/>
        </w:rPr>
        <w:t>_______________________________</w:t>
      </w:r>
    </w:p>
    <w:p>
      <w:pPr>
        <w:spacing w:after="0" w:line="211" w:lineRule="exact"/>
        <w:rPr>
          <w:sz w:val="24"/>
          <w:szCs w:val="24"/>
          <w:color w:val="auto"/>
        </w:rPr>
      </w:pPr>
    </w:p>
    <w:p>
      <w:pPr>
        <w:ind w:right="620"/>
        <w:spacing w:after="0" w:line="278"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w:t>
      </w:r>
    </w:p>
    <w:p>
      <w:pPr>
        <w:spacing w:after="0" w:line="55" w:lineRule="exact"/>
        <w:rPr>
          <w:sz w:val="24"/>
          <w:szCs w:val="24"/>
          <w:color w:val="auto"/>
        </w:rPr>
      </w:pPr>
    </w:p>
    <w:p>
      <w:pPr>
        <w:ind w:left="340" w:hanging="243"/>
        <w:spacing w:after="0"/>
        <w:tabs>
          <w:tab w:leader="none" w:pos="3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25" w:lineRule="exact"/>
        <w:rPr>
          <w:rFonts w:ascii="MS PGothic" w:cs="MS PGothic" w:eastAsia="MS PGothic" w:hAnsi="MS PGothic"/>
          <w:sz w:val="17"/>
          <w:szCs w:val="17"/>
          <w:color w:val="auto"/>
        </w:rPr>
      </w:pPr>
    </w:p>
    <w:p>
      <w:pPr>
        <w:ind w:left="340" w:hanging="243"/>
        <w:spacing w:after="0"/>
        <w:tabs>
          <w:tab w:leader="none" w:pos="3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7" w:lineRule="exact"/>
        <w:rPr>
          <w:rFonts w:ascii="MS PGothic" w:cs="MS PGothic" w:eastAsia="MS PGothic" w:hAnsi="MS PGothic"/>
          <w:sz w:val="17"/>
          <w:szCs w:val="17"/>
          <w:color w:val="auto"/>
        </w:rPr>
      </w:pPr>
    </w:p>
    <w:p>
      <w:pPr>
        <w:ind w:left="340" w:hanging="243"/>
        <w:spacing w:after="0"/>
        <w:tabs>
          <w:tab w:leader="none" w:pos="3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7" w:lineRule="exact"/>
        <w:rPr>
          <w:rFonts w:ascii="MS PGothic" w:cs="MS PGothic" w:eastAsia="MS PGothic" w:hAnsi="MS PGothic"/>
          <w:sz w:val="17"/>
          <w:szCs w:val="17"/>
          <w:color w:val="auto"/>
        </w:rPr>
      </w:pPr>
    </w:p>
    <w:p>
      <w:pPr>
        <w:ind w:left="340" w:hanging="243"/>
        <w:spacing w:after="0"/>
        <w:tabs>
          <w:tab w:leader="none" w:pos="3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91" w:lineRule="exact"/>
        <w:rPr>
          <w:sz w:val="24"/>
          <w:szCs w:val="24"/>
          <w:color w:val="auto"/>
        </w:rPr>
      </w:pPr>
    </w:p>
    <w:tbl>
      <w:tblPr>
        <w:tblLayout w:type="fixed"/>
        <w:tblInd w:w="0" w:type="dxa"/>
        <w:tblCellMar>
          <w:top w:w="0" w:type="dxa"/>
          <w:left w:w="0" w:type="dxa"/>
          <w:bottom w:w="0" w:type="dxa"/>
          <w:right w:w="0" w:type="dxa"/>
        </w:tblCellMar>
      </w:tblPr>
      <w:tr>
        <w:trPr>
          <w:trHeight w:val="219"/>
        </w:trPr>
        <w:tc>
          <w:tcPr>
            <w:tcW w:w="4480" w:type="dxa"/>
            <w:vAlign w:val="bottom"/>
          </w:tcPr>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tc>
        <w:tc>
          <w:tcPr>
            <w:tcW w:w="2480" w:type="dxa"/>
            <w:vAlign w:val="bottom"/>
          </w:tcPr>
          <w:p>
            <w:pPr>
              <w:spacing w:after="0"/>
              <w:rPr>
                <w:sz w:val="19"/>
                <w:szCs w:val="19"/>
                <w:color w:val="auto"/>
              </w:rPr>
            </w:pPr>
          </w:p>
        </w:tc>
        <w:tc>
          <w:tcPr>
            <w:tcW w:w="4280" w:type="dxa"/>
            <w:vAlign w:val="bottom"/>
          </w:tcPr>
          <w:p>
            <w:pPr>
              <w:spacing w:after="0"/>
              <w:rPr>
                <w:sz w:val="19"/>
                <w:szCs w:val="19"/>
                <w:color w:val="auto"/>
              </w:rPr>
            </w:pPr>
          </w:p>
        </w:tc>
      </w:tr>
      <w:tr>
        <w:trPr>
          <w:trHeight w:val="305"/>
        </w:trPr>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Title of each class</w:t>
            </w: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Trading Symbol(s)</w:t>
            </w:r>
          </w:p>
        </w:tc>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Name of each exchange on which registered</w:t>
            </w:r>
          </w:p>
        </w:tc>
      </w:tr>
      <w:tr>
        <w:trPr>
          <w:trHeight w:val="212"/>
        </w:trPr>
        <w:tc>
          <w:tcPr>
            <w:tcW w:w="44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Common stock, par value $0.0001 per share</w:t>
            </w:r>
          </w:p>
        </w:tc>
        <w:tc>
          <w:tcPr>
            <w:tcW w:w="24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4"/>
              </w:rPr>
              <w:t>TLRY</w:t>
            </w:r>
          </w:p>
        </w:tc>
        <w:tc>
          <w:tcPr>
            <w:tcW w:w="42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The NASDAQ Global Select Market</w:t>
            </w:r>
          </w:p>
        </w:tc>
      </w:tr>
    </w:tbl>
    <w:p>
      <w:pPr>
        <w:spacing w:after="0" w:line="70" w:lineRule="exact"/>
        <w:rPr>
          <w:sz w:val="24"/>
          <w:szCs w:val="24"/>
          <w:color w:val="auto"/>
        </w:rPr>
      </w:pPr>
    </w:p>
    <w:p>
      <w:pPr>
        <w:jc w:val="both"/>
        <w:spacing w:after="0" w:line="278"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48" w:lineRule="exact"/>
        <w:rPr>
          <w:sz w:val="24"/>
          <w:szCs w:val="24"/>
          <w:color w:val="auto"/>
        </w:rPr>
      </w:pPr>
    </w:p>
    <w:p>
      <w:pPr>
        <w:ind w:right="100"/>
        <w:spacing w:after="0" w:line="225"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193040</wp:posOffset>
            </wp:positionV>
            <wp:extent cx="7140575"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0575" cy="40640"/>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Item 2.02. Results of Operations and Financial Condition.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April 8, 2025, the Registrant issued a press release, a copy of which is attached hereto as Exhibit 99.1 and is incorporated herein by reference.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9.01. Financial Statements and Exhibits.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3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 Exhibits</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7520" w:type="dxa"/>
            <w:vAlign w:val="bottom"/>
          </w:tcPr>
          <w:p>
            <w:pPr>
              <w:spacing w:after="0"/>
              <w:rPr>
                <w:sz w:val="19"/>
                <w:szCs w:val="19"/>
                <w:color w:val="auto"/>
              </w:rPr>
            </w:pPr>
          </w:p>
        </w:tc>
      </w:tr>
      <w:tr>
        <w:trPr>
          <w:trHeight w:val="331"/>
        </w:trPr>
        <w:tc>
          <w:tcPr>
            <w:tcW w:w="13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Exhibit Number</w:t>
            </w:r>
          </w:p>
        </w:tc>
        <w:tc>
          <w:tcPr>
            <w:tcW w:w="9920" w:type="dxa"/>
            <w:vAlign w:val="bottom"/>
            <w:gridSpan w:val="4"/>
          </w:tcPr>
          <w:p>
            <w:pPr>
              <w:ind w:left="120"/>
              <w:spacing w:after="0"/>
              <w:rPr>
                <w:sz w:val="20"/>
                <w:szCs w:val="20"/>
                <w:color w:val="auto"/>
              </w:rPr>
            </w:pPr>
            <w:r>
              <w:rPr>
                <w:rFonts w:ascii="Times New Roman" w:cs="Times New Roman" w:eastAsia="Times New Roman" w:hAnsi="Times New Roman"/>
                <w:sz w:val="17"/>
                <w:szCs w:val="17"/>
                <w:b w:val="1"/>
                <w:bCs w:val="1"/>
                <w:color w:val="auto"/>
              </w:rPr>
              <w:t>Description</w:t>
            </w:r>
          </w:p>
        </w:tc>
      </w:tr>
      <w:tr>
        <w:trPr>
          <w:trHeight w:val="20"/>
        </w:trPr>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r>
      <w:tr>
        <w:trPr>
          <w:trHeight w:val="387"/>
        </w:trPr>
        <w:tc>
          <w:tcPr>
            <w:tcW w:w="300" w:type="dxa"/>
            <w:vAlign w:val="bottom"/>
          </w:tcPr>
          <w:p>
            <w:pPr>
              <w:spacing w:after="0"/>
              <w:rPr>
                <w:sz w:val="20"/>
                <w:szCs w:val="20"/>
                <w:color w:val="auto"/>
              </w:rPr>
            </w:pPr>
            <w:r>
              <w:rPr>
                <w:rFonts w:ascii="Times New Roman" w:cs="Times New Roman" w:eastAsia="Times New Roman" w:hAnsi="Times New Roman"/>
                <w:sz w:val="17"/>
                <w:szCs w:val="17"/>
                <w:color w:val="0000EE"/>
                <w:w w:val="93"/>
              </w:rPr>
              <w:t>99.</w:t>
            </w:r>
            <w:r>
              <w:rPr>
                <w:rFonts w:ascii="Times New Roman" w:cs="Times New Roman" w:eastAsia="Times New Roman" w:hAnsi="Times New Roman"/>
                <w:sz w:val="17"/>
                <w:szCs w:val="17"/>
                <w:u w:val="single" w:color="auto"/>
                <w:color w:val="0000EE"/>
                <w:w w:val="93"/>
              </w:rPr>
              <w:t>1</w:t>
            </w: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92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0000EE"/>
              </w:rPr>
              <w:t>Press Release dated April 8, 2025</w:t>
            </w:r>
          </w:p>
        </w:tc>
      </w:tr>
      <w:tr>
        <w:trPr>
          <w:trHeight w:val="20"/>
        </w:trPr>
        <w:tc>
          <w:tcPr>
            <w:tcW w:w="30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r>
      <w:tr>
        <w:trPr>
          <w:trHeight w:val="221"/>
        </w:trPr>
        <w:tc>
          <w:tcPr>
            <w:tcW w:w="300" w:type="dxa"/>
            <w:vAlign w:val="bottom"/>
          </w:tcPr>
          <w:p>
            <w:pPr>
              <w:spacing w:after="0"/>
              <w:rPr>
                <w:sz w:val="20"/>
                <w:szCs w:val="20"/>
                <w:color w:val="auto"/>
              </w:rPr>
            </w:pPr>
            <w:r>
              <w:rPr>
                <w:rFonts w:ascii="Times New Roman" w:cs="Times New Roman" w:eastAsia="Times New Roman" w:hAnsi="Times New Roman"/>
                <w:sz w:val="17"/>
                <w:szCs w:val="17"/>
                <w:color w:val="auto"/>
              </w:rPr>
              <w:t>104</w:t>
            </w: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92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Cover Page Interactive Data File (embedded within the Inline XBRL document)</w:t>
            </w:r>
          </w:p>
        </w:tc>
      </w:tr>
      <w:tr>
        <w:trPr>
          <w:trHeight w:val="242"/>
        </w:trPr>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7520" w:type="dxa"/>
            <w:vAlign w:val="bottom"/>
          </w:tcPr>
          <w:p>
            <w:pPr>
              <w:spacing w:after="0"/>
              <w:rPr>
                <w:sz w:val="21"/>
                <w:szCs w:val="21"/>
                <w:color w:val="auto"/>
              </w:rPr>
            </w:pPr>
          </w:p>
        </w:tc>
      </w:tr>
      <w:tr>
        <w:trPr>
          <w:trHeight w:val="64"/>
        </w:trPr>
        <w:tc>
          <w:tcPr>
            <w:tcW w:w="300" w:type="dxa"/>
            <w:vAlign w:val="bottom"/>
            <w:shd w:val="clear" w:color="auto" w:fill="000000"/>
          </w:tcPr>
          <w:p>
            <w:pPr>
              <w:spacing w:after="0"/>
              <w:rPr>
                <w:sz w:val="5"/>
                <w:szCs w:val="5"/>
                <w:color w:val="auto"/>
              </w:rPr>
            </w:pPr>
          </w:p>
        </w:tc>
        <w:tc>
          <w:tcPr>
            <w:tcW w:w="88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840" w:type="dxa"/>
            <w:vAlign w:val="bottom"/>
            <w:shd w:val="clear" w:color="auto" w:fill="000000"/>
          </w:tcPr>
          <w:p>
            <w:pPr>
              <w:spacing w:after="0"/>
              <w:rPr>
                <w:sz w:val="5"/>
                <w:szCs w:val="5"/>
                <w:color w:val="auto"/>
              </w:rPr>
            </w:pPr>
          </w:p>
        </w:tc>
        <w:tc>
          <w:tcPr>
            <w:tcW w:w="1440" w:type="dxa"/>
            <w:vAlign w:val="bottom"/>
            <w:shd w:val="clear" w:color="auto" w:fill="000000"/>
          </w:tcPr>
          <w:p>
            <w:pPr>
              <w:spacing w:after="0"/>
              <w:rPr>
                <w:sz w:val="5"/>
                <w:szCs w:val="5"/>
                <w:color w:val="auto"/>
              </w:rPr>
            </w:pPr>
          </w:p>
        </w:tc>
        <w:tc>
          <w:tcPr>
            <w:tcW w:w="752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348" w:right="33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190"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00" w:type="dxa"/>
            <w:vAlign w:val="bottom"/>
          </w:tcPr>
          <w:p>
            <w:pPr>
              <w:spacing w:after="0"/>
              <w:rPr>
                <w:sz w:val="19"/>
                <w:szCs w:val="19"/>
                <w:color w:val="auto"/>
              </w:rPr>
            </w:pPr>
          </w:p>
        </w:tc>
        <w:tc>
          <w:tcPr>
            <w:tcW w:w="4000" w:type="dxa"/>
            <w:vAlign w:val="bottom"/>
            <w:gridSpan w:val="2"/>
          </w:tcPr>
          <w:p>
            <w:pPr>
              <w:ind w:left="2060"/>
              <w:spacing w:after="0"/>
              <w:rPr>
                <w:sz w:val="20"/>
                <w:szCs w:val="20"/>
                <w:color w:val="auto"/>
              </w:rPr>
            </w:pPr>
            <w:r>
              <w:rPr>
                <w:rFonts w:ascii="Times New Roman" w:cs="Times New Roman" w:eastAsia="Times New Roman" w:hAnsi="Times New Roman"/>
                <w:sz w:val="17"/>
                <w:szCs w:val="17"/>
                <w:b w:val="1"/>
                <w:bCs w:val="1"/>
                <w:color w:val="auto"/>
              </w:rPr>
              <w:t>Tilray Brands, Inc.</w:t>
            </w:r>
          </w:p>
        </w:tc>
      </w:tr>
      <w:tr>
        <w:trPr>
          <w:trHeight w:val="649"/>
        </w:trPr>
        <w:tc>
          <w:tcPr>
            <w:tcW w:w="3400" w:type="dxa"/>
            <w:vAlign w:val="bottom"/>
          </w:tcPr>
          <w:p>
            <w:pPr>
              <w:spacing w:after="0"/>
              <w:rPr>
                <w:sz w:val="20"/>
                <w:szCs w:val="20"/>
                <w:color w:val="auto"/>
              </w:rPr>
            </w:pPr>
            <w:r>
              <w:rPr>
                <w:rFonts w:ascii="Times New Roman" w:cs="Times New Roman" w:eastAsia="Times New Roman" w:hAnsi="Times New Roman"/>
                <w:sz w:val="17"/>
                <w:szCs w:val="17"/>
                <w:color w:val="auto"/>
              </w:rPr>
              <w:t>Date: April 8, 2025</w:t>
            </w:r>
          </w:p>
        </w:tc>
        <w:tc>
          <w:tcPr>
            <w:tcW w:w="4000" w:type="dxa"/>
            <w:vAlign w:val="bottom"/>
            <w:gridSpan w:val="2"/>
          </w:tcPr>
          <w:p>
            <w:pPr>
              <w:ind w:left="2060"/>
              <w:spacing w:after="0"/>
              <w:rPr>
                <w:sz w:val="20"/>
                <w:szCs w:val="20"/>
                <w:color w:val="auto"/>
              </w:rPr>
            </w:pPr>
            <w:r>
              <w:rPr>
                <w:rFonts w:ascii="Times New Roman" w:cs="Times New Roman" w:eastAsia="Times New Roman" w:hAnsi="Times New Roman"/>
                <w:sz w:val="17"/>
                <w:szCs w:val="17"/>
                <w:color w:val="auto"/>
              </w:rPr>
              <w:t>By: /s/ Mitchell Gendel</w:t>
            </w:r>
          </w:p>
        </w:tc>
      </w:tr>
      <w:tr>
        <w:trPr>
          <w:trHeight w:val="221"/>
        </w:trPr>
        <w:tc>
          <w:tcPr>
            <w:tcW w:w="34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Mitchell Gendel</w:t>
            </w:r>
          </w:p>
        </w:tc>
      </w:tr>
      <w:tr>
        <w:trPr>
          <w:trHeight w:val="229"/>
        </w:trPr>
        <w:tc>
          <w:tcPr>
            <w:tcW w:w="34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7"/>
                <w:szCs w:val="17"/>
                <w:color w:val="auto"/>
                <w:w w:val="98"/>
              </w:rPr>
              <w:t>Global General Counsel</w:t>
            </w:r>
          </w:p>
        </w:tc>
      </w:tr>
    </w:tbl>
    <w:p>
      <w:pPr>
        <w:sectPr>
          <w:pgSz w:w="11900" w:h="16838" w:orient="portrait"/>
          <w:cols w:equalWidth="0" w:num="1">
            <w:col w:w="11180"/>
          </w:cols>
          <w:pgMar w:left="320" w:top="513" w:right="399" w:bottom="1440" w:gutter="0" w:footer="0" w:header="0"/>
        </w:sectPr>
      </w:pPr>
    </w:p>
    <w:bookmarkStart w:id="3" w:name="page4"/>
    <w:bookmarkEnd w:id="3"/>
    <w:p>
      <w:pPr>
        <w:spacing w:after="0" w:line="118" w:lineRule="exact"/>
        <w:rPr>
          <w:sz w:val="20"/>
          <w:szCs w:val="20"/>
          <w:color w:val="auto"/>
        </w:rPr>
      </w:pPr>
    </w:p>
    <w:p>
      <w:pPr>
        <w:ind w:left="9960"/>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Tilray Brands Reports Q3 Fiscal 2025 Financial Results</w:t>
      </w:r>
    </w:p>
    <w:p>
      <w:pPr>
        <w:spacing w:after="0" w:line="20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0"/>
          <w:szCs w:val="20"/>
          <w:b w:val="1"/>
          <w:bCs w:val="1"/>
          <w:color w:val="auto"/>
        </w:rPr>
        <w:t>Tilray Confirms No Current Impact of Tariffs</w:t>
      </w:r>
    </w:p>
    <w:p>
      <w:pPr>
        <w:spacing w:after="0" w:line="20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Generated Net Revenue of $186 Million in the Third Quarter, $193 Million in Constant Currency; Strategic Initiatives and SKU</w:t>
      </w:r>
    </w:p>
    <w:p>
      <w:pPr>
        <w:spacing w:after="0" w:line="25"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0"/>
          <w:szCs w:val="20"/>
          <w:b w:val="1"/>
          <w:bCs w:val="1"/>
          <w:color w:val="auto"/>
        </w:rPr>
        <w:t>Rationalization Impacted Revenue by $13 Million</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Tilray Beverage Expands U.S. Distribution of Hemp-Derived THC Drinks Across 10 States, Increases Project 420 Cost Savings</w:t>
      </w:r>
    </w:p>
    <w:p>
      <w:pPr>
        <w:spacing w:after="0" w:line="25"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b w:val="1"/>
          <w:bCs w:val="1"/>
          <w:color w:val="auto"/>
        </w:rPr>
        <w:t>Plan to $33 Million</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b w:val="1"/>
          <w:bCs w:val="1"/>
          <w:color w:val="auto"/>
        </w:rPr>
        <w:t>Tilray Cannabis Increased Gross Margins by 800 bps, Remains the Leader in Canada by Sales Performance, and Generates</w:t>
      </w:r>
    </w:p>
    <w:p>
      <w:pPr>
        <w:spacing w:after="0" w:line="2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0"/>
          <w:szCs w:val="20"/>
          <w:b w:val="1"/>
          <w:bCs w:val="1"/>
          <w:color w:val="auto"/>
        </w:rPr>
        <w:t>Strong Sales Growth in Germany</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Strengthens Balance Sheet with Convertible Note Reduction of $58 Million and Total Debt Reduction of $71 Million, $248 Million</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Available in Cash and Marketable Securities</w:t>
      </w:r>
    </w:p>
    <w:p>
      <w:pPr>
        <w:spacing w:after="0" w:line="18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NEW YORK and LEAMINGTON, Ontario, April 08, 2025 (GLOBE NEWSWIRE) -- Tilray Brands, Inc. (“Tilray”, “our”, “we” or the “Company”) (Nasdaq: TLRY; TSX: TLRY), a global lifestyle and consumer packaged goods company at the forefront of beverage, cannabis and wellness industries, today reported financial results for its third quarter ended February 28, 2025. All financial information in this press release is reported in U.S. dollars, unless otherwise indicated.</w:t>
      </w:r>
    </w:p>
    <w:p>
      <w:pPr>
        <w:spacing w:after="0" w:line="16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In response to the recently announced tariffs on international trade, Tilray conducted an analysis of the potential implications on its business. The analysis concluded that these tariffs should not impact sales. In the United States, Tilray's American beverage brands are solely manufactured and distributed within the U.S. market. In Canada, Tilray’s cannabis brands are produced domestically for Canadian consumers. In Europe, Tilray manufactures medical cannabis brands and products for distribution across Europe and Australia. Regarding Tilray’s wellness business, Manitoba Harvest is currently exempt from the new tariffs.</w:t>
      </w:r>
    </w:p>
    <w:p>
      <w:pPr>
        <w:spacing w:after="0" w:line="16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Irwin D. Simon, Chairman and Chief Executive Officer of Tilray Brands, stated, "Tilray Brands is shaping the future of consumer markets with a robust global infrastructure spanning the beverage, cannabis, and wellness industries. We are meeting the needs of today’s consumers while preparing for the demands of tomorrow. In the third quarter, we prioritized sales quality and revenue, protected margins, reduced debt, and improved our capital structure. With a strong balance sheet and a clear vision for the future, Tilray is well positioned to capitalize on emerging opportunities and ensure long-term success.”</w:t>
      </w:r>
    </w:p>
    <w:p>
      <w:pPr>
        <w:spacing w:after="0" w:line="16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Mr. Simon continued, "We see opportunities in the alcohol, cannabis, and wellness industries and believe these sectors are here to stay. Tilray is relentlessly focused on building strong brands and developing innovative products to seize growth opportunities across all our businesses. At Tilray, we are laser-focused on building a sustainable global business platform by emphasizing profitable sales growth, improving profit margins and cash flow generation, and maintaining a solid balance sheet to navigate market challenges and capitalize on strategic opportunities. In Q3, we delivered our highest cannabis gross margins in almost two years, and as of today our net debt is now less than 1x EBITDA on a trailing twelve-month basis. We will not seek sales growth merely for the sake of sales if it does not add to the bottom line and benefit our shareholders."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Strategic Growth Initiatives – Third Quarter Fiscal Year 2025</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b w:val="1"/>
          <w:bCs w:val="1"/>
          <w:color w:val="auto"/>
        </w:rPr>
        <w:t xml:space="preserve">Tilray Beverage Project 420: </w:t>
      </w:r>
      <w:r>
        <w:rPr>
          <w:rFonts w:ascii="Times New Roman" w:cs="Times New Roman" w:eastAsia="Times New Roman" w:hAnsi="Times New Roman"/>
          <w:sz w:val="20"/>
          <w:szCs w:val="20"/>
          <w:color w:val="auto"/>
        </w:rPr>
        <w:t>Tilray Beverage completed $20.6 million of an expanded Project 420 cost-savings plan of $33 million.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Project 420 aims to reduce costs to improve efficiency and profitability by rationalizing SKUs, geographies and distribution and is expected to be completed in the third quarter of fiscal 2026.</w:t>
      </w:r>
    </w:p>
    <w:p>
      <w:pPr>
        <w:spacing w:after="0" w:line="14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Hemp-Derived THC Drinks in the U.S: </w:t>
      </w:r>
      <w:r>
        <w:rPr>
          <w:rFonts w:ascii="Times New Roman" w:cs="Times New Roman" w:eastAsia="Times New Roman" w:hAnsi="Times New Roman"/>
          <w:sz w:val="20"/>
          <w:szCs w:val="20"/>
          <w:color w:val="auto"/>
        </w:rPr>
        <w:t>Tilray Brands is strategically positioned to utilize the expertise of its hemp wellness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cannabis businesses to responsibly formulate beverages infused with 5mg and 10mg of hemp-derived THC. During the fiscal year to date, Tilray generated $1.4 million in revenue from hemp-derived THC beverage sales and expanded the distribution of these drinks across over 1,000 points of distribution in 10 states including Florida, Alabama, Georgia, North Carolina, South Carolina, Tennessee, Louisiana, and New Jersey, as well as through online direct-to-consumer channels. In addition to our existing mocktail and seltzer brands Happy Flower, Fizzy Jane, and Herb &amp; Bloom, we are pleased to introduce 420 Fizz, a low-calorie, soda beverage infused with hemp-derived THC. Tilray also leverages its established national beverage distribution network, which spans independent retailers, convenience stores, and package stores, including multi-state retailers such as Total Wine and ABC who have expressed strong interest in this category and new growth opportunity.</w:t>
      </w:r>
    </w:p>
    <w:p>
      <w:pPr>
        <w:spacing w:after="0" w:line="16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Tilray Cannabis Profitability Initiatives: </w:t>
      </w:r>
      <w:r>
        <w:rPr>
          <w:rFonts w:ascii="Times New Roman" w:cs="Times New Roman" w:eastAsia="Times New Roman" w:hAnsi="Times New Roman"/>
          <w:sz w:val="20"/>
          <w:szCs w:val="20"/>
          <w:color w:val="auto"/>
        </w:rPr>
        <w:t>Tilray's Cannabis segment is focused on profitability and margin protection. In the third fiscal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quarter, Tilray Canada redirected inventories to international cannabis markets to capitalize on higher margins expected in these markets in the upcoming fourth fiscal quarter. Tilray’s global cannabis supply chain is in Phase II of its accelerated growth plan, and the cultivation footprint is expanding to meet increasing demand in both Canadian and international markets. The Cannabis segment is concentrating on preserving gross margins and maintaining higher average selling prices in categories such as vapes and infused pre-rolls, which have experienced significant price compression and are margin dilutive. Growth in these categories is expected to resume later in the upcoming fourth fiscal quarter due to capital expenditures improving our operational efficiencies.</w:t>
      </w:r>
    </w:p>
    <w:p>
      <w:pPr>
        <w:spacing w:after="0" w:line="16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b w:val="1"/>
          <w:bCs w:val="1"/>
          <w:color w:val="auto"/>
        </w:rPr>
        <w:t xml:space="preserve">Debt Reduction; $248 Million Cash and Marketable Securities: </w:t>
      </w:r>
      <w:r>
        <w:rPr>
          <w:rFonts w:ascii="Times New Roman" w:cs="Times New Roman" w:eastAsia="Times New Roman" w:hAnsi="Times New Roman"/>
          <w:sz w:val="20"/>
          <w:szCs w:val="20"/>
          <w:color w:val="auto"/>
        </w:rPr>
        <w:t>As of April 8, 2025, Tilray reduced our outstanding total debt by $71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million with convertible note reduction of $58 million, strengthening the balance sheet. As a result, net debt to trailing twelve months EBITDA is less than 1.0x. Our $248 million cash balance, including marketable securities, provides Tilray with great flexibility for strategic opportunities.</w:t>
      </w:r>
    </w:p>
    <w:p>
      <w:pPr>
        <w:spacing w:after="0" w:line="15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b w:val="1"/>
          <w:bCs w:val="1"/>
          <w:color w:val="auto"/>
        </w:rPr>
        <w:t xml:space="preserve">AI and Cryptocurrency Business Strategy: </w:t>
      </w:r>
      <w:r>
        <w:rPr>
          <w:rFonts w:ascii="Times New Roman" w:cs="Times New Roman" w:eastAsia="Times New Roman" w:hAnsi="Times New Roman"/>
          <w:sz w:val="20"/>
          <w:szCs w:val="20"/>
          <w:color w:val="auto"/>
        </w:rPr>
        <w:t>Tilray Brands is dedicated to leveraging advanced technologies to align with our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shareholder interests, the consumer of tomorrow, enhancing efficiency and driving growth. We are implementing AI across our global</w:t>
      </w:r>
    </w:p>
    <w:p>
      <w:pPr>
        <w:sectPr>
          <w:pgSz w:w="11900" w:h="16957" w:orient="portrait"/>
          <w:cols w:equalWidth="0" w:num="1">
            <w:col w:w="11240"/>
          </w:cols>
          <w:pgMar w:left="320" w:top="110" w:right="339" w:bottom="0" w:gutter="0" w:footer="0" w:header="0"/>
        </w:sectPr>
      </w:pPr>
    </w:p>
    <w:bookmarkStart w:id="4" w:name="page5"/>
    <w:bookmarkEnd w:id="4"/>
    <w:p>
      <w:pPr>
        <w:jc w:val="both"/>
        <w:spacing w:after="0" w:line="246" w:lineRule="auto"/>
        <w:rPr>
          <w:sz w:val="20"/>
          <w:szCs w:val="20"/>
          <w:color w:val="auto"/>
        </w:rPr>
      </w:pPr>
      <w:r>
        <w:rPr>
          <w:rFonts w:ascii="Times New Roman" w:cs="Times New Roman" w:eastAsia="Times New Roman" w:hAnsi="Times New Roman"/>
          <w:sz w:val="20"/>
          <w:szCs w:val="20"/>
          <w:color w:val="auto"/>
        </w:rPr>
        <w:t>operations to enhance our expertise, optimize processes, achieve substantial improvements, and advance our business objectives. In the cultivation sector, we are utilizing advanced horticulture automation technology throughout our global greenhouse operations. By integrating this technology with AI-driven data insights, we can manage greenhouse conditions in real-time, leading to more efficient operations, increased output, superior quality, and reduced costs for resources such as labor, water, and energy. Additionally, Tilray plans to accept cryptocurrency as a payment method within the Company’s online operations. The Company is also exploring strategic initiatives related to cryptocurrency that align with our business goals.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Financial Highlights – Third Quarter Fiscal Year 2025</w:t>
      </w:r>
    </w:p>
    <w:p>
      <w:pPr>
        <w:spacing w:after="0" w:line="206" w:lineRule="exact"/>
        <w:rPr>
          <w:sz w:val="20"/>
          <w:szCs w:val="20"/>
          <w:color w:val="auto"/>
        </w:rPr>
      </w:pPr>
    </w:p>
    <w:p>
      <w:pPr>
        <w:jc w:val="both"/>
        <w:ind w:left="500"/>
        <w:spacing w:after="0" w:line="246" w:lineRule="auto"/>
        <w:rPr>
          <w:sz w:val="20"/>
          <w:szCs w:val="20"/>
          <w:color w:val="auto"/>
        </w:rPr>
      </w:pPr>
      <w:r>
        <w:rPr>
          <w:rFonts w:ascii="Times New Roman" w:cs="Times New Roman" w:eastAsia="Times New Roman" w:hAnsi="Times New Roman"/>
          <w:sz w:val="20"/>
          <w:szCs w:val="20"/>
          <w:color w:val="auto"/>
        </w:rPr>
        <w:t>Net revenue of $185.8 million in the third quarter compared to $188.3 million in the prior year quarter. On a constant currency basis, net revenue in the current third quarter, increased to ~$193 million. The prior year quarter included revenue of $6 million of now discontinued SKUs. Strategic initiatives and SKU rationalization impacted revenue by $13.2 million in the current year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-388620</wp:posOffset>
            </wp:positionV>
            <wp:extent cx="66040" cy="660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040" cy="66040"/>
                    </a:xfrm>
                    <a:prstGeom prst="rect">
                      <a:avLst/>
                    </a:prstGeom>
                    <a:noFill/>
                  </pic:spPr>
                </pic:pic>
              </a:graphicData>
            </a:graphic>
          </wp:anchor>
        </w:drawing>
      </w:r>
    </w:p>
    <w:p>
      <w:pPr>
        <w:spacing w:after="0" w:line="210" w:lineRule="exact"/>
        <w:rPr>
          <w:sz w:val="20"/>
          <w:szCs w:val="20"/>
          <w:color w:val="auto"/>
        </w:rPr>
      </w:pPr>
    </w:p>
    <w:p>
      <w:pPr>
        <w:jc w:val="both"/>
        <w:ind w:left="500"/>
        <w:spacing w:after="0" w:line="238" w:lineRule="auto"/>
        <w:rPr>
          <w:sz w:val="20"/>
          <w:szCs w:val="20"/>
          <w:color w:val="auto"/>
        </w:rPr>
      </w:pPr>
      <w:r>
        <w:rPr>
          <w:rFonts w:ascii="Times New Roman" w:cs="Times New Roman" w:eastAsia="Times New Roman" w:hAnsi="Times New Roman"/>
          <w:sz w:val="20"/>
          <w:szCs w:val="20"/>
          <w:color w:val="auto"/>
        </w:rPr>
        <w:t>Gross profit increased by 5% to $52.0 million in the third quarter compared to $49.4 million in the prior year quarter. Gross margin increased 200 bps to 28% in the third quarter compared to 26% in the prior year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-243205</wp:posOffset>
            </wp:positionV>
            <wp:extent cx="66040" cy="660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040" cy="66040"/>
                    </a:xfrm>
                    <a:prstGeom prst="rect">
                      <a:avLst/>
                    </a:prstGeom>
                    <a:noFill/>
                  </pic:spPr>
                </pic:pic>
              </a:graphicData>
            </a:graphic>
          </wp:anchor>
        </w:drawing>
      </w:r>
    </w:p>
    <w:p>
      <w:pPr>
        <w:jc w:val="both"/>
        <w:ind w:left="500"/>
        <w:spacing w:after="0" w:line="238" w:lineRule="auto"/>
        <w:rPr>
          <w:sz w:val="20"/>
          <w:szCs w:val="20"/>
          <w:color w:val="auto"/>
        </w:rPr>
      </w:pPr>
      <w:r>
        <w:rPr>
          <w:rFonts w:ascii="Times New Roman" w:cs="Times New Roman" w:eastAsia="Times New Roman" w:hAnsi="Times New Roman"/>
          <w:sz w:val="20"/>
          <w:szCs w:val="20"/>
          <w:color w:val="auto"/>
        </w:rPr>
        <w:t>Net loss was $(793.5) million in the third quarter, due to ~$700 million of non-cash impairment as a result of macroeconomic conditions and declines in market capitalization, foreign exchange loss, amortization, changes in fair value of convertible notes receivable, and stock-based compensation as well as non-recurring transaction and restructuring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-387985</wp:posOffset>
            </wp:positionV>
            <wp:extent cx="66040" cy="660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040" cy="66040"/>
                    </a:xfrm>
                    <a:prstGeom prst="rect">
                      <a:avLst/>
                    </a:prstGeom>
                    <a:noFill/>
                  </pic:spPr>
                </pic:pic>
              </a:graphicData>
            </a:graphic>
          </wp:anchor>
        </w:drawing>
      </w:r>
    </w:p>
    <w:p>
      <w:pPr>
        <w:jc w:val="both"/>
        <w:ind w:left="500"/>
        <w:spacing w:after="0"/>
        <w:rPr>
          <w:sz w:val="20"/>
          <w:szCs w:val="20"/>
          <w:color w:val="auto"/>
        </w:rPr>
      </w:pPr>
      <w:r>
        <w:rPr>
          <w:rFonts w:ascii="Times New Roman" w:cs="Times New Roman" w:eastAsia="Times New Roman" w:hAnsi="Times New Roman"/>
          <w:sz w:val="20"/>
          <w:szCs w:val="20"/>
          <w:color w:val="auto"/>
        </w:rPr>
        <w:t>Adjusted net loss was $(2.9) million in the third quarter compared to an adjusted net income of $0.9 million in the prior year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-99695</wp:posOffset>
            </wp:positionV>
            <wp:extent cx="66040" cy="660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040" cy="66040"/>
                    </a:xfrm>
                    <a:prstGeom prst="rect">
                      <a:avLst/>
                    </a:prstGeom>
                    <a:noFill/>
                  </pic:spPr>
                </pic:pic>
              </a:graphicData>
            </a:graphic>
          </wp:anchor>
        </w:drawing>
      </w:r>
    </w:p>
    <w:p>
      <w:pPr>
        <w:spacing w:after="0" w:line="20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Adjusted EPS remained at $0.00 in both the third quarter and the comparative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-99060</wp:posOffset>
            </wp:positionV>
            <wp:extent cx="66040" cy="660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040" cy="66040"/>
                    </a:xfrm>
                    <a:prstGeom prst="rect">
                      <a:avLst/>
                    </a:prstGeom>
                    <a:noFill/>
                  </pic:spPr>
                </pic:pic>
              </a:graphicData>
            </a:graphic>
          </wp:anchor>
        </w:drawing>
      </w:r>
    </w:p>
    <w:p>
      <w:pPr>
        <w:jc w:val="both"/>
        <w:ind w:left="500"/>
        <w:spacing w:after="0"/>
        <w:rPr>
          <w:sz w:val="20"/>
          <w:szCs w:val="20"/>
          <w:color w:val="auto"/>
        </w:rPr>
      </w:pPr>
      <w:r>
        <w:rPr>
          <w:rFonts w:ascii="Times New Roman" w:cs="Times New Roman" w:eastAsia="Times New Roman" w:hAnsi="Times New Roman"/>
          <w:sz w:val="20"/>
          <w:szCs w:val="20"/>
          <w:color w:val="auto"/>
        </w:rPr>
        <w:t>Adjusted EBITDA in the third quarter was $9.0 million compared to $10.2 million in the prior year quarter due to the beverage segment’s SKU rationalization impact of $1.0 million and $0.6 million related to the prioritization of international cannabis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-245745</wp:posOffset>
            </wp:positionV>
            <wp:extent cx="66040" cy="660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040" cy="66040"/>
                    </a:xfrm>
                    <a:prstGeom prst="rect">
                      <a:avLst/>
                    </a:prstGeom>
                    <a:noFill/>
                  </pic:spPr>
                </pic:pic>
              </a:graphicData>
            </a:graphic>
          </wp:anchor>
        </w:drawing>
      </w:r>
    </w:p>
    <w:p>
      <w:pPr>
        <w:spacing w:after="0" w:line="206" w:lineRule="exact"/>
        <w:rPr>
          <w:sz w:val="20"/>
          <w:szCs w:val="20"/>
          <w:color w:val="auto"/>
        </w:rPr>
      </w:pPr>
    </w:p>
    <w:p>
      <w:pPr>
        <w:jc w:val="both"/>
        <w:ind w:left="500"/>
        <w:spacing w:after="0" w:line="238" w:lineRule="auto"/>
        <w:rPr>
          <w:sz w:val="20"/>
          <w:szCs w:val="20"/>
          <w:color w:val="auto"/>
        </w:rPr>
      </w:pPr>
      <w:r>
        <w:rPr>
          <w:rFonts w:ascii="Times New Roman" w:cs="Times New Roman" w:eastAsia="Times New Roman" w:hAnsi="Times New Roman"/>
          <w:sz w:val="20"/>
          <w:szCs w:val="20"/>
          <w:color w:val="auto"/>
        </w:rPr>
        <w:t>Beverage alcohol net revenue increased to $55.9 million in the third quarter up from $54.7 million in the prior year quarter, despite a $6.0 million impact from the strategic SKU rationalization.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-243205</wp:posOffset>
            </wp:positionV>
            <wp:extent cx="66040" cy="660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040" cy="66040"/>
                    </a:xfrm>
                    <a:prstGeom prst="rect">
                      <a:avLst/>
                    </a:prstGeom>
                    <a:noFill/>
                  </pic:spPr>
                </pic:pic>
              </a:graphicData>
            </a:graphic>
          </wp:anchor>
        </w:drawing>
      </w:r>
    </w:p>
    <w:p>
      <w:pPr>
        <w:ind w:left="1020"/>
        <w:spacing w:after="0"/>
        <w:rPr>
          <w:sz w:val="20"/>
          <w:szCs w:val="20"/>
          <w:color w:val="auto"/>
        </w:rPr>
      </w:pPr>
      <w:r>
        <w:rPr>
          <w:rFonts w:ascii="Times New Roman" w:cs="Times New Roman" w:eastAsia="Times New Roman" w:hAnsi="Times New Roman"/>
          <w:sz w:val="20"/>
          <w:szCs w:val="20"/>
          <w:color w:val="auto"/>
        </w:rPr>
        <w:t>Beverage alcohol gross margin increased to 36% in the third quarter compared to 34% in the prior year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504825</wp:posOffset>
            </wp:positionH>
            <wp:positionV relativeFrom="paragraph">
              <wp:posOffset>-99060</wp:posOffset>
            </wp:positionV>
            <wp:extent cx="66040" cy="660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040" cy="66040"/>
                    </a:xfrm>
                    <a:prstGeom prst="rect">
                      <a:avLst/>
                    </a:prstGeom>
                    <a:noFill/>
                  </pic:spPr>
                </pic:pic>
              </a:graphicData>
            </a:graphic>
          </wp:anchor>
        </w:drawing>
      </w:r>
    </w:p>
    <w:p>
      <w:pPr>
        <w:jc w:val="both"/>
        <w:ind w:left="500"/>
        <w:spacing w:after="0" w:line="238" w:lineRule="auto"/>
        <w:rPr>
          <w:sz w:val="20"/>
          <w:szCs w:val="20"/>
          <w:color w:val="auto"/>
        </w:rPr>
      </w:pPr>
      <w:r>
        <w:rPr>
          <w:rFonts w:ascii="Times New Roman" w:cs="Times New Roman" w:eastAsia="Times New Roman" w:hAnsi="Times New Roman"/>
          <w:sz w:val="20"/>
          <w:szCs w:val="20"/>
          <w:color w:val="auto"/>
        </w:rPr>
        <w:t>Cannabis net revenue was $54.3 million in the third quarter compared to $63.4 million in the prior year quarter. On a constant currency basis, Cannabis net revenue was $57.5 million. The strategic initiative to redirect product from Canada to international markets resulted in a timing impact on revenue of $3.2 million. Additionally, a strategic decision to pause our presence in margin dilutive categories, such as vapes and infused pre-rolls, led to a revenue decrease of $4.0 million but prevented a potential loss exceeding $3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-677545</wp:posOffset>
            </wp:positionV>
            <wp:extent cx="66040" cy="660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040" cy="66040"/>
                    </a:xfrm>
                    <a:prstGeom prst="rect">
                      <a:avLst/>
                    </a:prstGeom>
                    <a:noFill/>
                  </pic:spPr>
                </pic:pic>
              </a:graphicData>
            </a:graphic>
          </wp:anchor>
        </w:drawing>
      </w:r>
    </w:p>
    <w:p>
      <w:pPr>
        <w:ind w:left="1020"/>
        <w:spacing w:after="0" w:line="238" w:lineRule="auto"/>
        <w:rPr>
          <w:sz w:val="20"/>
          <w:szCs w:val="20"/>
          <w:color w:val="auto"/>
        </w:rPr>
      </w:pPr>
      <w:r>
        <w:rPr>
          <w:rFonts w:ascii="Times New Roman" w:cs="Times New Roman" w:eastAsia="Times New Roman" w:hAnsi="Times New Roman"/>
          <w:sz w:val="20"/>
          <w:szCs w:val="20"/>
          <w:color w:val="auto"/>
        </w:rPr>
        <w:t>Cannabis gross margin increased to 41% in the third quarter compared to 33% in the prior year quarter resulting from our strategic prioritization of the international business and the reduction in our exposure to margin dilutive categories.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504825</wp:posOffset>
            </wp:positionH>
            <wp:positionV relativeFrom="paragraph">
              <wp:posOffset>-243205</wp:posOffset>
            </wp:positionV>
            <wp:extent cx="66040" cy="660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040" cy="66040"/>
                    </a:xfrm>
                    <a:prstGeom prst="rect">
                      <a:avLst/>
                    </a:prstGeom>
                    <a:noFill/>
                  </pic:spPr>
                </pic:pic>
              </a:graphicData>
            </a:graphic>
          </wp:anchor>
        </w:drawing>
      </w:r>
    </w:p>
    <w:p>
      <w:pPr>
        <w:ind w:left="500"/>
        <w:spacing w:after="0" w:line="238" w:lineRule="auto"/>
        <w:rPr>
          <w:sz w:val="20"/>
          <w:szCs w:val="20"/>
          <w:color w:val="auto"/>
        </w:rPr>
      </w:pPr>
      <w:r>
        <w:rPr>
          <w:rFonts w:ascii="Times New Roman" w:cs="Times New Roman" w:eastAsia="Times New Roman" w:hAnsi="Times New Roman"/>
          <w:sz w:val="20"/>
          <w:szCs w:val="20"/>
          <w:color w:val="auto"/>
        </w:rPr>
        <w:t>Distribution net revenue increased 8% to $61.5 million in the third quarter compared to $56.8 million in the prior year quarter. On a constant currency basis, Distribution net revenue was up 15% to $65.1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-243205</wp:posOffset>
            </wp:positionV>
            <wp:extent cx="66040" cy="660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040" cy="66040"/>
                    </a:xfrm>
                    <a:prstGeom prst="rect">
                      <a:avLst/>
                    </a:prstGeom>
                    <a:noFill/>
                  </pic:spPr>
                </pic:pic>
              </a:graphicData>
            </a:graphic>
          </wp:anchor>
        </w:drawing>
      </w:r>
    </w:p>
    <w:p>
      <w:pPr>
        <w:ind w:left="1020"/>
        <w:spacing w:after="0"/>
        <w:rPr>
          <w:sz w:val="20"/>
          <w:szCs w:val="20"/>
          <w:color w:val="auto"/>
        </w:rPr>
      </w:pPr>
      <w:r>
        <w:rPr>
          <w:rFonts w:ascii="Times New Roman" w:cs="Times New Roman" w:eastAsia="Times New Roman" w:hAnsi="Times New Roman"/>
          <w:sz w:val="20"/>
          <w:szCs w:val="20"/>
          <w:color w:val="auto"/>
        </w:rPr>
        <w:t>Distribution gross margin was 9% in the third quarter compared to 10% in the prior year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504825</wp:posOffset>
            </wp:positionH>
            <wp:positionV relativeFrom="paragraph">
              <wp:posOffset>-99060</wp:posOffset>
            </wp:positionV>
            <wp:extent cx="66040" cy="660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040" cy="66040"/>
                    </a:xfrm>
                    <a:prstGeom prst="rect">
                      <a:avLst/>
                    </a:prstGeom>
                    <a:noFill/>
                  </pic:spPr>
                </pic:pic>
              </a:graphicData>
            </a:graphic>
          </wp:anchor>
        </w:drawing>
      </w:r>
    </w:p>
    <w:p>
      <w:pPr>
        <w:ind w:left="500"/>
        <w:spacing w:after="0" w:line="238" w:lineRule="auto"/>
        <w:rPr>
          <w:sz w:val="20"/>
          <w:szCs w:val="20"/>
          <w:color w:val="auto"/>
        </w:rPr>
      </w:pPr>
      <w:r>
        <w:rPr>
          <w:rFonts w:ascii="Times New Roman" w:cs="Times New Roman" w:eastAsia="Times New Roman" w:hAnsi="Times New Roman"/>
          <w:sz w:val="20"/>
          <w:szCs w:val="20"/>
          <w:color w:val="auto"/>
        </w:rPr>
        <w:t>Wellness net revenue increased 5% to $14.1 million and 8% on a constant currency basis to $14.5 million in the third quarter compared to $13.4 million in the prior year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-243205</wp:posOffset>
            </wp:positionV>
            <wp:extent cx="66040" cy="660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040" cy="66040"/>
                    </a:xfrm>
                    <a:prstGeom prst="rect">
                      <a:avLst/>
                    </a:prstGeom>
                    <a:noFill/>
                  </pic:spPr>
                </pic:pic>
              </a:graphicData>
            </a:graphic>
          </wp:anchor>
        </w:drawing>
      </w:r>
    </w:p>
    <w:p>
      <w:pPr>
        <w:ind w:right="1860" w:firstLine="1017"/>
        <w:spacing w:after="0" w:line="439" w:lineRule="auto"/>
        <w:rPr>
          <w:sz w:val="20"/>
          <w:szCs w:val="20"/>
          <w:color w:val="auto"/>
        </w:rPr>
      </w:pPr>
      <w:r>
        <w:rPr>
          <w:rFonts w:ascii="Times New Roman" w:cs="Times New Roman" w:eastAsia="Times New Roman" w:hAnsi="Times New Roman"/>
          <w:sz w:val="20"/>
          <w:szCs w:val="20"/>
          <w:color w:val="auto"/>
        </w:rPr>
        <w:t xml:space="preserve">Wellness gross margin increased to 32% in the third quarter compared to 30% in the prior year quarter. </w:t>
      </w:r>
      <w:r>
        <w:rPr>
          <w:rFonts w:ascii="Times New Roman" w:cs="Times New Roman" w:eastAsia="Times New Roman" w:hAnsi="Times New Roman"/>
          <w:sz w:val="20"/>
          <w:szCs w:val="20"/>
          <w:b w:val="1"/>
          <w:bCs w:val="1"/>
          <w:u w:val="single" w:color="auto"/>
          <w:color w:val="auto"/>
        </w:rPr>
        <w:t>Company’s Fiscal Year 2025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504825</wp:posOffset>
            </wp:positionH>
            <wp:positionV relativeFrom="paragraph">
              <wp:posOffset>-487680</wp:posOffset>
            </wp:positionV>
            <wp:extent cx="66040" cy="660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040" cy="66040"/>
                    </a:xfrm>
                    <a:prstGeom prst="rect">
                      <a:avLst/>
                    </a:prstGeom>
                    <a:noFill/>
                  </pic:spPr>
                </pic:pic>
              </a:graphicData>
            </a:graphic>
          </wp:anchor>
        </w:drawing>
      </w:r>
    </w:p>
    <w:p>
      <w:pPr>
        <w:jc w:val="both"/>
        <w:spacing w:after="0" w:line="257" w:lineRule="auto"/>
        <w:rPr>
          <w:sz w:val="20"/>
          <w:szCs w:val="20"/>
          <w:color w:val="auto"/>
        </w:rPr>
      </w:pPr>
      <w:r>
        <w:rPr>
          <w:rFonts w:ascii="Times New Roman" w:cs="Times New Roman" w:eastAsia="Times New Roman" w:hAnsi="Times New Roman"/>
          <w:sz w:val="20"/>
          <w:szCs w:val="20"/>
          <w:color w:val="auto"/>
        </w:rPr>
        <w:t>The Company revises fiscal year 2025 guidance for net revenue to $850 million to $900 million. Adjustments for constant currency and the impacts of the strategic initiatives and SKU rationalization, which total approximately $50 million, would have resulted in expected net revenue of $900 million to $950 million.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Live Conference Call and Audio Webcast</w:t>
      </w:r>
    </w:p>
    <w:p>
      <w:pPr>
        <w:spacing w:after="0" w:line="20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0"/>
          <w:szCs w:val="20"/>
          <w:color w:val="auto"/>
        </w:rPr>
        <w:t>Tilray Brands will host a webcast to discuss these results today at 8:30 a.m. ET. Investors may join the live webcast available on the Investors section of the Company’s website at www.tilray.com. A replay will be available and archived on the Company’s website.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About Tilray Brands</w:t>
      </w:r>
    </w:p>
    <w:p>
      <w:pPr>
        <w:spacing w:after="0" w:line="20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Tilray Brands, Inc. (“Tilray”) (Nasdaq: TLRY; TSX: TLRY), is a leading global lifestyle and consumer packaged goods company at the forefront of beverage, cannabis and wellness industries with operations in Canada, the United States, Europe, Australia, and Latin America that is leading as a transformative force at the nexus of cannabis, beverage, wellness, and entertainment, elevating lives through moments of connection. Tilray’s mission is to be a leading premium lifestyle company with a house of brands and innovative products that inspire joy, wellness and create memorable experiences. Tilray’s unprecedented platform supports over 40 brands in over 20 countries, including comprehensive cannabis offerings, hemp-based foods, and craft beverages.</w:t>
      </w:r>
    </w:p>
    <w:p>
      <w:pPr>
        <w:spacing w:after="0" w:line="16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0"/>
          <w:szCs w:val="20"/>
          <w:color w:val="auto"/>
        </w:rPr>
        <w:t>For more information on how we are elevating lives through moments of connection, visit Tilray.com and follow @Tilray on all social platforms.</w:t>
      </w:r>
    </w:p>
    <w:p>
      <w:pPr>
        <w:spacing w:after="0" w:line="134" w:lineRule="exact"/>
        <w:rPr>
          <w:sz w:val="20"/>
          <w:szCs w:val="20"/>
          <w:color w:val="auto"/>
        </w:rPr>
      </w:pPr>
    </w:p>
    <w:p>
      <w:pPr>
        <w:ind w:right="4540"/>
        <w:spacing w:after="0" w:line="450" w:lineRule="auto"/>
        <w:rPr>
          <w:sz w:val="20"/>
          <w:szCs w:val="20"/>
          <w:color w:val="auto"/>
        </w:rPr>
      </w:pPr>
      <w:r>
        <w:rPr>
          <w:rFonts w:ascii="Times New Roman" w:cs="Times New Roman" w:eastAsia="Times New Roman" w:hAnsi="Times New Roman"/>
          <w:sz w:val="20"/>
          <w:szCs w:val="20"/>
          <w:color w:val="auto"/>
        </w:rPr>
        <w:t xml:space="preserve">For more information on Tilray Brands, visit www.Tilray.com and follow @Tilray </w:t>
      </w:r>
      <w:r>
        <w:rPr>
          <w:rFonts w:ascii="Times New Roman" w:cs="Times New Roman" w:eastAsia="Times New Roman" w:hAnsi="Times New Roman"/>
          <w:sz w:val="20"/>
          <w:szCs w:val="20"/>
          <w:b w:val="1"/>
          <w:bCs w:val="1"/>
          <w:u w:val="single" w:color="auto"/>
          <w:color w:val="auto"/>
        </w:rPr>
        <w:t>Cautionary Statement Concerning Forward-Looking Statements</w:t>
      </w:r>
    </w:p>
    <w:p>
      <w:pPr>
        <w:spacing w:after="0" w:line="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Certain statements in this press release constitute forward-looking information or forward-looking statements (together, “forward-looking statements”) under Canadian securities laws and within the meaning of Section 27A of the Securities Act of 1933, as amended, and Section 21E of the Securities Exchange Act of 1934, as amended, that are intended to be subject to the “safe harbor” created by those sections and other applicable laws. Forward-looking statements can be identified by words such as “forecast,” “future,” “should,” “could,” “enable,” “potential,” “contemplate,” “believe,” “anticipate,” “estimate,” “plan,” “expect,” “intend,” “may,” “project,” “will,”</w:t>
      </w:r>
    </w:p>
    <w:p>
      <w:pPr>
        <w:sectPr>
          <w:pgSz w:w="11900" w:h="16838" w:orient="portrait"/>
          <w:cols w:equalWidth="0" w:num="1">
            <w:col w:w="11240"/>
          </w:cols>
          <w:pgMar w:left="320" w:top="114" w:right="339" w:bottom="0" w:gutter="0" w:footer="0" w:header="0"/>
        </w:sectPr>
      </w:pPr>
    </w:p>
    <w:bookmarkStart w:id="5" w:name="page6"/>
    <w:bookmarkEnd w:id="5"/>
    <w:p>
      <w:pPr>
        <w:jc w:val="both"/>
        <w:spacing w:after="0" w:line="257" w:lineRule="auto"/>
        <w:rPr>
          <w:sz w:val="20"/>
          <w:szCs w:val="20"/>
          <w:color w:val="auto"/>
        </w:rPr>
      </w:pPr>
      <w:r>
        <w:rPr>
          <w:rFonts w:ascii="Times New Roman" w:cs="Times New Roman" w:eastAsia="Times New Roman" w:hAnsi="Times New Roman"/>
          <w:sz w:val="20"/>
          <w:szCs w:val="20"/>
          <w:color w:val="auto"/>
        </w:rPr>
        <w:t>“would” and the negative of these terms or similar expressions, although not all forward-looking statements contain these identifying words. Certain material factors, estimates, goals, projections or assumptions were used in drawing the conclusions contained in the forward-looking statements throughout this communication.</w:t>
      </w:r>
    </w:p>
    <w:p>
      <w:pPr>
        <w:spacing w:after="0" w:line="15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Forward-looking statements include statements regarding our intentions, beliefs, projections, outlook, analyses or current expectations concerning, among other things: the Company’s ability to transform the CPG industry for cannabis, hemp, beverages and entertainment; the Company’s ability to become a leading beverage alcohol Company; the Company’s ability to achieve long term profitability; the Company’s ability to achieve operational scale, market share, distribution, profitability and revenue growth in particular business lines and markets; the Company’s ability to achieve its revised FY 2025 guidance; the Company’s ability to successfully achieve revenue growth, margin and profitability improvements, production and supply chain efficiencies, synergies and cost savings; the Company’s expected revenue growth, sales volume, profitability, synergies and accretion related to any of its acquisitions; expected commercial opportunities and regulatory developments in the U.S., including upon U.S. federal cannabis legalization or rescheduling; the Company’s anticipated investments and acquisitions, including in organic and strategic growth, partnership efforts, product offerings and other initiatives; the Company’s ability to commercialize new and innovative products; market opportunities and regulatory risks for Hemp-Derived Delta-9 (HDD9) beverage products, and expected sales, distribution, margin, price and revenue generation projections; consumer sentiment regarding HDD9 beverage products; Tilray’s strategy and anticipated offerings within the HDD9 beverage product segment, expected impacts of U.S. tariffs, and the Company’s ability to leverage AI and cryptocurrency to enhance efficiency and drive growth.</w:t>
      </w:r>
    </w:p>
    <w:p>
      <w:pPr>
        <w:spacing w:after="0" w:line="17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Many factors could cause actual results, performance or achievement to be materially different from any forward-looking statements, and other risks and uncertainties not presently known to the Company or that the Company deems immaterial could also cause actual results or events to differ materially from those expressed in the forward-looking statements contained herein. Risks and uncertainties that may cause actual results to differ materially from forward-looking statements include, but are not limited to, those identified and described in our most recent Annual Report on Form 10-K as well as our other filings made from time to time with the SEC and in our Canadian securities filings. For a more detailed discussion of these risks and other factors, see the most recently filed annual information form of the Company and the Annual Report on Form 10-K (and other periodic reports filed with the SEC) of the Company made with the SEC and available on EDGAR. The forward-looking statements included in this communication are made as of the date of this communication and the Company does not undertake any obligation to publicly update such forward-looking statements to reflect new information, subsequent events or otherwise unless required by applicable securities laws.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Use of Non-U.S. GAAP Financial Measures</w:t>
      </w:r>
    </w:p>
    <w:p>
      <w:pPr>
        <w:spacing w:after="0" w:line="20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This press release and the accompanying tables include non-GAAP financial measures, including Adjusted gross margin (consolidated and for each of our reporting segments), Adjusted gross profit (consolidated and for each of our reporting segments), Adjusted EBITDA, Adjusted net income (loss), Adjusted net income (loss) per share, free cash flow, adjusted free cash flow, constant currency presentations of revenue, cash and marketable securities and net debt. Management believes that the non-GAAP financial measures presented provide useful additional information to investors about current trends in the Company's operations and are useful for period-over-period comparisons of operations. These non-GAAP financial measures should not be considered in isolation or as a substitute for the comparable GAAP measures. In addition, these non-GAAP measures may not be the same as similar measures provided by other companies due to potential differences in methods of calculation and items being excluded. They should be read only in connection with the Company's Consolidated Statements of Operations and Cash Flows presented in accordance with GAAP.</w:t>
      </w:r>
    </w:p>
    <w:p>
      <w:pPr>
        <w:spacing w:after="0" w:line="16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Certain forward-looking non-GAAP financial measures included in this press release are not reconciled to the comparable forward-looking GAAP financial measures. The Company is not able to reconcile these forward-looking non-GAAP financial measures to their most directly comparable forward-looking GAAP financial measures without unreasonable efforts because the Company is unable to predict with a reasonable degree of certainty the type and extent of certain items that would be expected to impact GAAP measures but would not impact the non-GAAP measures. Such items may include litigation and related expenses, transaction costs, impairments, foreign exchange movements and other items. The unavailable information could have a significant impact on the Company's GAAP financial results.</w:t>
      </w:r>
    </w:p>
    <w:p>
      <w:pPr>
        <w:spacing w:after="0" w:line="200" w:lineRule="exact"/>
        <w:rPr>
          <w:sz w:val="20"/>
          <w:szCs w:val="20"/>
          <w:color w:val="auto"/>
        </w:rPr>
      </w:pPr>
    </w:p>
    <w:p>
      <w:pPr>
        <w:spacing w:after="0" w:line="20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Company believes presenting net sales at constant currency provides useful information to investors because it provides transparency to underlying performance in the Company's consolidated net sales by excluding the effect that foreign currency exchange rate fluctuations have on period-to-period comparability given the volatility in foreign currency exchange markets. To present this information for historical periods, current period net sales for entities reporting in currencies other than the U.S. dollar are translated into U.S. dollars at the average monthly exchange rates in effect during the corresponding period of the prior fiscal year, rather than at the actual average monthly exchange rate in effect during the current period of the current fiscal year. As a result, the foreign currency impact is equal to the current year results in local currencies multiplied by the change in average foreign currency exchange rate between the current fiscal period and the corresponding period of the prior fiscal year. A reconciliation of prior year revenue to constant currency revenue the most directly comparable GAAP measure, has been provided in the financial statement tables included above in this press release.</w:t>
      </w:r>
    </w:p>
    <w:p>
      <w:pPr>
        <w:spacing w:after="0" w:line="16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Adjusted EBITDA is calculated as net income (loss) before income tax benefits, net; interest expense, net; non-operating income (expense), net; amortization; stock-based compensation; change in fair value of contingent consideration; purchase price accounting step-up; impairments, other than temporary change in fair value of convertible notes receivable, project 420 optimization costs facility start-up and closure costs; litigation costs; restructuring costs, and transaction (income) costs, net. A reconciliation of Adjusted EBITDA to net loss, the most directly comparable GAAP measure, has been provided in the financial statement tables included below in this press release.</w:t>
      </w:r>
    </w:p>
    <w:p>
      <w:pPr>
        <w:spacing w:after="0" w:line="39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Adjusted net income (loss) is calculated as net loss attributable to stockholders of Tilray Brands, Inc., less; non-operating income (expense), net; amortization; stock-based compensation; change in fair value of contingent consideration; impairments, other than temporary change in fair value of convertible notes receivable, project 420 optimization costs facility start-up and closure costs; litigation costs; restructuring costs and transaction (income) costs, net. A reconciliation of Adjusted net income (loss) to net loss attributable to stockholders of Tilray Brands, Inc., the most directly comparable GAAP measure, has been included below in this press release.</w:t>
      </w:r>
    </w:p>
    <w:p>
      <w:pPr>
        <w:sectPr>
          <w:pgSz w:w="11900" w:h="16838" w:orient="portrait"/>
          <w:cols w:equalWidth="0" w:num="1">
            <w:col w:w="11240"/>
          </w:cols>
          <w:pgMar w:left="320" w:top="114" w:right="339" w:bottom="84" w:gutter="0" w:footer="0" w:header="0"/>
        </w:sectPr>
      </w:pPr>
    </w:p>
    <w:bookmarkStart w:id="6" w:name="page7"/>
    <w:bookmarkEnd w:id="6"/>
    <w:p>
      <w:pPr>
        <w:jc w:val="both"/>
        <w:spacing w:after="0" w:line="244" w:lineRule="auto"/>
        <w:rPr>
          <w:sz w:val="20"/>
          <w:szCs w:val="20"/>
          <w:color w:val="auto"/>
        </w:rPr>
      </w:pPr>
      <w:r>
        <w:rPr>
          <w:rFonts w:ascii="Times New Roman" w:cs="Times New Roman" w:eastAsia="Times New Roman" w:hAnsi="Times New Roman"/>
          <w:sz w:val="20"/>
          <w:szCs w:val="20"/>
          <w:color w:val="auto"/>
        </w:rPr>
        <w:t>Adjusted net income (loss) per share is calculated as net loss attributable to stockholders of Tilray Brands, Inc., net; non-operating income (expense), net; amortization; stock-based compensation; change in fair value of contingent consideration; impairments, other than temporary change in fair value of convertible notes receivable, project 420 optimization costs facility start-up and closure costs; litigation costs; restructuring costs and transaction (income) costs, divided by weighted average number of common shares outstanding. A reconciliation of Adjusted net income (loss) per share to net loss attributable to stockholders of Tilray Brands, Inc., the most directly comparable GAAP measure, has been included below in this press release. Adjusted net income (loss) per share is not calculated in accordance with GAAP and should not be considered an alternative for GAAP net income (loss) per share or as a measure of liquidity.</w:t>
      </w:r>
    </w:p>
    <w:p>
      <w:pPr>
        <w:spacing w:after="0" w:line="16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Adjusted gross profit (consolidated and for each of our reporting segments), is calculated as gross profit adjusted to exclude the impact of purchase price accounting valuation step-up. A reconciliation of Adjusted gross profit, excluding purchase price accounting valuation step-up, to gross profit, the most directly comparable GAAP measure, has been provided in the financial statement tables included above in this press release. Adjusted gross margin (consolidated and for each of our reporting segments), excluding purchase price accounting valuation step-up, is calculated as revenue less cost of sales adjusted to add back amortization of inventory step-up, divided by revenue. A reconciliation of Adjusted gross margin, excluding purchase price accounting valuation step-up, to gross margin, the most directly comparable GAAP measure, has been provided in the financial statement tables included above in this press release.</w:t>
      </w:r>
    </w:p>
    <w:p>
      <w:pPr>
        <w:spacing w:after="0" w:line="16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Free cash flow is comprised of two GAAP measures which are net cash flow provided by (used in) operating activities less investments in capital and intangible assets, net. A reconciliation of net cash flow provided by (used in) operating activities to free cash flow, the most directly comparable GAAP measure, has been provided in the financial statement tables included above in this press release. Adjusted free cash flow is comprised of two GAAP measures which are net cash flow provided by (used in) operating activities less investments in capital and intangible assets, net, and the exclusion of growth CAPEX from investments in capital and intangible assets, net, which excludes the amount of capital expenditures that are considered to be associated with growth of future operations rather than to maintain the existing operations of the Company, and excludes our integration costs related to HEXO and the cash income taxes related to Aphria Diamond to align with management’s prescribed guidance. A reconciliation of net cash flow provided by (used in) operating activities to adjusted free cash flow, the most directly comparable GAAP measure, has been provided in the financial statement tables included above in this press release.</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Cash and marketable securities are comprised of two GAAP measures, cash and cash equivalents added to marketable securities. The Company’s management believes that this presentation provides useful information to management, analysts and investors regarding certain additional financial and business trends relating to its short-term liquidity position by combing these two GAAP metrics.</w:t>
      </w:r>
    </w:p>
    <w:p>
      <w:pPr>
        <w:spacing w:after="0" w:line="15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Net debt is comprised of GAAP measures and reduces bank indebtedness, current and non-current portions of long-term debt, the principal balance of convertible debt by cash and cash equivalents and marketable securities. The company believes this metric provides useful information to management, analysts, and investors regarding its liquidity and the Company’s ability to repay all of its debt.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 further information: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Media Contact: news@tilray.com</w:t>
      </w:r>
    </w:p>
    <w:p>
      <w:pPr>
        <w:spacing w:after="0"/>
        <w:rPr>
          <w:sz w:val="20"/>
          <w:szCs w:val="20"/>
          <w:color w:val="auto"/>
        </w:rPr>
      </w:pPr>
      <w:r>
        <w:rPr>
          <w:rFonts w:ascii="Times New Roman" w:cs="Times New Roman" w:eastAsia="Times New Roman" w:hAnsi="Times New Roman"/>
          <w:sz w:val="20"/>
          <w:szCs w:val="20"/>
          <w:color w:val="auto"/>
        </w:rPr>
        <w:t>Investor Contact: investors@tilray.com</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69"/>
        </w:trPr>
        <w:tc>
          <w:tcPr>
            <w:tcW w:w="78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Consolidated Statements of Financial Position</w:t>
            </w:r>
          </w:p>
        </w:tc>
        <w:tc>
          <w:tcPr>
            <w:tcW w:w="180" w:type="dxa"/>
            <w:vAlign w:val="bottom"/>
          </w:tcPr>
          <w:p>
            <w:pPr>
              <w:spacing w:after="0"/>
              <w:rPr>
                <w:sz w:val="23"/>
                <w:szCs w:val="23"/>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b w:val="1"/>
                <w:bCs w:val="1"/>
                <w:color w:val="auto"/>
              </w:rPr>
              <w:t>February 28,</w:t>
            </w:r>
          </w:p>
        </w:tc>
        <w:tc>
          <w:tcPr>
            <w:tcW w:w="280" w:type="dxa"/>
            <w:vAlign w:val="bottom"/>
          </w:tcPr>
          <w:p>
            <w:pPr>
              <w:spacing w:after="0"/>
              <w:rPr>
                <w:sz w:val="23"/>
                <w:szCs w:val="23"/>
                <w:color w:val="auto"/>
              </w:rPr>
            </w:pPr>
          </w:p>
        </w:tc>
        <w:tc>
          <w:tcPr>
            <w:tcW w:w="1280" w:type="dxa"/>
            <w:vAlign w:val="bottom"/>
            <w:vMerge w:val="restart"/>
          </w:tcPr>
          <w:p>
            <w:pPr>
              <w:jc w:val="right"/>
              <w:ind w:right="318"/>
              <w:spacing w:after="0"/>
              <w:rPr>
                <w:sz w:val="20"/>
                <w:szCs w:val="20"/>
                <w:color w:val="auto"/>
              </w:rPr>
            </w:pPr>
            <w:r>
              <w:rPr>
                <w:rFonts w:ascii="Times New Roman" w:cs="Times New Roman" w:eastAsia="Times New Roman" w:hAnsi="Times New Roman"/>
                <w:sz w:val="20"/>
                <w:szCs w:val="20"/>
                <w:b w:val="1"/>
                <w:bCs w:val="1"/>
                <w:color w:val="auto"/>
              </w:rPr>
              <w:t>May 31,</w:t>
            </w:r>
          </w:p>
        </w:tc>
        <w:tc>
          <w:tcPr>
            <w:tcW w:w="0" w:type="dxa"/>
            <w:vAlign w:val="bottom"/>
          </w:tcPr>
          <w:p>
            <w:pPr>
              <w:spacing w:after="0"/>
              <w:rPr>
                <w:sz w:val="1"/>
                <w:szCs w:val="1"/>
                <w:color w:val="auto"/>
              </w:rPr>
            </w:pPr>
          </w:p>
        </w:tc>
      </w:tr>
      <w:tr>
        <w:trPr>
          <w:trHeight w:val="239"/>
        </w:trPr>
        <w:tc>
          <w:tcPr>
            <w:tcW w:w="7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78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(in thousands of US dollars)</w:t>
            </w:r>
          </w:p>
        </w:tc>
        <w:tc>
          <w:tcPr>
            <w:tcW w:w="1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20"/>
                <w:szCs w:val="20"/>
                <w:b w:val="1"/>
                <w:bCs w:val="1"/>
                <w:color w:val="auto"/>
              </w:rPr>
              <w:t>2025</w:t>
            </w: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20"/>
                <w:szCs w:val="20"/>
                <w:b w:val="1"/>
                <w:bCs w:val="1"/>
                <w:color w:val="auto"/>
              </w:rPr>
              <w:t>2024</w:t>
            </w:r>
          </w:p>
        </w:tc>
        <w:tc>
          <w:tcPr>
            <w:tcW w:w="0" w:type="dxa"/>
            <w:vAlign w:val="bottom"/>
          </w:tcPr>
          <w:p>
            <w:pPr>
              <w:spacing w:after="0"/>
              <w:rPr>
                <w:sz w:val="1"/>
                <w:szCs w:val="1"/>
                <w:color w:val="auto"/>
              </w:rPr>
            </w:pPr>
          </w:p>
        </w:tc>
      </w:tr>
      <w:tr>
        <w:trPr>
          <w:trHeight w:val="232"/>
        </w:trPr>
        <w:tc>
          <w:tcPr>
            <w:tcW w:w="78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78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Current assets</w:t>
            </w: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78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420" w:type="dxa"/>
            <w:vAlign w:val="bottom"/>
          </w:tcPr>
          <w:p>
            <w:pPr>
              <w:jc w:val="right"/>
              <w:ind w:right="18"/>
              <w:spacing w:after="0"/>
              <w:rPr>
                <w:sz w:val="20"/>
                <w:szCs w:val="20"/>
                <w:color w:val="auto"/>
              </w:rPr>
            </w:pPr>
            <w:r>
              <w:rPr>
                <w:rFonts w:ascii="Times New Roman" w:cs="Times New Roman" w:eastAsia="Times New Roman" w:hAnsi="Times New Roman"/>
                <w:sz w:val="20"/>
                <w:szCs w:val="20"/>
                <w:color w:val="auto"/>
              </w:rPr>
              <w:t>199,956</w:t>
            </w:r>
          </w:p>
        </w:tc>
        <w:tc>
          <w:tcPr>
            <w:tcW w:w="100" w:type="dxa"/>
            <w:vAlign w:val="bottom"/>
          </w:tcPr>
          <w:p>
            <w:pPr>
              <w:spacing w:after="0"/>
              <w:rPr>
                <w:sz w:val="22"/>
                <w:szCs w:val="22"/>
                <w:color w:val="auto"/>
              </w:rPr>
            </w:pPr>
          </w:p>
        </w:tc>
        <w:tc>
          <w:tcPr>
            <w:tcW w:w="280" w:type="dxa"/>
            <w:vAlign w:val="bottom"/>
          </w:tcPr>
          <w:p>
            <w:pPr>
              <w:jc w:val="right"/>
              <w:ind w:right="58"/>
              <w:spacing w:after="0"/>
              <w:rPr>
                <w:sz w:val="20"/>
                <w:szCs w:val="20"/>
                <w:color w:val="auto"/>
              </w:rPr>
            </w:pPr>
            <w:r>
              <w:rPr>
                <w:rFonts w:ascii="Times New Roman" w:cs="Times New Roman" w:eastAsia="Times New Roman" w:hAnsi="Times New Roman"/>
                <w:sz w:val="20"/>
                <w:szCs w:val="20"/>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228,340</w:t>
            </w:r>
          </w:p>
        </w:tc>
        <w:tc>
          <w:tcPr>
            <w:tcW w:w="0" w:type="dxa"/>
            <w:vAlign w:val="bottom"/>
          </w:tcPr>
          <w:p>
            <w:pPr>
              <w:spacing w:after="0"/>
              <w:rPr>
                <w:sz w:val="1"/>
                <w:szCs w:val="1"/>
                <w:color w:val="auto"/>
              </w:rPr>
            </w:pPr>
          </w:p>
        </w:tc>
      </w:tr>
      <w:tr>
        <w:trPr>
          <w:trHeight w:val="254"/>
        </w:trPr>
        <w:tc>
          <w:tcPr>
            <w:tcW w:w="78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Marketable securities</w:t>
            </w:r>
          </w:p>
        </w:tc>
        <w:tc>
          <w:tcPr>
            <w:tcW w:w="180" w:type="dxa"/>
            <w:vAlign w:val="bottom"/>
          </w:tcPr>
          <w:p>
            <w:pPr>
              <w:spacing w:after="0"/>
              <w:rPr>
                <w:sz w:val="22"/>
                <w:szCs w:val="22"/>
                <w:color w:val="auto"/>
              </w:rPr>
            </w:pPr>
          </w:p>
        </w:tc>
        <w:tc>
          <w:tcPr>
            <w:tcW w:w="1420" w:type="dxa"/>
            <w:vAlign w:val="bottom"/>
          </w:tcPr>
          <w:p>
            <w:pPr>
              <w:jc w:val="right"/>
              <w:ind w:right="18"/>
              <w:spacing w:after="0"/>
              <w:rPr>
                <w:sz w:val="20"/>
                <w:szCs w:val="20"/>
                <w:color w:val="auto"/>
              </w:rPr>
            </w:pPr>
            <w:r>
              <w:rPr>
                <w:rFonts w:ascii="Times New Roman" w:cs="Times New Roman" w:eastAsia="Times New Roman" w:hAnsi="Times New Roman"/>
                <w:sz w:val="20"/>
                <w:szCs w:val="20"/>
                <w:color w:val="auto"/>
              </w:rPr>
              <w:t>48,458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32,182</w:t>
            </w:r>
          </w:p>
        </w:tc>
        <w:tc>
          <w:tcPr>
            <w:tcW w:w="0" w:type="dxa"/>
            <w:vAlign w:val="bottom"/>
          </w:tcPr>
          <w:p>
            <w:pPr>
              <w:spacing w:after="0"/>
              <w:rPr>
                <w:sz w:val="1"/>
                <w:szCs w:val="1"/>
                <w:color w:val="auto"/>
              </w:rPr>
            </w:pPr>
          </w:p>
        </w:tc>
      </w:tr>
      <w:tr>
        <w:trPr>
          <w:trHeight w:val="254"/>
        </w:trPr>
        <w:tc>
          <w:tcPr>
            <w:tcW w:w="78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Accounts receivable, net</w:t>
            </w:r>
          </w:p>
        </w:tc>
        <w:tc>
          <w:tcPr>
            <w:tcW w:w="180" w:type="dxa"/>
            <w:vAlign w:val="bottom"/>
          </w:tcPr>
          <w:p>
            <w:pPr>
              <w:spacing w:after="0"/>
              <w:rPr>
                <w:sz w:val="22"/>
                <w:szCs w:val="22"/>
                <w:color w:val="auto"/>
              </w:rPr>
            </w:pPr>
          </w:p>
        </w:tc>
        <w:tc>
          <w:tcPr>
            <w:tcW w:w="1420" w:type="dxa"/>
            <w:vAlign w:val="bottom"/>
          </w:tcPr>
          <w:p>
            <w:pPr>
              <w:jc w:val="right"/>
              <w:ind w:right="18"/>
              <w:spacing w:after="0"/>
              <w:rPr>
                <w:sz w:val="20"/>
                <w:szCs w:val="20"/>
                <w:color w:val="auto"/>
              </w:rPr>
            </w:pPr>
            <w:r>
              <w:rPr>
                <w:rFonts w:ascii="Times New Roman" w:cs="Times New Roman" w:eastAsia="Times New Roman" w:hAnsi="Times New Roman"/>
                <w:sz w:val="20"/>
                <w:szCs w:val="20"/>
                <w:color w:val="auto"/>
              </w:rPr>
              <w:t>103,367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101,695</w:t>
            </w:r>
          </w:p>
        </w:tc>
        <w:tc>
          <w:tcPr>
            <w:tcW w:w="0" w:type="dxa"/>
            <w:vAlign w:val="bottom"/>
          </w:tcPr>
          <w:p>
            <w:pPr>
              <w:spacing w:after="0"/>
              <w:rPr>
                <w:sz w:val="1"/>
                <w:szCs w:val="1"/>
                <w:color w:val="auto"/>
              </w:rPr>
            </w:pPr>
          </w:p>
        </w:tc>
      </w:tr>
      <w:tr>
        <w:trPr>
          <w:trHeight w:val="254"/>
        </w:trPr>
        <w:tc>
          <w:tcPr>
            <w:tcW w:w="78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Inventory</w:t>
            </w:r>
          </w:p>
        </w:tc>
        <w:tc>
          <w:tcPr>
            <w:tcW w:w="180" w:type="dxa"/>
            <w:vAlign w:val="bottom"/>
          </w:tcPr>
          <w:p>
            <w:pPr>
              <w:spacing w:after="0"/>
              <w:rPr>
                <w:sz w:val="22"/>
                <w:szCs w:val="22"/>
                <w:color w:val="auto"/>
              </w:rPr>
            </w:pPr>
          </w:p>
        </w:tc>
        <w:tc>
          <w:tcPr>
            <w:tcW w:w="1420" w:type="dxa"/>
            <w:vAlign w:val="bottom"/>
          </w:tcPr>
          <w:p>
            <w:pPr>
              <w:jc w:val="right"/>
              <w:ind w:right="18"/>
              <w:spacing w:after="0"/>
              <w:rPr>
                <w:sz w:val="20"/>
                <w:szCs w:val="20"/>
                <w:color w:val="auto"/>
              </w:rPr>
            </w:pPr>
            <w:r>
              <w:rPr>
                <w:rFonts w:ascii="Times New Roman" w:cs="Times New Roman" w:eastAsia="Times New Roman" w:hAnsi="Times New Roman"/>
                <w:sz w:val="20"/>
                <w:szCs w:val="20"/>
                <w:color w:val="auto"/>
              </w:rPr>
              <w:t>263,398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252,087</w:t>
            </w:r>
          </w:p>
        </w:tc>
        <w:tc>
          <w:tcPr>
            <w:tcW w:w="0" w:type="dxa"/>
            <w:vAlign w:val="bottom"/>
          </w:tcPr>
          <w:p>
            <w:pPr>
              <w:spacing w:after="0"/>
              <w:rPr>
                <w:sz w:val="1"/>
                <w:szCs w:val="1"/>
                <w:color w:val="auto"/>
              </w:rPr>
            </w:pPr>
          </w:p>
        </w:tc>
      </w:tr>
      <w:tr>
        <w:trPr>
          <w:trHeight w:val="254"/>
        </w:trPr>
        <w:tc>
          <w:tcPr>
            <w:tcW w:w="78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Prepaids and other current assets</w:t>
            </w:r>
          </w:p>
        </w:tc>
        <w:tc>
          <w:tcPr>
            <w:tcW w:w="180" w:type="dxa"/>
            <w:vAlign w:val="bottom"/>
          </w:tcPr>
          <w:p>
            <w:pPr>
              <w:spacing w:after="0"/>
              <w:rPr>
                <w:sz w:val="22"/>
                <w:szCs w:val="22"/>
                <w:color w:val="auto"/>
              </w:rPr>
            </w:pPr>
          </w:p>
        </w:tc>
        <w:tc>
          <w:tcPr>
            <w:tcW w:w="1420" w:type="dxa"/>
            <w:vAlign w:val="bottom"/>
          </w:tcPr>
          <w:p>
            <w:pPr>
              <w:jc w:val="right"/>
              <w:ind w:right="18"/>
              <w:spacing w:after="0"/>
              <w:rPr>
                <w:sz w:val="20"/>
                <w:szCs w:val="20"/>
                <w:color w:val="auto"/>
              </w:rPr>
            </w:pPr>
            <w:r>
              <w:rPr>
                <w:rFonts w:ascii="Times New Roman" w:cs="Times New Roman" w:eastAsia="Times New Roman" w:hAnsi="Times New Roman"/>
                <w:sz w:val="20"/>
                <w:szCs w:val="20"/>
                <w:color w:val="auto"/>
              </w:rPr>
              <w:t>40,138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31,332</w:t>
            </w:r>
          </w:p>
        </w:tc>
        <w:tc>
          <w:tcPr>
            <w:tcW w:w="0" w:type="dxa"/>
            <w:vAlign w:val="bottom"/>
          </w:tcPr>
          <w:p>
            <w:pPr>
              <w:spacing w:after="0"/>
              <w:rPr>
                <w:sz w:val="1"/>
                <w:szCs w:val="1"/>
                <w:color w:val="auto"/>
              </w:rPr>
            </w:pPr>
          </w:p>
        </w:tc>
      </w:tr>
      <w:tr>
        <w:trPr>
          <w:trHeight w:val="265"/>
        </w:trPr>
        <w:tc>
          <w:tcPr>
            <w:tcW w:w="78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Assets held for sale</w:t>
            </w:r>
          </w:p>
        </w:tc>
        <w:tc>
          <w:tcPr>
            <w:tcW w:w="1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20"/>
                <w:szCs w:val="20"/>
                <w:color w:val="auto"/>
              </w:rPr>
              <w:t>30,972</w:t>
            </w: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32,074</w:t>
            </w:r>
          </w:p>
        </w:tc>
        <w:tc>
          <w:tcPr>
            <w:tcW w:w="0" w:type="dxa"/>
            <w:vAlign w:val="bottom"/>
          </w:tcPr>
          <w:p>
            <w:pPr>
              <w:spacing w:after="0"/>
              <w:rPr>
                <w:sz w:val="1"/>
                <w:szCs w:val="1"/>
                <w:color w:val="auto"/>
              </w:rPr>
            </w:pPr>
          </w:p>
        </w:tc>
      </w:tr>
      <w:tr>
        <w:trPr>
          <w:trHeight w:val="236"/>
        </w:trPr>
        <w:tc>
          <w:tcPr>
            <w:tcW w:w="78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current assets</w:t>
            </w:r>
          </w:p>
        </w:tc>
        <w:tc>
          <w:tcPr>
            <w:tcW w:w="180" w:type="dxa"/>
            <w:vAlign w:val="bottom"/>
          </w:tcPr>
          <w:p>
            <w:pPr>
              <w:spacing w:after="0"/>
              <w:rPr>
                <w:sz w:val="20"/>
                <w:szCs w:val="20"/>
                <w:color w:val="auto"/>
              </w:rPr>
            </w:pPr>
          </w:p>
        </w:tc>
        <w:tc>
          <w:tcPr>
            <w:tcW w:w="1420" w:type="dxa"/>
            <w:vAlign w:val="bottom"/>
          </w:tcPr>
          <w:p>
            <w:pPr>
              <w:jc w:val="right"/>
              <w:ind w:right="18"/>
              <w:spacing w:after="0"/>
              <w:rPr>
                <w:sz w:val="20"/>
                <w:szCs w:val="20"/>
                <w:color w:val="auto"/>
              </w:rPr>
            </w:pPr>
            <w:r>
              <w:rPr>
                <w:rFonts w:ascii="Times New Roman" w:cs="Times New Roman" w:eastAsia="Times New Roman" w:hAnsi="Times New Roman"/>
                <w:sz w:val="20"/>
                <w:szCs w:val="20"/>
                <w:color w:val="auto"/>
              </w:rPr>
              <w:t>686,289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677,710</w:t>
            </w:r>
          </w:p>
        </w:tc>
        <w:tc>
          <w:tcPr>
            <w:tcW w:w="0" w:type="dxa"/>
            <w:vAlign w:val="bottom"/>
          </w:tcPr>
          <w:p>
            <w:pPr>
              <w:spacing w:after="0"/>
              <w:rPr>
                <w:sz w:val="1"/>
                <w:szCs w:val="1"/>
                <w:color w:val="auto"/>
              </w:rPr>
            </w:pPr>
          </w:p>
        </w:tc>
      </w:tr>
      <w:tr>
        <w:trPr>
          <w:trHeight w:val="254"/>
        </w:trPr>
        <w:tc>
          <w:tcPr>
            <w:tcW w:w="78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Capital assets</w:t>
            </w:r>
          </w:p>
        </w:tc>
        <w:tc>
          <w:tcPr>
            <w:tcW w:w="180" w:type="dxa"/>
            <w:vAlign w:val="bottom"/>
          </w:tcPr>
          <w:p>
            <w:pPr>
              <w:spacing w:after="0"/>
              <w:rPr>
                <w:sz w:val="22"/>
                <w:szCs w:val="22"/>
                <w:color w:val="auto"/>
              </w:rPr>
            </w:pPr>
          </w:p>
        </w:tc>
        <w:tc>
          <w:tcPr>
            <w:tcW w:w="1420" w:type="dxa"/>
            <w:vAlign w:val="bottom"/>
          </w:tcPr>
          <w:p>
            <w:pPr>
              <w:jc w:val="right"/>
              <w:ind w:right="18"/>
              <w:spacing w:after="0"/>
              <w:rPr>
                <w:sz w:val="20"/>
                <w:szCs w:val="20"/>
                <w:color w:val="auto"/>
              </w:rPr>
            </w:pPr>
            <w:r>
              <w:rPr>
                <w:rFonts w:ascii="Times New Roman" w:cs="Times New Roman" w:eastAsia="Times New Roman" w:hAnsi="Times New Roman"/>
                <w:sz w:val="20"/>
                <w:szCs w:val="20"/>
                <w:color w:val="auto"/>
              </w:rPr>
              <w:t>537,800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558,247</w:t>
            </w:r>
          </w:p>
        </w:tc>
        <w:tc>
          <w:tcPr>
            <w:tcW w:w="0" w:type="dxa"/>
            <w:vAlign w:val="bottom"/>
          </w:tcPr>
          <w:p>
            <w:pPr>
              <w:spacing w:after="0"/>
              <w:rPr>
                <w:sz w:val="1"/>
                <w:szCs w:val="1"/>
                <w:color w:val="auto"/>
              </w:rPr>
            </w:pPr>
          </w:p>
        </w:tc>
      </w:tr>
      <w:tr>
        <w:trPr>
          <w:trHeight w:val="254"/>
        </w:trPr>
        <w:tc>
          <w:tcPr>
            <w:tcW w:w="78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Operating lease, right-of-use assets</w:t>
            </w:r>
          </w:p>
        </w:tc>
        <w:tc>
          <w:tcPr>
            <w:tcW w:w="180" w:type="dxa"/>
            <w:vAlign w:val="bottom"/>
          </w:tcPr>
          <w:p>
            <w:pPr>
              <w:spacing w:after="0"/>
              <w:rPr>
                <w:sz w:val="22"/>
                <w:szCs w:val="22"/>
                <w:color w:val="auto"/>
              </w:rPr>
            </w:pPr>
          </w:p>
        </w:tc>
        <w:tc>
          <w:tcPr>
            <w:tcW w:w="1420" w:type="dxa"/>
            <w:vAlign w:val="bottom"/>
          </w:tcPr>
          <w:p>
            <w:pPr>
              <w:jc w:val="right"/>
              <w:ind w:right="18"/>
              <w:spacing w:after="0"/>
              <w:rPr>
                <w:sz w:val="20"/>
                <w:szCs w:val="20"/>
                <w:color w:val="auto"/>
              </w:rPr>
            </w:pPr>
            <w:r>
              <w:rPr>
                <w:rFonts w:ascii="Times New Roman" w:cs="Times New Roman" w:eastAsia="Times New Roman" w:hAnsi="Times New Roman"/>
                <w:sz w:val="20"/>
                <w:szCs w:val="20"/>
                <w:color w:val="auto"/>
              </w:rPr>
              <w:t>16,994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16,101</w:t>
            </w:r>
          </w:p>
        </w:tc>
        <w:tc>
          <w:tcPr>
            <w:tcW w:w="0" w:type="dxa"/>
            <w:vAlign w:val="bottom"/>
          </w:tcPr>
          <w:p>
            <w:pPr>
              <w:spacing w:after="0"/>
              <w:rPr>
                <w:sz w:val="1"/>
                <w:szCs w:val="1"/>
                <w:color w:val="auto"/>
              </w:rPr>
            </w:pPr>
          </w:p>
        </w:tc>
      </w:tr>
      <w:tr>
        <w:trPr>
          <w:trHeight w:val="254"/>
        </w:trPr>
        <w:tc>
          <w:tcPr>
            <w:tcW w:w="78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Intangible assets</w:t>
            </w:r>
          </w:p>
        </w:tc>
        <w:tc>
          <w:tcPr>
            <w:tcW w:w="180" w:type="dxa"/>
            <w:vAlign w:val="bottom"/>
          </w:tcPr>
          <w:p>
            <w:pPr>
              <w:spacing w:after="0"/>
              <w:rPr>
                <w:sz w:val="22"/>
                <w:szCs w:val="22"/>
                <w:color w:val="auto"/>
              </w:rPr>
            </w:pPr>
          </w:p>
        </w:tc>
        <w:tc>
          <w:tcPr>
            <w:tcW w:w="1420" w:type="dxa"/>
            <w:vAlign w:val="bottom"/>
          </w:tcPr>
          <w:p>
            <w:pPr>
              <w:jc w:val="right"/>
              <w:ind w:right="18"/>
              <w:spacing w:after="0"/>
              <w:rPr>
                <w:sz w:val="20"/>
                <w:szCs w:val="20"/>
                <w:color w:val="auto"/>
              </w:rPr>
            </w:pPr>
            <w:r>
              <w:rPr>
                <w:rFonts w:ascii="Times New Roman" w:cs="Times New Roman" w:eastAsia="Times New Roman" w:hAnsi="Times New Roman"/>
                <w:sz w:val="20"/>
                <w:szCs w:val="20"/>
                <w:color w:val="auto"/>
              </w:rPr>
              <w:t>847,215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915,469</w:t>
            </w:r>
          </w:p>
        </w:tc>
        <w:tc>
          <w:tcPr>
            <w:tcW w:w="0" w:type="dxa"/>
            <w:vAlign w:val="bottom"/>
          </w:tcPr>
          <w:p>
            <w:pPr>
              <w:spacing w:after="0"/>
              <w:rPr>
                <w:sz w:val="1"/>
                <w:szCs w:val="1"/>
                <w:color w:val="auto"/>
              </w:rPr>
            </w:pPr>
          </w:p>
        </w:tc>
      </w:tr>
      <w:tr>
        <w:trPr>
          <w:trHeight w:val="254"/>
        </w:trPr>
        <w:tc>
          <w:tcPr>
            <w:tcW w:w="78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Goodwill</w:t>
            </w:r>
          </w:p>
        </w:tc>
        <w:tc>
          <w:tcPr>
            <w:tcW w:w="180" w:type="dxa"/>
            <w:vAlign w:val="bottom"/>
          </w:tcPr>
          <w:p>
            <w:pPr>
              <w:spacing w:after="0"/>
              <w:rPr>
                <w:sz w:val="22"/>
                <w:szCs w:val="22"/>
                <w:color w:val="auto"/>
              </w:rPr>
            </w:pPr>
          </w:p>
        </w:tc>
        <w:tc>
          <w:tcPr>
            <w:tcW w:w="1420" w:type="dxa"/>
            <w:vAlign w:val="bottom"/>
          </w:tcPr>
          <w:p>
            <w:pPr>
              <w:jc w:val="right"/>
              <w:ind w:right="18"/>
              <w:spacing w:after="0"/>
              <w:rPr>
                <w:sz w:val="20"/>
                <w:szCs w:val="20"/>
                <w:color w:val="auto"/>
              </w:rPr>
            </w:pPr>
            <w:r>
              <w:rPr>
                <w:rFonts w:ascii="Times New Roman" w:cs="Times New Roman" w:eastAsia="Times New Roman" w:hAnsi="Times New Roman"/>
                <w:sz w:val="20"/>
                <w:szCs w:val="20"/>
                <w:color w:val="auto"/>
              </w:rPr>
              <w:t>1,299,781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2,008,884</w:t>
            </w:r>
          </w:p>
        </w:tc>
        <w:tc>
          <w:tcPr>
            <w:tcW w:w="0" w:type="dxa"/>
            <w:vAlign w:val="bottom"/>
          </w:tcPr>
          <w:p>
            <w:pPr>
              <w:spacing w:after="0"/>
              <w:rPr>
                <w:sz w:val="1"/>
                <w:szCs w:val="1"/>
                <w:color w:val="auto"/>
              </w:rPr>
            </w:pPr>
          </w:p>
        </w:tc>
      </w:tr>
      <w:tr>
        <w:trPr>
          <w:trHeight w:val="254"/>
        </w:trPr>
        <w:tc>
          <w:tcPr>
            <w:tcW w:w="78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Long-term investments</w:t>
            </w:r>
          </w:p>
        </w:tc>
        <w:tc>
          <w:tcPr>
            <w:tcW w:w="180" w:type="dxa"/>
            <w:vAlign w:val="bottom"/>
          </w:tcPr>
          <w:p>
            <w:pPr>
              <w:spacing w:after="0"/>
              <w:rPr>
                <w:sz w:val="22"/>
                <w:szCs w:val="22"/>
                <w:color w:val="auto"/>
              </w:rPr>
            </w:pPr>
          </w:p>
        </w:tc>
        <w:tc>
          <w:tcPr>
            <w:tcW w:w="1420" w:type="dxa"/>
            <w:vAlign w:val="bottom"/>
          </w:tcPr>
          <w:p>
            <w:pPr>
              <w:jc w:val="right"/>
              <w:ind w:right="18"/>
              <w:spacing w:after="0"/>
              <w:rPr>
                <w:sz w:val="20"/>
                <w:szCs w:val="20"/>
                <w:color w:val="auto"/>
              </w:rPr>
            </w:pPr>
            <w:r>
              <w:rPr>
                <w:rFonts w:ascii="Times New Roman" w:cs="Times New Roman" w:eastAsia="Times New Roman" w:hAnsi="Times New Roman"/>
                <w:sz w:val="20"/>
                <w:szCs w:val="20"/>
                <w:color w:val="auto"/>
              </w:rPr>
              <w:t>10,035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7,859</w:t>
            </w:r>
          </w:p>
        </w:tc>
        <w:tc>
          <w:tcPr>
            <w:tcW w:w="0" w:type="dxa"/>
            <w:vAlign w:val="bottom"/>
          </w:tcPr>
          <w:p>
            <w:pPr>
              <w:spacing w:after="0"/>
              <w:rPr>
                <w:sz w:val="1"/>
                <w:szCs w:val="1"/>
                <w:color w:val="auto"/>
              </w:rPr>
            </w:pPr>
          </w:p>
        </w:tc>
      </w:tr>
      <w:tr>
        <w:trPr>
          <w:trHeight w:val="254"/>
        </w:trPr>
        <w:tc>
          <w:tcPr>
            <w:tcW w:w="78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Convertible notes receivable</w:t>
            </w:r>
          </w:p>
        </w:tc>
        <w:tc>
          <w:tcPr>
            <w:tcW w:w="180" w:type="dxa"/>
            <w:vAlign w:val="bottom"/>
          </w:tcPr>
          <w:p>
            <w:pPr>
              <w:spacing w:after="0"/>
              <w:rPr>
                <w:sz w:val="22"/>
                <w:szCs w:val="22"/>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32,000</w:t>
            </w:r>
          </w:p>
        </w:tc>
        <w:tc>
          <w:tcPr>
            <w:tcW w:w="0" w:type="dxa"/>
            <w:vAlign w:val="bottom"/>
          </w:tcPr>
          <w:p>
            <w:pPr>
              <w:spacing w:after="0"/>
              <w:rPr>
                <w:sz w:val="1"/>
                <w:szCs w:val="1"/>
                <w:color w:val="auto"/>
              </w:rPr>
            </w:pPr>
          </w:p>
        </w:tc>
      </w:tr>
      <w:tr>
        <w:trPr>
          <w:trHeight w:val="265"/>
        </w:trPr>
        <w:tc>
          <w:tcPr>
            <w:tcW w:w="78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Other assets</w:t>
            </w:r>
          </w:p>
        </w:tc>
        <w:tc>
          <w:tcPr>
            <w:tcW w:w="1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20"/>
                <w:szCs w:val="20"/>
                <w:color w:val="auto"/>
              </w:rPr>
              <w:t>5,032</w:t>
            </w: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5,395</w:t>
            </w:r>
          </w:p>
        </w:tc>
        <w:tc>
          <w:tcPr>
            <w:tcW w:w="0" w:type="dxa"/>
            <w:vAlign w:val="bottom"/>
          </w:tcPr>
          <w:p>
            <w:pPr>
              <w:spacing w:after="0"/>
              <w:rPr>
                <w:sz w:val="1"/>
                <w:szCs w:val="1"/>
                <w:color w:val="auto"/>
              </w:rPr>
            </w:pPr>
          </w:p>
        </w:tc>
      </w:tr>
      <w:tr>
        <w:trPr>
          <w:trHeight w:val="248"/>
        </w:trPr>
        <w:tc>
          <w:tcPr>
            <w:tcW w:w="78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4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20"/>
                <w:szCs w:val="20"/>
                <w:color w:val="auto"/>
              </w:rPr>
              <w:t>3,403,146</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20"/>
                <w:szCs w:val="20"/>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4,221,665</w:t>
            </w: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Liabilities</w:t>
            </w: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78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78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Current liabilities</w:t>
            </w: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78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Bank indebtedness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420" w:type="dxa"/>
            <w:vAlign w:val="bottom"/>
          </w:tcPr>
          <w:p>
            <w:pPr>
              <w:jc w:val="right"/>
              <w:ind w:right="18"/>
              <w:spacing w:after="0"/>
              <w:rPr>
                <w:sz w:val="20"/>
                <w:szCs w:val="20"/>
                <w:color w:val="auto"/>
              </w:rPr>
            </w:pPr>
            <w:r>
              <w:rPr>
                <w:rFonts w:ascii="Times New Roman" w:cs="Times New Roman" w:eastAsia="Times New Roman" w:hAnsi="Times New Roman"/>
                <w:sz w:val="20"/>
                <w:szCs w:val="20"/>
                <w:color w:val="auto"/>
              </w:rPr>
              <w:t>10,740</w:t>
            </w:r>
          </w:p>
        </w:tc>
        <w:tc>
          <w:tcPr>
            <w:tcW w:w="100" w:type="dxa"/>
            <w:vAlign w:val="bottom"/>
          </w:tcPr>
          <w:p>
            <w:pPr>
              <w:spacing w:after="0"/>
              <w:rPr>
                <w:sz w:val="22"/>
                <w:szCs w:val="22"/>
                <w:color w:val="auto"/>
              </w:rPr>
            </w:pPr>
          </w:p>
        </w:tc>
        <w:tc>
          <w:tcPr>
            <w:tcW w:w="280" w:type="dxa"/>
            <w:vAlign w:val="bottom"/>
          </w:tcPr>
          <w:p>
            <w:pPr>
              <w:jc w:val="right"/>
              <w:ind w:right="58"/>
              <w:spacing w:after="0"/>
              <w:rPr>
                <w:sz w:val="20"/>
                <w:szCs w:val="20"/>
                <w:color w:val="auto"/>
              </w:rPr>
            </w:pPr>
            <w:r>
              <w:rPr>
                <w:rFonts w:ascii="Times New Roman" w:cs="Times New Roman" w:eastAsia="Times New Roman" w:hAnsi="Times New Roman"/>
                <w:sz w:val="20"/>
                <w:szCs w:val="20"/>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18,033</w:t>
            </w:r>
          </w:p>
        </w:tc>
        <w:tc>
          <w:tcPr>
            <w:tcW w:w="0" w:type="dxa"/>
            <w:vAlign w:val="bottom"/>
          </w:tcPr>
          <w:p>
            <w:pPr>
              <w:spacing w:after="0"/>
              <w:rPr>
                <w:sz w:val="1"/>
                <w:szCs w:val="1"/>
                <w:color w:val="auto"/>
              </w:rPr>
            </w:pPr>
          </w:p>
        </w:tc>
      </w:tr>
      <w:tr>
        <w:trPr>
          <w:trHeight w:val="254"/>
        </w:trPr>
        <w:tc>
          <w:tcPr>
            <w:tcW w:w="78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Accounts payable and accrued liabilities</w:t>
            </w:r>
          </w:p>
        </w:tc>
        <w:tc>
          <w:tcPr>
            <w:tcW w:w="180" w:type="dxa"/>
            <w:vAlign w:val="bottom"/>
          </w:tcPr>
          <w:p>
            <w:pPr>
              <w:spacing w:after="0"/>
              <w:rPr>
                <w:sz w:val="22"/>
                <w:szCs w:val="22"/>
                <w:color w:val="auto"/>
              </w:rPr>
            </w:pPr>
          </w:p>
        </w:tc>
        <w:tc>
          <w:tcPr>
            <w:tcW w:w="1420" w:type="dxa"/>
            <w:vAlign w:val="bottom"/>
          </w:tcPr>
          <w:p>
            <w:pPr>
              <w:jc w:val="right"/>
              <w:ind w:right="18"/>
              <w:spacing w:after="0"/>
              <w:rPr>
                <w:sz w:val="20"/>
                <w:szCs w:val="20"/>
                <w:color w:val="auto"/>
              </w:rPr>
            </w:pPr>
            <w:r>
              <w:rPr>
                <w:rFonts w:ascii="Times New Roman" w:cs="Times New Roman" w:eastAsia="Times New Roman" w:hAnsi="Times New Roman"/>
                <w:sz w:val="20"/>
                <w:szCs w:val="20"/>
                <w:color w:val="auto"/>
              </w:rPr>
              <w:t>216,567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241,957</w:t>
            </w:r>
          </w:p>
        </w:tc>
        <w:tc>
          <w:tcPr>
            <w:tcW w:w="0" w:type="dxa"/>
            <w:vAlign w:val="bottom"/>
          </w:tcPr>
          <w:p>
            <w:pPr>
              <w:spacing w:after="0"/>
              <w:rPr>
                <w:sz w:val="1"/>
                <w:szCs w:val="1"/>
                <w:color w:val="auto"/>
              </w:rPr>
            </w:pPr>
          </w:p>
        </w:tc>
      </w:tr>
      <w:tr>
        <w:trPr>
          <w:trHeight w:val="254"/>
        </w:trPr>
        <w:tc>
          <w:tcPr>
            <w:tcW w:w="78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Contingent consideration</w:t>
            </w:r>
          </w:p>
        </w:tc>
        <w:tc>
          <w:tcPr>
            <w:tcW w:w="180" w:type="dxa"/>
            <w:vAlign w:val="bottom"/>
          </w:tcPr>
          <w:p>
            <w:pPr>
              <w:spacing w:after="0"/>
              <w:rPr>
                <w:sz w:val="22"/>
                <w:szCs w:val="22"/>
                <w:color w:val="auto"/>
              </w:rPr>
            </w:pPr>
          </w:p>
        </w:tc>
        <w:tc>
          <w:tcPr>
            <w:tcW w:w="1420" w:type="dxa"/>
            <w:vAlign w:val="bottom"/>
          </w:tcPr>
          <w:p>
            <w:pPr>
              <w:jc w:val="right"/>
              <w:ind w:right="18"/>
              <w:spacing w:after="0"/>
              <w:rPr>
                <w:sz w:val="20"/>
                <w:szCs w:val="20"/>
                <w:color w:val="auto"/>
              </w:rPr>
            </w:pPr>
            <w:r>
              <w:rPr>
                <w:rFonts w:ascii="Times New Roman" w:cs="Times New Roman" w:eastAsia="Times New Roman" w:hAnsi="Times New Roman"/>
                <w:sz w:val="20"/>
                <w:szCs w:val="20"/>
                <w:color w:val="auto"/>
              </w:rPr>
              <w:t>15,000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15,000</w:t>
            </w:r>
          </w:p>
        </w:tc>
        <w:tc>
          <w:tcPr>
            <w:tcW w:w="0" w:type="dxa"/>
            <w:vAlign w:val="bottom"/>
          </w:tcPr>
          <w:p>
            <w:pPr>
              <w:spacing w:after="0"/>
              <w:rPr>
                <w:sz w:val="1"/>
                <w:szCs w:val="1"/>
                <w:color w:val="auto"/>
              </w:rPr>
            </w:pPr>
          </w:p>
        </w:tc>
      </w:tr>
      <w:tr>
        <w:trPr>
          <w:trHeight w:val="254"/>
        </w:trPr>
        <w:tc>
          <w:tcPr>
            <w:tcW w:w="78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Warrant liability</w:t>
            </w:r>
          </w:p>
        </w:tc>
        <w:tc>
          <w:tcPr>
            <w:tcW w:w="180" w:type="dxa"/>
            <w:vAlign w:val="bottom"/>
          </w:tcPr>
          <w:p>
            <w:pPr>
              <w:spacing w:after="0"/>
              <w:rPr>
                <w:sz w:val="22"/>
                <w:szCs w:val="22"/>
                <w:color w:val="auto"/>
              </w:rPr>
            </w:pPr>
          </w:p>
        </w:tc>
        <w:tc>
          <w:tcPr>
            <w:tcW w:w="1420" w:type="dxa"/>
            <w:vAlign w:val="bottom"/>
          </w:tcPr>
          <w:p>
            <w:pPr>
              <w:jc w:val="right"/>
              <w:ind w:right="18"/>
              <w:spacing w:after="0"/>
              <w:rPr>
                <w:sz w:val="20"/>
                <w:szCs w:val="20"/>
                <w:color w:val="auto"/>
              </w:rPr>
            </w:pPr>
            <w:r>
              <w:rPr>
                <w:rFonts w:ascii="Times New Roman" w:cs="Times New Roman" w:eastAsia="Times New Roman" w:hAnsi="Times New Roman"/>
                <w:sz w:val="20"/>
                <w:szCs w:val="20"/>
                <w:color w:val="auto"/>
              </w:rPr>
              <w:t>357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3,253</w:t>
            </w:r>
          </w:p>
        </w:tc>
        <w:tc>
          <w:tcPr>
            <w:tcW w:w="0" w:type="dxa"/>
            <w:vAlign w:val="bottom"/>
          </w:tcPr>
          <w:p>
            <w:pPr>
              <w:spacing w:after="0"/>
              <w:rPr>
                <w:sz w:val="1"/>
                <w:szCs w:val="1"/>
                <w:color w:val="auto"/>
              </w:rPr>
            </w:pPr>
          </w:p>
        </w:tc>
      </w:tr>
      <w:tr>
        <w:trPr>
          <w:trHeight w:val="254"/>
        </w:trPr>
        <w:tc>
          <w:tcPr>
            <w:tcW w:w="78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Current portion of lease liabilities</w:t>
            </w:r>
          </w:p>
        </w:tc>
        <w:tc>
          <w:tcPr>
            <w:tcW w:w="180" w:type="dxa"/>
            <w:vAlign w:val="bottom"/>
          </w:tcPr>
          <w:p>
            <w:pPr>
              <w:spacing w:after="0"/>
              <w:rPr>
                <w:sz w:val="22"/>
                <w:szCs w:val="22"/>
                <w:color w:val="auto"/>
              </w:rPr>
            </w:pPr>
          </w:p>
        </w:tc>
        <w:tc>
          <w:tcPr>
            <w:tcW w:w="1420" w:type="dxa"/>
            <w:vAlign w:val="bottom"/>
          </w:tcPr>
          <w:p>
            <w:pPr>
              <w:jc w:val="right"/>
              <w:ind w:right="18"/>
              <w:spacing w:after="0"/>
              <w:rPr>
                <w:sz w:val="20"/>
                <w:szCs w:val="20"/>
                <w:color w:val="auto"/>
              </w:rPr>
            </w:pPr>
            <w:r>
              <w:rPr>
                <w:rFonts w:ascii="Times New Roman" w:cs="Times New Roman" w:eastAsia="Times New Roman" w:hAnsi="Times New Roman"/>
                <w:sz w:val="20"/>
                <w:szCs w:val="20"/>
                <w:color w:val="auto"/>
              </w:rPr>
              <w:t>6,606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5,091</w:t>
            </w:r>
          </w:p>
        </w:tc>
        <w:tc>
          <w:tcPr>
            <w:tcW w:w="0" w:type="dxa"/>
            <w:vAlign w:val="bottom"/>
          </w:tcPr>
          <w:p>
            <w:pPr>
              <w:spacing w:after="0"/>
              <w:rPr>
                <w:sz w:val="1"/>
                <w:szCs w:val="1"/>
                <w:color w:val="auto"/>
              </w:rPr>
            </w:pPr>
          </w:p>
        </w:tc>
      </w:tr>
      <w:tr>
        <w:trPr>
          <w:trHeight w:val="265"/>
        </w:trPr>
        <w:tc>
          <w:tcPr>
            <w:tcW w:w="78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Current portion of long-term debt</w:t>
            </w:r>
          </w:p>
        </w:tc>
        <w:tc>
          <w:tcPr>
            <w:tcW w:w="180" w:type="dxa"/>
            <w:vAlign w:val="bottom"/>
          </w:tcPr>
          <w:p>
            <w:pPr>
              <w:spacing w:after="0"/>
              <w:rPr>
                <w:sz w:val="23"/>
                <w:szCs w:val="23"/>
                <w:color w:val="auto"/>
              </w:rPr>
            </w:pPr>
          </w:p>
        </w:tc>
        <w:tc>
          <w:tcPr>
            <w:tcW w:w="1420" w:type="dxa"/>
            <w:vAlign w:val="bottom"/>
          </w:tcPr>
          <w:p>
            <w:pPr>
              <w:jc w:val="right"/>
              <w:ind w:right="18"/>
              <w:spacing w:after="0"/>
              <w:rPr>
                <w:sz w:val="20"/>
                <w:szCs w:val="20"/>
                <w:color w:val="auto"/>
              </w:rPr>
            </w:pPr>
            <w:r>
              <w:rPr>
                <w:rFonts w:ascii="Times New Roman" w:cs="Times New Roman" w:eastAsia="Times New Roman" w:hAnsi="Times New Roman"/>
                <w:sz w:val="20"/>
                <w:szCs w:val="20"/>
                <w:color w:val="auto"/>
              </w:rPr>
              <w:t>12,904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15,506</w:t>
            </w:r>
          </w:p>
        </w:tc>
        <w:tc>
          <w:tcPr>
            <w:tcW w:w="0" w:type="dxa"/>
            <w:vAlign w:val="bottom"/>
          </w:tcPr>
          <w:p>
            <w:pPr>
              <w:spacing w:after="0"/>
              <w:rPr>
                <w:sz w:val="1"/>
                <w:szCs w:val="1"/>
                <w:color w:val="auto"/>
              </w:rPr>
            </w:pPr>
          </w:p>
        </w:tc>
      </w:tr>
    </w:tbl>
    <w:p>
      <w:pPr>
        <w:sectPr>
          <w:pgSz w:w="11900" w:h="16838" w:orient="portrait"/>
          <w:cols w:equalWidth="0" w:num="1">
            <w:col w:w="11240"/>
          </w:cols>
          <w:pgMar w:left="320" w:top="114" w:right="3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78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Current portion of convertible debentures payable</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330</w:t>
            </w:r>
          </w:p>
        </w:tc>
      </w:tr>
      <w:tr>
        <w:trPr>
          <w:trHeight w:val="232"/>
        </w:trPr>
        <w:tc>
          <w:tcPr>
            <w:tcW w:w="78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current liabilities</w:t>
            </w:r>
          </w:p>
        </w:tc>
        <w:tc>
          <w:tcPr>
            <w:tcW w:w="160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20"/>
                <w:szCs w:val="20"/>
                <w:color w:val="auto"/>
              </w:rPr>
              <w:t>262,174</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299,170</w:t>
            </w:r>
          </w:p>
        </w:tc>
      </w:tr>
      <w:tr>
        <w:trPr>
          <w:trHeight w:val="269"/>
        </w:trPr>
        <w:tc>
          <w:tcPr>
            <w:tcW w:w="78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Long - term liabilities</w:t>
            </w: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r>
    </w:tbl>
    <w:p>
      <w:pPr>
        <w:spacing w:after="0" w:line="1" w:lineRule="exact"/>
        <w:rPr>
          <w:sz w:val="20"/>
          <w:szCs w:val="20"/>
          <w:color w:val="auto"/>
        </w:rPr>
      </w:pPr>
    </w:p>
    <w:p>
      <w:pPr>
        <w:sectPr>
          <w:pgSz w:w="11900" w:h="16838" w:orient="portrait"/>
          <w:cols w:equalWidth="0" w:num="1">
            <w:col w:w="11260"/>
          </w:cols>
          <w:pgMar w:left="340" w:top="114" w:right="299" w:bottom="0" w:gutter="0" w:footer="0" w:header="0"/>
        </w:sectPr>
      </w:pPr>
    </w:p>
    <w:p>
      <w:pPr>
        <w:ind w:left="240"/>
        <w:spacing w:after="0"/>
        <w:rPr>
          <w:sz w:val="20"/>
          <w:szCs w:val="20"/>
          <w:color w:val="auto"/>
        </w:rPr>
      </w:pPr>
      <w:r>
        <w:rPr>
          <w:rFonts w:ascii="Times New Roman" w:cs="Times New Roman" w:eastAsia="Times New Roman" w:hAnsi="Times New Roman"/>
          <w:sz w:val="20"/>
          <w:szCs w:val="20"/>
          <w:color w:val="auto"/>
        </w:rPr>
        <w:t>Lease liabilities</w:t>
      </w:r>
    </w:p>
    <w:p>
      <w:pPr>
        <w:spacing w:after="0" w:line="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auto"/>
        </w:rPr>
        <w:t>Long-term debt</w:t>
      </w:r>
    </w:p>
    <w:p>
      <w:pPr>
        <w:spacing w:after="0" w:line="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auto"/>
        </w:rPr>
        <w:t>Convertible debentures payable</w:t>
      </w:r>
    </w:p>
    <w:p>
      <w:pPr>
        <w:spacing w:after="0" w:line="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auto"/>
        </w:rPr>
        <w:t>Deferred tax liabilities, net</w:t>
      </w:r>
    </w:p>
    <w:p>
      <w:pPr>
        <w:spacing w:after="0" w:line="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auto"/>
        </w:rPr>
        <w:t>Other liabilities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Total liabilities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Stockholders' equity</w:t>
      </w:r>
    </w:p>
    <w:p>
      <w:pPr>
        <w:spacing w:after="0" w:line="37" w:lineRule="exact"/>
        <w:rPr>
          <w:sz w:val="20"/>
          <w:szCs w:val="20"/>
          <w:color w:val="auto"/>
        </w:rPr>
      </w:pPr>
    </w:p>
    <w:p>
      <w:pPr>
        <w:ind w:left="240" w:right="280"/>
        <w:spacing w:after="0" w:line="251" w:lineRule="auto"/>
        <w:rPr>
          <w:sz w:val="20"/>
          <w:szCs w:val="20"/>
          <w:color w:val="auto"/>
        </w:rPr>
      </w:pPr>
      <w:r>
        <w:rPr>
          <w:rFonts w:ascii="Times New Roman" w:cs="Times New Roman" w:eastAsia="Times New Roman" w:hAnsi="Times New Roman"/>
          <w:sz w:val="20"/>
          <w:szCs w:val="20"/>
          <w:color w:val="auto"/>
        </w:rPr>
        <w:t>Common stock ($0.0001 par value; 1,416,000,000 common shares authorized; 983,372,617 and 831,925,373 common shares issued and outstanding, respectively)</w:t>
      </w:r>
    </w:p>
    <w:p>
      <w:pPr>
        <w:spacing w:after="0" w:line="2" w:lineRule="exact"/>
        <w:rPr>
          <w:sz w:val="20"/>
          <w:szCs w:val="20"/>
          <w:color w:val="auto"/>
        </w:rPr>
      </w:pPr>
    </w:p>
    <w:p>
      <w:pPr>
        <w:ind w:left="240" w:right="620"/>
        <w:spacing w:after="0" w:line="251" w:lineRule="auto"/>
        <w:rPr>
          <w:sz w:val="20"/>
          <w:szCs w:val="20"/>
          <w:color w:val="auto"/>
        </w:rPr>
      </w:pPr>
      <w:r>
        <w:rPr>
          <w:rFonts w:ascii="Times New Roman" w:cs="Times New Roman" w:eastAsia="Times New Roman" w:hAnsi="Times New Roman"/>
          <w:sz w:val="20"/>
          <w:szCs w:val="20"/>
          <w:color w:val="auto"/>
        </w:rPr>
        <w:t>Preferred shares ($0.0001 par value; 10,000,000 preferred shares authorized; nil and nil preferred shares issued and outstanding, respectively)</w:t>
      </w:r>
    </w:p>
    <w:p>
      <w:pPr>
        <w:spacing w:after="0" w:line="20" w:lineRule="exact"/>
        <w:rPr>
          <w:sz w:val="20"/>
          <w:szCs w:val="20"/>
          <w:color w:val="auto"/>
        </w:rPr>
      </w:pPr>
      <w:r>
        <w:rPr>
          <w:sz w:val="20"/>
          <w:szCs w:val="20"/>
          <w:color w:val="auto"/>
        </w:rPr>
        <w:br w:type="column"/>
      </w:r>
    </w:p>
    <w:p>
      <w:pPr>
        <w:ind w:left="100"/>
        <w:spacing w:after="0"/>
        <w:tabs>
          <w:tab w:leader="none" w:pos="1760" w:val="left"/>
        </w:tabs>
        <w:rPr>
          <w:sz w:val="20"/>
          <w:szCs w:val="20"/>
          <w:color w:val="auto"/>
        </w:rPr>
      </w:pPr>
      <w:r>
        <w:rPr>
          <w:rFonts w:ascii="Times New Roman" w:cs="Times New Roman" w:eastAsia="Times New Roman" w:hAnsi="Times New Roman"/>
          <w:sz w:val="20"/>
          <w:szCs w:val="20"/>
          <w:color w:val="auto"/>
        </w:rPr>
        <w:t>60,188</w:t>
      </w:r>
      <w:r>
        <w:rPr>
          <w:sz w:val="20"/>
          <w:szCs w:val="20"/>
          <w:color w:val="auto"/>
        </w:rPr>
        <w:tab/>
      </w:r>
      <w:r>
        <w:rPr>
          <w:rFonts w:ascii="Times New Roman" w:cs="Times New Roman" w:eastAsia="Times New Roman" w:hAnsi="Times New Roman"/>
          <w:sz w:val="20"/>
          <w:szCs w:val="20"/>
          <w:color w:val="auto"/>
        </w:rPr>
        <w:t>60,422</w:t>
      </w:r>
    </w:p>
    <w:p>
      <w:pPr>
        <w:spacing w:after="0" w:line="24"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20"/>
          <w:szCs w:val="20"/>
          <w:color w:val="auto"/>
        </w:rPr>
        <w:t>149,401</w:t>
      </w:r>
      <w:r>
        <w:rPr>
          <w:sz w:val="20"/>
          <w:szCs w:val="20"/>
          <w:color w:val="auto"/>
        </w:rPr>
        <w:tab/>
      </w:r>
      <w:r>
        <w:rPr>
          <w:rFonts w:ascii="Times New Roman" w:cs="Times New Roman" w:eastAsia="Times New Roman" w:hAnsi="Times New Roman"/>
          <w:sz w:val="20"/>
          <w:szCs w:val="20"/>
          <w:color w:val="auto"/>
        </w:rPr>
        <w:t>158,352</w:t>
      </w:r>
    </w:p>
    <w:p>
      <w:pPr>
        <w:spacing w:after="0" w:line="24"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20"/>
          <w:szCs w:val="20"/>
          <w:color w:val="auto"/>
        </w:rPr>
        <w:t>104,071</w:t>
      </w:r>
      <w:r>
        <w:rPr>
          <w:sz w:val="20"/>
          <w:szCs w:val="20"/>
          <w:color w:val="auto"/>
        </w:rPr>
        <w:tab/>
      </w:r>
      <w:r>
        <w:rPr>
          <w:rFonts w:ascii="Times New Roman" w:cs="Times New Roman" w:eastAsia="Times New Roman" w:hAnsi="Times New Roman"/>
          <w:sz w:val="20"/>
          <w:szCs w:val="20"/>
          <w:color w:val="auto"/>
        </w:rPr>
        <w:t>129,583</w:t>
      </w:r>
    </w:p>
    <w:p>
      <w:pPr>
        <w:spacing w:after="0" w:line="24"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20"/>
          <w:szCs w:val="20"/>
          <w:color w:val="auto"/>
        </w:rPr>
        <w:t>123,938</w:t>
      </w:r>
      <w:r>
        <w:rPr>
          <w:sz w:val="20"/>
          <w:szCs w:val="20"/>
          <w:color w:val="auto"/>
        </w:rPr>
        <w:tab/>
      </w:r>
      <w:r>
        <w:rPr>
          <w:rFonts w:ascii="Times New Roman" w:cs="Times New Roman" w:eastAsia="Times New Roman" w:hAnsi="Times New Roman"/>
          <w:sz w:val="20"/>
          <w:szCs w:val="20"/>
          <w:color w:val="auto"/>
        </w:rPr>
        <w:t>130,870</w:t>
      </w:r>
    </w:p>
    <w:p>
      <w:pPr>
        <w:spacing w:after="0" w:line="24" w:lineRule="exact"/>
        <w:rPr>
          <w:sz w:val="20"/>
          <w:szCs w:val="20"/>
          <w:color w:val="auto"/>
        </w:rPr>
      </w:pPr>
    </w:p>
    <w:p>
      <w:pPr>
        <w:ind w:left="200"/>
        <w:spacing w:after="0"/>
        <w:tabs>
          <w:tab w:leader="none" w:pos="2120" w:val="left"/>
        </w:tabs>
        <w:rPr>
          <w:sz w:val="20"/>
          <w:szCs w:val="20"/>
          <w:color w:val="auto"/>
        </w:rPr>
      </w:pPr>
      <w:r>
        <w:rPr>
          <w:rFonts w:ascii="Times New Roman" w:cs="Times New Roman" w:eastAsia="Times New Roman" w:hAnsi="Times New Roman"/>
          <w:sz w:val="20"/>
          <w:szCs w:val="20"/>
          <w:color w:val="auto"/>
        </w:rPr>
        <w:t>1,271</w:t>
      </w:r>
      <w:r>
        <w:rPr>
          <w:sz w:val="20"/>
          <w:szCs w:val="20"/>
          <w:color w:val="auto"/>
        </w:rPr>
        <w:tab/>
      </w:r>
      <w:r>
        <w:rPr>
          <w:rFonts w:ascii="Times New Roman" w:cs="Times New Roman" w:eastAsia="Times New Roman" w:hAnsi="Times New Roman"/>
          <w:sz w:val="20"/>
          <w:szCs w:val="20"/>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-520700</wp:posOffset>
            </wp:positionH>
            <wp:positionV relativeFrom="paragraph">
              <wp:posOffset>16510</wp:posOffset>
            </wp:positionV>
            <wp:extent cx="20732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073275" cy="8255"/>
                    </a:xfrm>
                    <a:prstGeom prst="rect">
                      <a:avLst/>
                    </a:prstGeom>
                    <a:noFill/>
                  </pic:spPr>
                </pic:pic>
              </a:graphicData>
            </a:graphic>
          </wp:anchor>
        </w:drawing>
      </w:r>
    </w:p>
    <w:p>
      <w:pPr>
        <w:spacing w:after="0" w:line="6"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20"/>
          <w:szCs w:val="20"/>
          <w:color w:val="auto"/>
        </w:rPr>
        <w:t>701,043</w:t>
      </w:r>
      <w:r>
        <w:rPr>
          <w:sz w:val="20"/>
          <w:szCs w:val="20"/>
          <w:color w:val="auto"/>
        </w:rPr>
        <w:tab/>
      </w:r>
      <w:r>
        <w:rPr>
          <w:rFonts w:ascii="Times New Roman" w:cs="Times New Roman" w:eastAsia="Times New Roman" w:hAnsi="Times New Roman"/>
          <w:sz w:val="20"/>
          <w:szCs w:val="20"/>
          <w:color w:val="auto"/>
        </w:rPr>
        <w:t>778,487</w:t>
      </w:r>
    </w:p>
    <w:p>
      <w:pPr>
        <w:spacing w:after="0" w:line="393" w:lineRule="exact"/>
        <w:rPr>
          <w:sz w:val="20"/>
          <w:szCs w:val="20"/>
          <w:color w:val="auto"/>
        </w:rPr>
      </w:pPr>
    </w:p>
    <w:p>
      <w:pPr>
        <w:jc w:val="both"/>
        <w:ind w:left="460"/>
        <w:spacing w:after="0"/>
        <w:tabs>
          <w:tab w:leader="none" w:pos="2120" w:val="left"/>
        </w:tabs>
        <w:rPr>
          <w:sz w:val="20"/>
          <w:szCs w:val="20"/>
          <w:color w:val="auto"/>
        </w:rPr>
      </w:pPr>
      <w:r>
        <w:rPr>
          <w:rFonts w:ascii="Times New Roman" w:cs="Times New Roman" w:eastAsia="Times New Roman" w:hAnsi="Times New Roman"/>
          <w:sz w:val="20"/>
          <w:szCs w:val="20"/>
          <w:color w:val="auto"/>
        </w:rPr>
        <w:t>99</w:t>
      </w:r>
      <w:r>
        <w:rPr>
          <w:sz w:val="20"/>
          <w:szCs w:val="20"/>
          <w:color w:val="auto"/>
        </w:rPr>
        <w:tab/>
      </w:r>
      <w:r>
        <w:rPr>
          <w:rFonts w:ascii="Times New Roman" w:cs="Times New Roman" w:eastAsia="Times New Roman" w:hAnsi="Times New Roman"/>
          <w:sz w:val="20"/>
          <w:szCs w:val="20"/>
          <w:color w:val="auto"/>
        </w:rPr>
        <w:t>83</w:t>
      </w:r>
    </w:p>
    <w:p>
      <w:pPr>
        <w:spacing w:after="0" w:line="253" w:lineRule="exact"/>
        <w:rPr>
          <w:sz w:val="20"/>
          <w:szCs w:val="20"/>
          <w:color w:val="auto"/>
        </w:rPr>
      </w:pPr>
    </w:p>
    <w:p>
      <w:pPr>
        <w:jc w:val="both"/>
        <w:ind w:left="460"/>
        <w:spacing w:after="0"/>
        <w:tabs>
          <w:tab w:leader="none" w:pos="212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p>
    <w:p>
      <w:pPr>
        <w:spacing w:after="0" w:line="149" w:lineRule="exact"/>
        <w:rPr>
          <w:sz w:val="20"/>
          <w:szCs w:val="20"/>
          <w:color w:val="auto"/>
        </w:rPr>
      </w:pPr>
    </w:p>
    <w:p>
      <w:pPr>
        <w:sectPr>
          <w:pgSz w:w="11900" w:h="16838" w:orient="portrait"/>
          <w:cols w:equalWidth="0" w:num="2">
            <w:col w:w="7960" w:space="720"/>
            <w:col w:w="2580"/>
          </w:cols>
          <w:pgMar w:left="340" w:top="114" w:right="299" w:bottom="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78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Treasury Stock (9,619,421 and nil treasury shares issued and outstanding, respectively)</w:t>
            </w:r>
          </w:p>
        </w:tc>
        <w:tc>
          <w:tcPr>
            <w:tcW w:w="3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4"/>
        </w:trPr>
        <w:tc>
          <w:tcPr>
            <w:tcW w:w="78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Additional paid-in capital</w:t>
            </w:r>
          </w:p>
        </w:tc>
        <w:tc>
          <w:tcPr>
            <w:tcW w:w="360" w:type="dxa"/>
            <w:vAlign w:val="bottom"/>
          </w:tcPr>
          <w:p>
            <w:pPr>
              <w:spacing w:after="0"/>
              <w:rPr>
                <w:sz w:val="22"/>
                <w:szCs w:val="22"/>
                <w:color w:val="auto"/>
              </w:rPr>
            </w:pPr>
          </w:p>
        </w:tc>
        <w:tc>
          <w:tcPr>
            <w:tcW w:w="1240" w:type="dxa"/>
            <w:vAlign w:val="bottom"/>
          </w:tcPr>
          <w:p>
            <w:pPr>
              <w:jc w:val="right"/>
              <w:ind w:right="18"/>
              <w:spacing w:after="0"/>
              <w:rPr>
                <w:sz w:val="20"/>
                <w:szCs w:val="20"/>
                <w:color w:val="auto"/>
              </w:rPr>
            </w:pPr>
            <w:r>
              <w:rPr>
                <w:rFonts w:ascii="Times New Roman" w:cs="Times New Roman" w:eastAsia="Times New Roman" w:hAnsi="Times New Roman"/>
                <w:sz w:val="20"/>
                <w:szCs w:val="20"/>
                <w:color w:val="auto"/>
              </w:rPr>
              <w:t>6,357,039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6,146,810</w:t>
            </w:r>
          </w:p>
        </w:tc>
      </w:tr>
      <w:tr>
        <w:trPr>
          <w:trHeight w:val="254"/>
        </w:trPr>
        <w:tc>
          <w:tcPr>
            <w:tcW w:w="78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Accumulated other comprehensive loss</w:t>
            </w: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(52,935)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(43,499)</w:t>
            </w:r>
          </w:p>
        </w:tc>
      </w:tr>
      <w:tr>
        <w:trPr>
          <w:trHeight w:val="265"/>
        </w:trPr>
        <w:tc>
          <w:tcPr>
            <w:tcW w:w="78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Accumulated deficit</w:t>
            </w:r>
          </w:p>
        </w:tc>
        <w:tc>
          <w:tcPr>
            <w:tcW w:w="3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(3,574,431)</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(2,660,488)</w:t>
            </w:r>
          </w:p>
        </w:tc>
      </w:tr>
      <w:tr>
        <w:trPr>
          <w:trHeight w:val="236"/>
        </w:trPr>
        <w:tc>
          <w:tcPr>
            <w:tcW w:w="78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Tilray Brands, Inc. stockholders' equity</w:t>
            </w:r>
          </w:p>
        </w:tc>
        <w:tc>
          <w:tcPr>
            <w:tcW w:w="360" w:type="dxa"/>
            <w:vAlign w:val="bottom"/>
          </w:tcPr>
          <w:p>
            <w:pPr>
              <w:spacing w:after="0"/>
              <w:rPr>
                <w:sz w:val="20"/>
                <w:szCs w:val="20"/>
                <w:color w:val="auto"/>
              </w:rPr>
            </w:pPr>
          </w:p>
        </w:tc>
        <w:tc>
          <w:tcPr>
            <w:tcW w:w="1240" w:type="dxa"/>
            <w:vAlign w:val="bottom"/>
          </w:tcPr>
          <w:p>
            <w:pPr>
              <w:jc w:val="right"/>
              <w:ind w:right="18"/>
              <w:spacing w:after="0"/>
              <w:rPr>
                <w:sz w:val="20"/>
                <w:szCs w:val="20"/>
                <w:color w:val="auto"/>
              </w:rPr>
            </w:pPr>
            <w:r>
              <w:rPr>
                <w:rFonts w:ascii="Times New Roman" w:cs="Times New Roman" w:eastAsia="Times New Roman" w:hAnsi="Times New Roman"/>
                <w:sz w:val="20"/>
                <w:szCs w:val="20"/>
                <w:color w:val="auto"/>
              </w:rPr>
              <w:t>2,729,772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3,442,906</w:t>
            </w:r>
          </w:p>
        </w:tc>
      </w:tr>
      <w:tr>
        <w:trPr>
          <w:trHeight w:val="265"/>
        </w:trPr>
        <w:tc>
          <w:tcPr>
            <w:tcW w:w="78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Non-controlling interests</w:t>
            </w:r>
          </w:p>
        </w:tc>
        <w:tc>
          <w:tcPr>
            <w:tcW w:w="3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(27,669)</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272</w:t>
            </w:r>
          </w:p>
        </w:tc>
      </w:tr>
      <w:tr>
        <w:trPr>
          <w:trHeight w:val="248"/>
        </w:trPr>
        <w:tc>
          <w:tcPr>
            <w:tcW w:w="78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stockholders' equity</w:t>
            </w: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20"/>
                <w:szCs w:val="20"/>
                <w:color w:val="auto"/>
              </w:rPr>
              <w:t>2,702,103</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3,443,178</w:t>
            </w:r>
          </w:p>
        </w:tc>
      </w:tr>
      <w:tr>
        <w:trPr>
          <w:trHeight w:val="247"/>
        </w:trPr>
        <w:tc>
          <w:tcPr>
            <w:tcW w:w="78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liabilities and stockholders' equity</w:t>
            </w:r>
          </w:p>
        </w:tc>
        <w:tc>
          <w:tcPr>
            <w:tcW w:w="36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20"/>
                <w:szCs w:val="20"/>
                <w:color w:val="auto"/>
                <w:w w:val="99"/>
              </w:rPr>
              <w:t>$</w:t>
            </w:r>
          </w:p>
        </w:tc>
        <w:tc>
          <w:tcPr>
            <w:tcW w:w="12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20"/>
                <w:szCs w:val="20"/>
                <w:color w:val="auto"/>
              </w:rPr>
              <w:t>3,403,146</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20"/>
                <w:szCs w:val="20"/>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4,221,665</w:t>
            </w:r>
          </w:p>
        </w:tc>
      </w:tr>
      <w:tr>
        <w:trPr>
          <w:trHeight w:val="20"/>
        </w:trPr>
        <w:tc>
          <w:tcPr>
            <w:tcW w:w="7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8100" w:type="dxa"/>
            <w:vAlign w:val="bottom"/>
            <w:gridSpan w:val="16"/>
          </w:tcPr>
          <w:p>
            <w:pP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Net Income (Loss) and Comprehensive Income (Loss)</w:t>
            </w: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1500" w:type="dxa"/>
            <w:vAlign w:val="bottom"/>
          </w:tcPr>
          <w:p>
            <w:pPr>
              <w:spacing w:after="0"/>
              <w:rPr>
                <w:sz w:val="22"/>
                <w:szCs w:val="22"/>
                <w:color w:val="auto"/>
              </w:rPr>
            </w:pPr>
          </w:p>
        </w:tc>
        <w:tc>
          <w:tcPr>
            <w:tcW w:w="2580" w:type="dxa"/>
            <w:vAlign w:val="bottom"/>
            <w:gridSpan w:val="6"/>
          </w:tcPr>
          <w:p>
            <w:pPr>
              <w:ind w:left="60"/>
              <w:spacing w:after="0"/>
              <w:rPr>
                <w:sz w:val="20"/>
                <w:szCs w:val="20"/>
                <w:color w:val="auto"/>
              </w:rPr>
            </w:pPr>
            <w:r>
              <w:rPr>
                <w:rFonts w:ascii="Times New Roman" w:cs="Times New Roman" w:eastAsia="Times New Roman" w:hAnsi="Times New Roman"/>
                <w:sz w:val="20"/>
                <w:szCs w:val="20"/>
                <w:b w:val="1"/>
                <w:bCs w:val="1"/>
                <w:color w:val="auto"/>
              </w:rPr>
              <w:t>For the three months ended</w:t>
            </w: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580" w:type="dxa"/>
            <w:vAlign w:val="bottom"/>
            <w:gridSpan w:val="6"/>
          </w:tcPr>
          <w:p>
            <w:pPr>
              <w:ind w:left="80"/>
              <w:spacing w:after="0"/>
              <w:rPr>
                <w:sz w:val="20"/>
                <w:szCs w:val="20"/>
                <w:color w:val="auto"/>
              </w:rPr>
            </w:pPr>
            <w:r>
              <w:rPr>
                <w:rFonts w:ascii="Times New Roman" w:cs="Times New Roman" w:eastAsia="Times New Roman" w:hAnsi="Times New Roman"/>
                <w:sz w:val="20"/>
                <w:szCs w:val="20"/>
                <w:b w:val="1"/>
                <w:bCs w:val="1"/>
                <w:color w:val="auto"/>
              </w:rPr>
              <w:t>For the nine months ended</w:t>
            </w: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15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(in thousands of</w:t>
            </w:r>
          </w:p>
        </w:tc>
        <w:tc>
          <w:tcPr>
            <w:tcW w:w="1280" w:type="dxa"/>
            <w:vAlign w:val="bottom"/>
            <w:gridSpan w:val="3"/>
          </w:tcPr>
          <w:p>
            <w:pPr>
              <w:ind w:left="40"/>
              <w:spacing w:after="0"/>
              <w:rPr>
                <w:sz w:val="20"/>
                <w:szCs w:val="20"/>
                <w:color w:val="auto"/>
              </w:rPr>
            </w:pPr>
            <w:r>
              <w:rPr>
                <w:rFonts w:ascii="Times New Roman" w:cs="Times New Roman" w:eastAsia="Times New Roman" w:hAnsi="Times New Roman"/>
                <w:sz w:val="20"/>
                <w:szCs w:val="20"/>
                <w:b w:val="1"/>
                <w:bCs w:val="1"/>
                <w:color w:val="auto"/>
              </w:rPr>
              <w:t>February 28,</w:t>
            </w: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20"/>
                <w:szCs w:val="20"/>
                <w:b w:val="1"/>
                <w:bCs w:val="1"/>
                <w:color w:val="auto"/>
              </w:rPr>
              <w:t>February 29,</w:t>
            </w:r>
          </w:p>
        </w:tc>
        <w:tc>
          <w:tcPr>
            <w:tcW w:w="200" w:type="dxa"/>
            <w:vAlign w:val="bottom"/>
          </w:tcPr>
          <w:p>
            <w:pPr>
              <w:spacing w:after="0"/>
              <w:rPr>
                <w:sz w:val="23"/>
                <w:szCs w:val="23"/>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Change</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1280" w:type="dxa"/>
            <w:vAlign w:val="bottom"/>
            <w:gridSpan w:val="3"/>
          </w:tcPr>
          <w:p>
            <w:pPr>
              <w:ind w:left="40"/>
              <w:spacing w:after="0"/>
              <w:rPr>
                <w:sz w:val="20"/>
                <w:szCs w:val="20"/>
                <w:color w:val="auto"/>
              </w:rPr>
            </w:pPr>
            <w:r>
              <w:rPr>
                <w:rFonts w:ascii="Times New Roman" w:cs="Times New Roman" w:eastAsia="Times New Roman" w:hAnsi="Times New Roman"/>
                <w:sz w:val="20"/>
                <w:szCs w:val="20"/>
                <w:b w:val="1"/>
                <w:bCs w:val="1"/>
                <w:color w:val="auto"/>
              </w:rPr>
              <w:t>February 28,</w:t>
            </w: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20"/>
                <w:szCs w:val="20"/>
                <w:b w:val="1"/>
                <w:bCs w:val="1"/>
                <w:color w:val="auto"/>
              </w:rPr>
              <w:t>February 29,</w:t>
            </w:r>
          </w:p>
        </w:tc>
        <w:tc>
          <w:tcPr>
            <w:tcW w:w="200" w:type="dxa"/>
            <w:vAlign w:val="bottom"/>
          </w:tcPr>
          <w:p>
            <w:pPr>
              <w:spacing w:after="0"/>
              <w:rPr>
                <w:sz w:val="23"/>
                <w:szCs w:val="23"/>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Change</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0" w:type="dxa"/>
            <w:vAlign w:val="bottom"/>
          </w:tcPr>
          <w:p>
            <w:pPr>
              <w:spacing w:after="0"/>
              <w:rPr>
                <w:sz w:val="1"/>
                <w:szCs w:val="1"/>
                <w:color w:val="auto"/>
              </w:rPr>
            </w:pPr>
          </w:p>
        </w:tc>
      </w:tr>
      <w:tr>
        <w:trPr>
          <w:trHeight w:val="214"/>
        </w:trPr>
        <w:tc>
          <w:tcPr>
            <w:tcW w:w="15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500" w:type="dxa"/>
            <w:vAlign w:val="bottom"/>
          </w:tcPr>
          <w:p>
            <w:pPr>
              <w:spacing w:after="0" w:line="229" w:lineRule="exact"/>
              <w:rPr>
                <w:sz w:val="20"/>
                <w:szCs w:val="20"/>
                <w:color w:val="auto"/>
              </w:rPr>
            </w:pPr>
            <w:r>
              <w:rPr>
                <w:rFonts w:ascii="Times New Roman" w:cs="Times New Roman" w:eastAsia="Times New Roman" w:hAnsi="Times New Roman"/>
                <w:sz w:val="20"/>
                <w:szCs w:val="20"/>
                <w:b w:val="1"/>
                <w:bCs w:val="1"/>
                <w:color w:val="auto"/>
              </w:rPr>
              <w:t>U.S. dollars,</w:t>
            </w:r>
          </w:p>
        </w:tc>
        <w:tc>
          <w:tcPr>
            <w:tcW w:w="260" w:type="dxa"/>
            <w:vAlign w:val="bottom"/>
          </w:tcPr>
          <w:p>
            <w:pPr>
              <w:spacing w:after="0"/>
              <w:rPr>
                <w:sz w:val="19"/>
                <w:szCs w:val="19"/>
                <w:color w:val="auto"/>
              </w:rPr>
            </w:pPr>
          </w:p>
        </w:tc>
        <w:tc>
          <w:tcPr>
            <w:tcW w:w="960" w:type="dxa"/>
            <w:vAlign w:val="bottom"/>
            <w:vMerge w:val="restart"/>
          </w:tcPr>
          <w:p>
            <w:pPr>
              <w:jc w:val="right"/>
              <w:ind w:right="298"/>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vMerge w:val="restart"/>
          </w:tcPr>
          <w:p>
            <w:pPr>
              <w:jc w:val="right"/>
              <w:ind w:right="278"/>
              <w:spacing w:after="0"/>
              <w:rPr>
                <w:sz w:val="20"/>
                <w:szCs w:val="20"/>
                <w:color w:val="auto"/>
              </w:rPr>
            </w:pPr>
            <w:r>
              <w:rPr>
                <w:rFonts w:ascii="Times New Roman" w:cs="Times New Roman" w:eastAsia="Times New Roman" w:hAnsi="Times New Roman"/>
                <w:sz w:val="20"/>
                <w:szCs w:val="20"/>
                <w:b w:val="1"/>
                <w:bCs w:val="1"/>
                <w:color w:val="auto"/>
              </w:rPr>
              <w:t>2024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40" w:type="dxa"/>
            <w:vAlign w:val="bottom"/>
            <w:gridSpan w:val="4"/>
            <w:vMerge w:val="restart"/>
          </w:tcPr>
          <w:p>
            <w:pPr>
              <w:ind w:left="360"/>
              <w:spacing w:after="0"/>
              <w:rPr>
                <w:sz w:val="20"/>
                <w:szCs w:val="20"/>
                <w:color w:val="auto"/>
              </w:rPr>
            </w:pPr>
            <w:r>
              <w:rPr>
                <w:rFonts w:ascii="Times New Roman" w:cs="Times New Roman" w:eastAsia="Times New Roman" w:hAnsi="Times New Roman"/>
                <w:sz w:val="20"/>
                <w:szCs w:val="20"/>
                <w:b w:val="1"/>
                <w:bCs w:val="1"/>
                <w:color w:val="auto"/>
              </w:rPr>
              <w:t>2025 vs. 2024</w:t>
            </w:r>
          </w:p>
        </w:tc>
        <w:tc>
          <w:tcPr>
            <w:tcW w:w="260" w:type="dxa"/>
            <w:vAlign w:val="bottom"/>
          </w:tcPr>
          <w:p>
            <w:pPr>
              <w:spacing w:after="0"/>
              <w:rPr>
                <w:sz w:val="19"/>
                <w:szCs w:val="19"/>
                <w:color w:val="auto"/>
              </w:rPr>
            </w:pPr>
          </w:p>
        </w:tc>
        <w:tc>
          <w:tcPr>
            <w:tcW w:w="960" w:type="dxa"/>
            <w:vAlign w:val="bottom"/>
            <w:vMerge w:val="restart"/>
          </w:tcPr>
          <w:p>
            <w:pPr>
              <w:jc w:val="right"/>
              <w:ind w:right="298"/>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vMerge w:val="restart"/>
          </w:tcPr>
          <w:p>
            <w:pPr>
              <w:jc w:val="right"/>
              <w:ind w:right="278"/>
              <w:spacing w:after="0"/>
              <w:rPr>
                <w:sz w:val="20"/>
                <w:szCs w:val="20"/>
                <w:color w:val="auto"/>
              </w:rPr>
            </w:pPr>
            <w:r>
              <w:rPr>
                <w:rFonts w:ascii="Times New Roman" w:cs="Times New Roman" w:eastAsia="Times New Roman" w:hAnsi="Times New Roman"/>
                <w:sz w:val="20"/>
                <w:szCs w:val="20"/>
                <w:b w:val="1"/>
                <w:bCs w:val="1"/>
                <w:color w:val="auto"/>
              </w:rPr>
              <w:t>2024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gridSpan w:val="3"/>
            <w:vMerge w:val="restart"/>
          </w:tcPr>
          <w:p>
            <w:pPr>
              <w:jc w:val="right"/>
              <w:ind w:right="458"/>
              <w:spacing w:after="0"/>
              <w:rPr>
                <w:sz w:val="20"/>
                <w:szCs w:val="20"/>
                <w:color w:val="auto"/>
              </w:rPr>
            </w:pPr>
            <w:r>
              <w:rPr>
                <w:rFonts w:ascii="Times New Roman" w:cs="Times New Roman" w:eastAsia="Times New Roman" w:hAnsi="Times New Roman"/>
                <w:sz w:val="20"/>
                <w:szCs w:val="20"/>
                <w:b w:val="1"/>
                <w:bCs w:val="1"/>
                <w:color w:val="auto"/>
              </w:rPr>
              <w:t>2025 vs. 2024</w:t>
            </w:r>
          </w:p>
        </w:tc>
        <w:tc>
          <w:tcPr>
            <w:tcW w:w="0" w:type="dxa"/>
            <w:vAlign w:val="bottom"/>
          </w:tcPr>
          <w:p>
            <w:pPr>
              <w:spacing w:after="0"/>
              <w:rPr>
                <w:sz w:val="1"/>
                <w:szCs w:val="1"/>
                <w:color w:val="auto"/>
              </w:rPr>
            </w:pPr>
          </w:p>
        </w:tc>
      </w:tr>
      <w:tr>
        <w:trPr>
          <w:trHeight w:val="155"/>
        </w:trPr>
        <w:tc>
          <w:tcPr>
            <w:tcW w:w="1500" w:type="dxa"/>
            <w:vAlign w:val="bottom"/>
            <w:vMerge w:val="restart"/>
          </w:tcPr>
          <w:p>
            <w:pPr>
              <w:spacing w:after="0" w:line="229" w:lineRule="exact"/>
              <w:rPr>
                <w:sz w:val="20"/>
                <w:szCs w:val="20"/>
                <w:color w:val="auto"/>
              </w:rPr>
            </w:pPr>
            <w:r>
              <w:rPr>
                <w:rFonts w:ascii="Times New Roman" w:cs="Times New Roman" w:eastAsia="Times New Roman" w:hAnsi="Times New Roman"/>
                <w:sz w:val="20"/>
                <w:szCs w:val="20"/>
                <w:b w:val="1"/>
                <w:bCs w:val="1"/>
                <w:color w:val="auto"/>
              </w:rPr>
              <w:t>except for per</w:t>
            </w:r>
          </w:p>
        </w:tc>
        <w:tc>
          <w:tcPr>
            <w:tcW w:w="26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40" w:type="dxa"/>
            <w:vAlign w:val="bottom"/>
            <w:gridSpan w:val="4"/>
            <w:vMerge w:val="continue"/>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4"/>
        </w:trPr>
        <w:tc>
          <w:tcPr>
            <w:tcW w:w="15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9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9"/>
        </w:trPr>
        <w:tc>
          <w:tcPr>
            <w:tcW w:w="15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share data)</w:t>
            </w:r>
          </w:p>
        </w:tc>
        <w:tc>
          <w:tcPr>
            <w:tcW w:w="2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Net revenue</w:t>
            </w:r>
          </w:p>
        </w:tc>
        <w:tc>
          <w:tcPr>
            <w:tcW w:w="260" w:type="dxa"/>
            <w:vAlign w:val="bottom"/>
          </w:tcPr>
          <w:p>
            <w:pPr>
              <w:jc w:val="right"/>
              <w:ind w:right="58"/>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185,780</w:t>
            </w:r>
          </w:p>
        </w:tc>
        <w:tc>
          <w:tcPr>
            <w:tcW w:w="60" w:type="dxa"/>
            <w:vAlign w:val="bottom"/>
          </w:tcPr>
          <w:p>
            <w:pPr>
              <w:spacing w:after="0"/>
              <w:rPr>
                <w:sz w:val="20"/>
                <w:szCs w:val="20"/>
                <w:color w:val="auto"/>
              </w:rPr>
            </w:pPr>
          </w:p>
        </w:tc>
        <w:tc>
          <w:tcPr>
            <w:tcW w:w="280" w:type="dxa"/>
            <w:vAlign w:val="bottom"/>
          </w:tcPr>
          <w:p>
            <w:pPr>
              <w:jc w:val="right"/>
              <w:ind w:right="58"/>
              <w:spacing w:after="0"/>
              <w:rPr>
                <w:sz w:val="20"/>
                <w:szCs w:val="20"/>
                <w:color w:val="auto"/>
              </w:rPr>
            </w:pPr>
            <w:r>
              <w:rPr>
                <w:rFonts w:ascii="Times New Roman" w:cs="Times New Roman" w:eastAsia="Times New Roman" w:hAnsi="Times New Roman"/>
                <w:sz w:val="20"/>
                <w:szCs w:val="20"/>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188,340</w:t>
            </w:r>
          </w:p>
        </w:tc>
        <w:tc>
          <w:tcPr>
            <w:tcW w:w="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(2,560)</w:t>
            </w:r>
          </w:p>
        </w:tc>
        <w:tc>
          <w:tcPr>
            <w:tcW w:w="80" w:type="dxa"/>
            <w:vAlign w:val="bottom"/>
          </w:tcPr>
          <w:p>
            <w:pPr>
              <w:spacing w:after="0"/>
              <w:rPr>
                <w:sz w:val="20"/>
                <w:szCs w:val="20"/>
                <w:color w:val="auto"/>
              </w:rPr>
            </w:pPr>
          </w:p>
        </w:tc>
        <w:tc>
          <w:tcPr>
            <w:tcW w:w="960" w:type="dxa"/>
            <w:vAlign w:val="bottom"/>
          </w:tcPr>
          <w:p>
            <w:pPr>
              <w:jc w:val="right"/>
              <w:ind w:right="38"/>
              <w:spacing w:after="0"/>
              <w:rPr>
                <w:sz w:val="20"/>
                <w:szCs w:val="20"/>
                <w:color w:val="auto"/>
              </w:rPr>
            </w:pPr>
            <w:r>
              <w:rPr>
                <w:rFonts w:ascii="Times New Roman" w:cs="Times New Roman" w:eastAsia="Times New Roman" w:hAnsi="Times New Roman"/>
                <w:sz w:val="20"/>
                <w:szCs w:val="20"/>
                <w:color w:val="auto"/>
              </w:rPr>
              <w:t>(1)%</w:t>
            </w:r>
          </w:p>
        </w:tc>
        <w:tc>
          <w:tcPr>
            <w:tcW w:w="80" w:type="dxa"/>
            <w:vAlign w:val="bottom"/>
          </w:tcPr>
          <w:p>
            <w:pPr>
              <w:spacing w:after="0"/>
              <w:rPr>
                <w:sz w:val="20"/>
                <w:szCs w:val="20"/>
                <w:color w:val="auto"/>
              </w:rPr>
            </w:pPr>
          </w:p>
        </w:tc>
        <w:tc>
          <w:tcPr>
            <w:tcW w:w="260" w:type="dxa"/>
            <w:vAlign w:val="bottom"/>
          </w:tcPr>
          <w:p>
            <w:pPr>
              <w:jc w:val="right"/>
              <w:ind w:right="58"/>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596,774</w:t>
            </w:r>
          </w:p>
        </w:tc>
        <w:tc>
          <w:tcPr>
            <w:tcW w:w="60" w:type="dxa"/>
            <w:vAlign w:val="bottom"/>
          </w:tcPr>
          <w:p>
            <w:pPr>
              <w:spacing w:after="0"/>
              <w:rPr>
                <w:sz w:val="20"/>
                <w:szCs w:val="20"/>
                <w:color w:val="auto"/>
              </w:rPr>
            </w:pPr>
          </w:p>
        </w:tc>
        <w:tc>
          <w:tcPr>
            <w:tcW w:w="400" w:type="dxa"/>
            <w:vAlign w:val="bottom"/>
          </w:tcPr>
          <w:p>
            <w:pPr>
              <w:jc w:val="right"/>
              <w:ind w:right="178"/>
              <w:spacing w:after="0"/>
              <w:rPr>
                <w:sz w:val="20"/>
                <w:szCs w:val="20"/>
                <w:color w:val="auto"/>
              </w:rPr>
            </w:pPr>
            <w:r>
              <w:rPr>
                <w:rFonts w:ascii="Times New Roman" w:cs="Times New Roman" w:eastAsia="Times New Roman" w:hAnsi="Times New Roman"/>
                <w:sz w:val="20"/>
                <w:szCs w:val="20"/>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559,060</w:t>
            </w:r>
          </w:p>
        </w:tc>
        <w:tc>
          <w:tcPr>
            <w:tcW w:w="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37,714</w:t>
            </w:r>
          </w:p>
        </w:tc>
        <w:tc>
          <w:tcPr>
            <w:tcW w:w="80" w:type="dxa"/>
            <w:vAlign w:val="bottom"/>
          </w:tcPr>
          <w:p>
            <w:pPr>
              <w:spacing w:after="0"/>
              <w:rPr>
                <w:sz w:val="20"/>
                <w:szCs w:val="20"/>
                <w:color w:val="auto"/>
              </w:rPr>
            </w:pPr>
          </w:p>
        </w:tc>
        <w:tc>
          <w:tcPr>
            <w:tcW w:w="960" w:type="dxa"/>
            <w:vAlign w:val="bottom"/>
          </w:tcPr>
          <w:p>
            <w:pPr>
              <w:jc w:val="right"/>
              <w:ind w:right="118"/>
              <w:spacing w:after="0"/>
              <w:rPr>
                <w:sz w:val="20"/>
                <w:szCs w:val="20"/>
                <w:color w:val="auto"/>
              </w:rPr>
            </w:pPr>
            <w:r>
              <w:rPr>
                <w:rFonts w:ascii="Times New Roman" w:cs="Times New Roman" w:eastAsia="Times New Roman" w:hAnsi="Times New Roman"/>
                <w:sz w:val="20"/>
                <w:szCs w:val="20"/>
                <w:color w:val="auto"/>
              </w:rPr>
              <w:t>7%</w:t>
            </w:r>
          </w:p>
        </w:tc>
        <w:tc>
          <w:tcPr>
            <w:tcW w:w="0" w:type="dxa"/>
            <w:vAlign w:val="bottom"/>
          </w:tcPr>
          <w:p>
            <w:pPr>
              <w:spacing w:after="0"/>
              <w:rPr>
                <w:sz w:val="1"/>
                <w:szCs w:val="1"/>
                <w:color w:val="auto"/>
              </w:rPr>
            </w:pPr>
          </w:p>
        </w:tc>
      </w:tr>
      <w:tr>
        <w:trPr>
          <w:trHeight w:val="229"/>
        </w:trPr>
        <w:tc>
          <w:tcPr>
            <w:tcW w:w="150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Cost of goods</w:t>
            </w:r>
          </w:p>
        </w:tc>
        <w:tc>
          <w:tcPr>
            <w:tcW w:w="26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133,769</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138,944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(5,175)</w:t>
            </w:r>
          </w:p>
        </w:tc>
        <w:tc>
          <w:tcPr>
            <w:tcW w:w="80" w:type="dxa"/>
            <w:vAlign w:val="bottom"/>
          </w:tcPr>
          <w:p>
            <w:pPr>
              <w:spacing w:after="0"/>
              <w:rPr>
                <w:sz w:val="19"/>
                <w:szCs w:val="19"/>
                <w:color w:val="auto"/>
              </w:rPr>
            </w:pPr>
          </w:p>
        </w:tc>
        <w:tc>
          <w:tcPr>
            <w:tcW w:w="960" w:type="dxa"/>
            <w:vAlign w:val="bottom"/>
            <w:vMerge w:val="restart"/>
          </w:tcPr>
          <w:p>
            <w:pPr>
              <w:jc w:val="right"/>
              <w:ind w:right="38"/>
              <w:spacing w:after="0"/>
              <w:rPr>
                <w:sz w:val="20"/>
                <w:szCs w:val="20"/>
                <w:color w:val="auto"/>
              </w:rPr>
            </w:pPr>
            <w:r>
              <w:rPr>
                <w:rFonts w:ascii="Times New Roman" w:cs="Times New Roman" w:eastAsia="Times New Roman" w:hAnsi="Times New Roman"/>
                <w:sz w:val="20"/>
                <w:szCs w:val="20"/>
                <w:color w:val="auto"/>
              </w:rPr>
              <w:t>(4)%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423,837</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418,059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5,778</w:t>
            </w:r>
          </w:p>
        </w:tc>
        <w:tc>
          <w:tcPr>
            <w:tcW w:w="80" w:type="dxa"/>
            <w:vAlign w:val="bottom"/>
          </w:tcPr>
          <w:p>
            <w:pPr>
              <w:spacing w:after="0"/>
              <w:rPr>
                <w:sz w:val="19"/>
                <w:szCs w:val="19"/>
                <w:color w:val="auto"/>
              </w:rPr>
            </w:pPr>
          </w:p>
        </w:tc>
        <w:tc>
          <w:tcPr>
            <w:tcW w:w="960" w:type="dxa"/>
            <w:vAlign w:val="bottom"/>
            <w:vMerge w:val="restart"/>
          </w:tcPr>
          <w:p>
            <w:pPr>
              <w:jc w:val="right"/>
              <w:ind w:right="118"/>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151"/>
        </w:trPr>
        <w:tc>
          <w:tcPr>
            <w:tcW w:w="15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sold</w:t>
            </w:r>
          </w:p>
        </w:tc>
        <w:tc>
          <w:tcPr>
            <w:tcW w:w="26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1500" w:type="dxa"/>
            <w:vAlign w:val="bottom"/>
            <w:vMerge w:val="continue"/>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6"/>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Gross profit</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52,011</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49,396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2,615</w:t>
            </w:r>
          </w:p>
        </w:tc>
        <w:tc>
          <w:tcPr>
            <w:tcW w:w="80" w:type="dxa"/>
            <w:vAlign w:val="bottom"/>
          </w:tcPr>
          <w:p>
            <w:pPr>
              <w:spacing w:after="0"/>
              <w:rPr>
                <w:sz w:val="20"/>
                <w:szCs w:val="20"/>
                <w:color w:val="auto"/>
              </w:rPr>
            </w:pPr>
          </w:p>
        </w:tc>
        <w:tc>
          <w:tcPr>
            <w:tcW w:w="960" w:type="dxa"/>
            <w:vAlign w:val="bottom"/>
          </w:tcPr>
          <w:p>
            <w:pPr>
              <w:jc w:val="right"/>
              <w:ind w:right="118"/>
              <w:spacing w:after="0"/>
              <w:rPr>
                <w:sz w:val="20"/>
                <w:szCs w:val="20"/>
                <w:color w:val="auto"/>
              </w:rPr>
            </w:pPr>
            <w:r>
              <w:rPr>
                <w:rFonts w:ascii="Times New Roman" w:cs="Times New Roman" w:eastAsia="Times New Roman" w:hAnsi="Times New Roman"/>
                <w:sz w:val="20"/>
                <w:szCs w:val="20"/>
                <w:color w:val="auto"/>
              </w:rPr>
              <w:t>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172,937</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141,001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31,936</w:t>
            </w:r>
          </w:p>
        </w:tc>
        <w:tc>
          <w:tcPr>
            <w:tcW w:w="80" w:type="dxa"/>
            <w:vAlign w:val="bottom"/>
          </w:tcPr>
          <w:p>
            <w:pPr>
              <w:spacing w:after="0"/>
              <w:rPr>
                <w:sz w:val="20"/>
                <w:szCs w:val="20"/>
                <w:color w:val="auto"/>
              </w:rPr>
            </w:pPr>
          </w:p>
        </w:tc>
        <w:tc>
          <w:tcPr>
            <w:tcW w:w="960" w:type="dxa"/>
            <w:vAlign w:val="bottom"/>
          </w:tcPr>
          <w:p>
            <w:pPr>
              <w:jc w:val="right"/>
              <w:ind w:right="118"/>
              <w:spacing w:after="0"/>
              <w:rPr>
                <w:sz w:val="20"/>
                <w:szCs w:val="20"/>
                <w:color w:val="auto"/>
              </w:rPr>
            </w:pPr>
            <w:r>
              <w:rPr>
                <w:rFonts w:ascii="Times New Roman" w:cs="Times New Roman" w:eastAsia="Times New Roman" w:hAnsi="Times New Roman"/>
                <w:sz w:val="20"/>
                <w:szCs w:val="20"/>
                <w:color w:val="auto"/>
              </w:rPr>
              <w:t>23%</w:t>
            </w:r>
          </w:p>
        </w:tc>
        <w:tc>
          <w:tcPr>
            <w:tcW w:w="0" w:type="dxa"/>
            <w:vAlign w:val="bottom"/>
          </w:tcPr>
          <w:p>
            <w:pPr>
              <w:spacing w:after="0"/>
              <w:rPr>
                <w:sz w:val="1"/>
                <w:szCs w:val="1"/>
                <w:color w:val="auto"/>
              </w:rPr>
            </w:pPr>
          </w:p>
        </w:tc>
      </w:tr>
      <w:tr>
        <w:trPr>
          <w:trHeight w:val="229"/>
        </w:trPr>
        <w:tc>
          <w:tcPr>
            <w:tcW w:w="150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Operating</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expenses:</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500" w:type="dxa"/>
            <w:vAlign w:val="bottom"/>
          </w:tcPr>
          <w:p>
            <w:pPr>
              <w:ind w:left="240"/>
              <w:spacing w:after="0" w:line="229" w:lineRule="exact"/>
              <w:rPr>
                <w:sz w:val="20"/>
                <w:szCs w:val="20"/>
                <w:color w:val="auto"/>
              </w:rPr>
            </w:pPr>
            <w:r>
              <w:rPr>
                <w:rFonts w:ascii="Times New Roman" w:cs="Times New Roman" w:eastAsia="Times New Roman" w:hAnsi="Times New Roman"/>
                <w:sz w:val="20"/>
                <w:szCs w:val="20"/>
                <w:color w:val="auto"/>
              </w:rPr>
              <w:t>General and</w:t>
            </w:r>
          </w:p>
        </w:tc>
        <w:tc>
          <w:tcPr>
            <w:tcW w:w="26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39,246</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39,940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(694)</w:t>
            </w:r>
          </w:p>
        </w:tc>
        <w:tc>
          <w:tcPr>
            <w:tcW w:w="80" w:type="dxa"/>
            <w:vAlign w:val="bottom"/>
          </w:tcPr>
          <w:p>
            <w:pPr>
              <w:spacing w:after="0"/>
              <w:rPr>
                <w:sz w:val="19"/>
                <w:szCs w:val="19"/>
                <w:color w:val="auto"/>
              </w:rPr>
            </w:pPr>
          </w:p>
        </w:tc>
        <w:tc>
          <w:tcPr>
            <w:tcW w:w="960" w:type="dxa"/>
            <w:vAlign w:val="bottom"/>
            <w:vMerge w:val="restart"/>
          </w:tcPr>
          <w:p>
            <w:pPr>
              <w:jc w:val="right"/>
              <w:ind w:right="38"/>
              <w:spacing w:after="0"/>
              <w:rPr>
                <w:sz w:val="20"/>
                <w:szCs w:val="20"/>
                <w:color w:val="auto"/>
              </w:rPr>
            </w:pPr>
            <w:r>
              <w:rPr>
                <w:rFonts w:ascii="Times New Roman" w:cs="Times New Roman" w:eastAsia="Times New Roman" w:hAnsi="Times New Roman"/>
                <w:sz w:val="20"/>
                <w:szCs w:val="20"/>
                <w:color w:val="auto"/>
              </w:rPr>
              <w:t>(2)%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129,356</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123,769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5,587</w:t>
            </w:r>
          </w:p>
        </w:tc>
        <w:tc>
          <w:tcPr>
            <w:tcW w:w="80" w:type="dxa"/>
            <w:vAlign w:val="bottom"/>
          </w:tcPr>
          <w:p>
            <w:pPr>
              <w:spacing w:after="0"/>
              <w:rPr>
                <w:sz w:val="19"/>
                <w:szCs w:val="19"/>
                <w:color w:val="auto"/>
              </w:rPr>
            </w:pPr>
          </w:p>
        </w:tc>
        <w:tc>
          <w:tcPr>
            <w:tcW w:w="960" w:type="dxa"/>
            <w:vAlign w:val="bottom"/>
            <w:vMerge w:val="restart"/>
          </w:tcPr>
          <w:p>
            <w:pPr>
              <w:jc w:val="right"/>
              <w:ind w:right="118"/>
              <w:spacing w:after="0"/>
              <w:rPr>
                <w:sz w:val="20"/>
                <w:szCs w:val="20"/>
                <w:color w:val="auto"/>
              </w:rPr>
            </w:pPr>
            <w:r>
              <w:rPr>
                <w:rFonts w:ascii="Times New Roman" w:cs="Times New Roman" w:eastAsia="Times New Roman" w:hAnsi="Times New Roman"/>
                <w:sz w:val="20"/>
                <w:szCs w:val="20"/>
                <w:color w:val="auto"/>
              </w:rPr>
              <w:t>5%</w:t>
            </w:r>
          </w:p>
        </w:tc>
        <w:tc>
          <w:tcPr>
            <w:tcW w:w="0" w:type="dxa"/>
            <w:vAlign w:val="bottom"/>
          </w:tcPr>
          <w:p>
            <w:pPr>
              <w:spacing w:after="0"/>
              <w:rPr>
                <w:sz w:val="1"/>
                <w:szCs w:val="1"/>
                <w:color w:val="auto"/>
              </w:rPr>
            </w:pPr>
          </w:p>
        </w:tc>
      </w:tr>
      <w:tr>
        <w:trPr>
          <w:trHeight w:val="151"/>
        </w:trPr>
        <w:tc>
          <w:tcPr>
            <w:tcW w:w="150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auto"/>
              </w:rPr>
              <w:t>administrative</w:t>
            </w:r>
          </w:p>
        </w:tc>
        <w:tc>
          <w:tcPr>
            <w:tcW w:w="26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150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5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Selling</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13,905</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9,995</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3,910</w:t>
            </w:r>
          </w:p>
        </w:tc>
        <w:tc>
          <w:tcPr>
            <w:tcW w:w="80" w:type="dxa"/>
            <w:vAlign w:val="bottom"/>
          </w:tcPr>
          <w:p>
            <w:pPr>
              <w:spacing w:after="0"/>
              <w:rPr>
                <w:sz w:val="22"/>
                <w:szCs w:val="22"/>
                <w:color w:val="auto"/>
              </w:rPr>
            </w:pPr>
          </w:p>
        </w:tc>
        <w:tc>
          <w:tcPr>
            <w:tcW w:w="960" w:type="dxa"/>
            <w:vAlign w:val="bottom"/>
          </w:tcPr>
          <w:p>
            <w:pPr>
              <w:jc w:val="right"/>
              <w:ind w:right="118"/>
              <w:spacing w:after="0"/>
              <w:rPr>
                <w:sz w:val="20"/>
                <w:szCs w:val="20"/>
                <w:color w:val="auto"/>
              </w:rPr>
            </w:pPr>
            <w:r>
              <w:rPr>
                <w:rFonts w:ascii="Times New Roman" w:cs="Times New Roman" w:eastAsia="Times New Roman" w:hAnsi="Times New Roman"/>
                <w:sz w:val="20"/>
                <w:szCs w:val="20"/>
                <w:color w:val="auto"/>
              </w:rPr>
              <w:t>39%</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41,757</w:t>
            </w: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24,437</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17,320</w:t>
            </w:r>
          </w:p>
        </w:tc>
        <w:tc>
          <w:tcPr>
            <w:tcW w:w="80" w:type="dxa"/>
            <w:vAlign w:val="bottom"/>
          </w:tcPr>
          <w:p>
            <w:pPr>
              <w:spacing w:after="0"/>
              <w:rPr>
                <w:sz w:val="22"/>
                <w:szCs w:val="22"/>
                <w:color w:val="auto"/>
              </w:rPr>
            </w:pPr>
          </w:p>
        </w:tc>
        <w:tc>
          <w:tcPr>
            <w:tcW w:w="960" w:type="dxa"/>
            <w:vAlign w:val="bottom"/>
          </w:tcPr>
          <w:p>
            <w:pPr>
              <w:jc w:val="right"/>
              <w:ind w:right="118"/>
              <w:spacing w:after="0"/>
              <w:rPr>
                <w:sz w:val="20"/>
                <w:szCs w:val="20"/>
                <w:color w:val="auto"/>
              </w:rPr>
            </w:pPr>
            <w:r>
              <w:rPr>
                <w:rFonts w:ascii="Times New Roman" w:cs="Times New Roman" w:eastAsia="Times New Roman" w:hAnsi="Times New Roman"/>
                <w:sz w:val="20"/>
                <w:szCs w:val="20"/>
                <w:color w:val="auto"/>
              </w:rPr>
              <w:t>71%</w:t>
            </w:r>
          </w:p>
        </w:tc>
        <w:tc>
          <w:tcPr>
            <w:tcW w:w="0" w:type="dxa"/>
            <w:vAlign w:val="bottom"/>
          </w:tcPr>
          <w:p>
            <w:pPr>
              <w:spacing w:after="0"/>
              <w:rPr>
                <w:sz w:val="1"/>
                <w:szCs w:val="1"/>
                <w:color w:val="auto"/>
              </w:rPr>
            </w:pPr>
          </w:p>
        </w:tc>
      </w:tr>
      <w:tr>
        <w:trPr>
          <w:trHeight w:val="254"/>
        </w:trPr>
        <w:tc>
          <w:tcPr>
            <w:tcW w:w="15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Amortization</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23,182</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21,558</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1,624</w:t>
            </w:r>
          </w:p>
        </w:tc>
        <w:tc>
          <w:tcPr>
            <w:tcW w:w="80" w:type="dxa"/>
            <w:vAlign w:val="bottom"/>
          </w:tcPr>
          <w:p>
            <w:pPr>
              <w:spacing w:after="0"/>
              <w:rPr>
                <w:sz w:val="22"/>
                <w:szCs w:val="22"/>
                <w:color w:val="auto"/>
              </w:rPr>
            </w:pPr>
          </w:p>
        </w:tc>
        <w:tc>
          <w:tcPr>
            <w:tcW w:w="960" w:type="dxa"/>
            <w:vAlign w:val="bottom"/>
          </w:tcPr>
          <w:p>
            <w:pPr>
              <w:jc w:val="right"/>
              <w:ind w:right="118"/>
              <w:spacing w:after="0"/>
              <w:rPr>
                <w:sz w:val="20"/>
                <w:szCs w:val="20"/>
                <w:color w:val="auto"/>
              </w:rPr>
            </w:pPr>
            <w:r>
              <w:rPr>
                <w:rFonts w:ascii="Times New Roman" w:cs="Times New Roman" w:eastAsia="Times New Roman" w:hAnsi="Times New Roman"/>
                <w:sz w:val="20"/>
                <w:szCs w:val="20"/>
                <w:color w:val="auto"/>
              </w:rPr>
              <w:t>8%</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67,913</w:t>
            </w: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65,700</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2,213</w:t>
            </w:r>
          </w:p>
        </w:tc>
        <w:tc>
          <w:tcPr>
            <w:tcW w:w="80" w:type="dxa"/>
            <w:vAlign w:val="bottom"/>
          </w:tcPr>
          <w:p>
            <w:pPr>
              <w:spacing w:after="0"/>
              <w:rPr>
                <w:sz w:val="22"/>
                <w:szCs w:val="22"/>
                <w:color w:val="auto"/>
              </w:rPr>
            </w:pPr>
          </w:p>
        </w:tc>
        <w:tc>
          <w:tcPr>
            <w:tcW w:w="960" w:type="dxa"/>
            <w:vAlign w:val="bottom"/>
          </w:tcPr>
          <w:p>
            <w:pPr>
              <w:jc w:val="right"/>
              <w:ind w:right="118"/>
              <w:spacing w:after="0"/>
              <w:rPr>
                <w:sz w:val="20"/>
                <w:szCs w:val="20"/>
                <w:color w:val="auto"/>
              </w:rPr>
            </w:pPr>
            <w:r>
              <w:rPr>
                <w:rFonts w:ascii="Times New Roman" w:cs="Times New Roman" w:eastAsia="Times New Roman" w:hAnsi="Times New Roman"/>
                <w:sz w:val="20"/>
                <w:szCs w:val="20"/>
                <w:color w:val="auto"/>
              </w:rPr>
              <w:t>3%</w:t>
            </w:r>
          </w:p>
        </w:tc>
        <w:tc>
          <w:tcPr>
            <w:tcW w:w="0" w:type="dxa"/>
            <w:vAlign w:val="bottom"/>
          </w:tcPr>
          <w:p>
            <w:pPr>
              <w:spacing w:after="0"/>
              <w:rPr>
                <w:sz w:val="1"/>
                <w:szCs w:val="1"/>
                <w:color w:val="auto"/>
              </w:rPr>
            </w:pPr>
          </w:p>
        </w:tc>
      </w:tr>
      <w:tr>
        <w:trPr>
          <w:trHeight w:val="229"/>
        </w:trPr>
        <w:tc>
          <w:tcPr>
            <w:tcW w:w="1500" w:type="dxa"/>
            <w:vAlign w:val="bottom"/>
          </w:tcPr>
          <w:p>
            <w:pPr>
              <w:ind w:left="240"/>
              <w:spacing w:after="0" w:line="229" w:lineRule="exact"/>
              <w:rPr>
                <w:sz w:val="20"/>
                <w:szCs w:val="20"/>
                <w:color w:val="auto"/>
              </w:rPr>
            </w:pPr>
            <w:r>
              <w:rPr>
                <w:rFonts w:ascii="Times New Roman" w:cs="Times New Roman" w:eastAsia="Times New Roman" w:hAnsi="Times New Roman"/>
                <w:sz w:val="20"/>
                <w:szCs w:val="20"/>
                <w:color w:val="auto"/>
              </w:rPr>
              <w:t>Marketing</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500" w:type="dxa"/>
            <w:vAlign w:val="bottom"/>
          </w:tcPr>
          <w:p>
            <w:pPr>
              <w:ind w:left="240"/>
              <w:spacing w:after="0" w:line="229" w:lineRule="exact"/>
              <w:rPr>
                <w:sz w:val="20"/>
                <w:szCs w:val="20"/>
                <w:color w:val="auto"/>
              </w:rPr>
            </w:pPr>
            <w:r>
              <w:rPr>
                <w:rFonts w:ascii="Times New Roman" w:cs="Times New Roman" w:eastAsia="Times New Roman" w:hAnsi="Times New Roman"/>
                <w:sz w:val="20"/>
                <w:szCs w:val="20"/>
                <w:color w:val="auto"/>
              </w:rPr>
              <w:t>and</w:t>
            </w:r>
          </w:p>
        </w:tc>
        <w:tc>
          <w:tcPr>
            <w:tcW w:w="260" w:type="dxa"/>
            <w:vAlign w:val="bottom"/>
          </w:tcPr>
          <w:p>
            <w:pPr>
              <w:spacing w:after="0"/>
              <w:rPr>
                <w:sz w:val="19"/>
                <w:szCs w:val="19"/>
                <w:color w:val="auto"/>
              </w:rPr>
            </w:pPr>
          </w:p>
        </w:tc>
        <w:tc>
          <w:tcPr>
            <w:tcW w:w="96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6,793</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11,191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(4,398)</w:t>
            </w:r>
          </w:p>
        </w:tc>
        <w:tc>
          <w:tcPr>
            <w:tcW w:w="80" w:type="dxa"/>
            <w:vAlign w:val="bottom"/>
          </w:tcPr>
          <w:p>
            <w:pPr>
              <w:spacing w:after="0"/>
              <w:rPr>
                <w:sz w:val="19"/>
                <w:szCs w:val="19"/>
                <w:color w:val="auto"/>
              </w:rPr>
            </w:pPr>
          </w:p>
        </w:tc>
        <w:tc>
          <w:tcPr>
            <w:tcW w:w="960" w:type="dxa"/>
            <w:vAlign w:val="bottom"/>
          </w:tcPr>
          <w:p>
            <w:pPr>
              <w:jc w:val="right"/>
              <w:ind w:right="38"/>
              <w:spacing w:after="0" w:line="229" w:lineRule="exact"/>
              <w:rPr>
                <w:sz w:val="20"/>
                <w:szCs w:val="20"/>
                <w:color w:val="auto"/>
              </w:rPr>
            </w:pPr>
            <w:r>
              <w:rPr>
                <w:rFonts w:ascii="Times New Roman" w:cs="Times New Roman" w:eastAsia="Times New Roman" w:hAnsi="Times New Roman"/>
                <w:sz w:val="20"/>
                <w:szCs w:val="20"/>
                <w:color w:val="auto"/>
              </w:rPr>
              <w:t>(39)%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28,079</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28,934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(855)</w:t>
            </w:r>
          </w:p>
        </w:tc>
        <w:tc>
          <w:tcPr>
            <w:tcW w:w="80" w:type="dxa"/>
            <w:vAlign w:val="bottom"/>
          </w:tcPr>
          <w:p>
            <w:pPr>
              <w:spacing w:after="0"/>
              <w:rPr>
                <w:sz w:val="19"/>
                <w:szCs w:val="19"/>
                <w:color w:val="auto"/>
              </w:rPr>
            </w:pPr>
          </w:p>
        </w:tc>
        <w:tc>
          <w:tcPr>
            <w:tcW w:w="960" w:type="dxa"/>
            <w:vAlign w:val="bottom"/>
          </w:tcPr>
          <w:p>
            <w:pPr>
              <w:jc w:val="right"/>
              <w:ind w:right="58"/>
              <w:spacing w:after="0" w:line="229" w:lineRule="exact"/>
              <w:rPr>
                <w:sz w:val="20"/>
                <w:szCs w:val="20"/>
                <w:color w:val="auto"/>
              </w:rPr>
            </w:pPr>
            <w:r>
              <w:rPr>
                <w:rFonts w:ascii="Times New Roman" w:cs="Times New Roman" w:eastAsia="Times New Roman" w:hAnsi="Times New Roman"/>
                <w:sz w:val="20"/>
                <w:szCs w:val="20"/>
                <w:color w:val="auto"/>
              </w:rPr>
              <w:t>(3)%</w:t>
            </w:r>
          </w:p>
        </w:tc>
        <w:tc>
          <w:tcPr>
            <w:tcW w:w="0" w:type="dxa"/>
            <w:vAlign w:val="bottom"/>
          </w:tcPr>
          <w:p>
            <w:pPr>
              <w:spacing w:after="0"/>
              <w:rPr>
                <w:sz w:val="1"/>
                <w:szCs w:val="1"/>
                <w:color w:val="auto"/>
              </w:rPr>
            </w:pPr>
          </w:p>
        </w:tc>
      </w:tr>
      <w:tr>
        <w:trPr>
          <w:trHeight w:val="254"/>
        </w:trPr>
        <w:tc>
          <w:tcPr>
            <w:tcW w:w="15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promotion</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500" w:type="dxa"/>
            <w:vAlign w:val="bottom"/>
          </w:tcPr>
          <w:p>
            <w:pPr>
              <w:ind w:left="240"/>
              <w:spacing w:after="0" w:line="229" w:lineRule="exact"/>
              <w:rPr>
                <w:sz w:val="20"/>
                <w:szCs w:val="20"/>
                <w:color w:val="auto"/>
              </w:rPr>
            </w:pPr>
            <w:r>
              <w:rPr>
                <w:rFonts w:ascii="Times New Roman" w:cs="Times New Roman" w:eastAsia="Times New Roman" w:hAnsi="Times New Roman"/>
                <w:sz w:val="20"/>
                <w:szCs w:val="20"/>
                <w:color w:val="auto"/>
              </w:rPr>
              <w:t>Research and</w:t>
            </w:r>
          </w:p>
        </w:tc>
        <w:tc>
          <w:tcPr>
            <w:tcW w:w="26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85</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80" w:type="dxa"/>
            <w:vAlign w:val="bottom"/>
          </w:tcPr>
          <w:p>
            <w:pPr>
              <w:spacing w:after="0"/>
              <w:rPr>
                <w:sz w:val="19"/>
                <w:szCs w:val="19"/>
                <w:color w:val="auto"/>
              </w:rPr>
            </w:pPr>
          </w:p>
        </w:tc>
        <w:tc>
          <w:tcPr>
            <w:tcW w:w="960" w:type="dxa"/>
            <w:vAlign w:val="bottom"/>
            <w:vMerge w:val="restart"/>
          </w:tcPr>
          <w:p>
            <w:pPr>
              <w:jc w:val="right"/>
              <w:ind w:right="38"/>
              <w:spacing w:after="0"/>
              <w:rPr>
                <w:sz w:val="20"/>
                <w:szCs w:val="20"/>
                <w:color w:val="auto"/>
              </w:rPr>
            </w:pPr>
            <w:r>
              <w:rPr>
                <w:rFonts w:ascii="Times New Roman" w:cs="Times New Roman" w:eastAsia="Times New Roman" w:hAnsi="Times New Roman"/>
                <w:sz w:val="20"/>
                <w:szCs w:val="20"/>
                <w:color w:val="auto"/>
              </w:rPr>
              <w:t>(20)%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250</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241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80" w:type="dxa"/>
            <w:vAlign w:val="bottom"/>
          </w:tcPr>
          <w:p>
            <w:pPr>
              <w:spacing w:after="0"/>
              <w:rPr>
                <w:sz w:val="19"/>
                <w:szCs w:val="19"/>
                <w:color w:val="auto"/>
              </w:rPr>
            </w:pPr>
          </w:p>
        </w:tc>
        <w:tc>
          <w:tcPr>
            <w:tcW w:w="960" w:type="dxa"/>
            <w:vAlign w:val="bottom"/>
            <w:vMerge w:val="restart"/>
          </w:tcPr>
          <w:p>
            <w:pPr>
              <w:jc w:val="right"/>
              <w:ind w:right="118"/>
              <w:spacing w:after="0"/>
              <w:rPr>
                <w:sz w:val="20"/>
                <w:szCs w:val="20"/>
                <w:color w:val="auto"/>
              </w:rPr>
            </w:pPr>
            <w:r>
              <w:rPr>
                <w:rFonts w:ascii="Times New Roman" w:cs="Times New Roman" w:eastAsia="Times New Roman" w:hAnsi="Times New Roman"/>
                <w:sz w:val="20"/>
                <w:szCs w:val="20"/>
                <w:color w:val="auto"/>
              </w:rPr>
              <w:t>4%</w:t>
            </w:r>
          </w:p>
        </w:tc>
        <w:tc>
          <w:tcPr>
            <w:tcW w:w="0" w:type="dxa"/>
            <w:vAlign w:val="bottom"/>
          </w:tcPr>
          <w:p>
            <w:pPr>
              <w:spacing w:after="0"/>
              <w:rPr>
                <w:sz w:val="1"/>
                <w:szCs w:val="1"/>
                <w:color w:val="auto"/>
              </w:rPr>
            </w:pPr>
          </w:p>
        </w:tc>
      </w:tr>
      <w:tr>
        <w:trPr>
          <w:trHeight w:val="151"/>
        </w:trPr>
        <w:tc>
          <w:tcPr>
            <w:tcW w:w="150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auto"/>
              </w:rPr>
              <w:t>development</w:t>
            </w:r>
          </w:p>
        </w:tc>
        <w:tc>
          <w:tcPr>
            <w:tcW w:w="26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150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1500" w:type="dxa"/>
            <w:vAlign w:val="bottom"/>
          </w:tcPr>
          <w:p>
            <w:pPr>
              <w:ind w:left="240"/>
              <w:spacing w:after="0" w:line="229" w:lineRule="exact"/>
              <w:rPr>
                <w:sz w:val="20"/>
                <w:szCs w:val="20"/>
                <w:color w:val="auto"/>
              </w:rPr>
            </w:pPr>
            <w:r>
              <w:rPr>
                <w:rFonts w:ascii="Times New Roman" w:cs="Times New Roman" w:eastAsia="Times New Roman" w:hAnsi="Times New Roman"/>
                <w:sz w:val="20"/>
                <w:szCs w:val="20"/>
                <w:color w:val="auto"/>
              </w:rPr>
              <w:t>Change in fair</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500" w:type="dxa"/>
            <w:vAlign w:val="bottom"/>
          </w:tcPr>
          <w:p>
            <w:pPr>
              <w:ind w:left="240"/>
              <w:spacing w:after="0" w:line="229" w:lineRule="exact"/>
              <w:rPr>
                <w:sz w:val="20"/>
                <w:szCs w:val="20"/>
                <w:color w:val="auto"/>
              </w:rPr>
            </w:pPr>
            <w:r>
              <w:rPr>
                <w:rFonts w:ascii="Times New Roman" w:cs="Times New Roman" w:eastAsia="Times New Roman" w:hAnsi="Times New Roman"/>
                <w:sz w:val="20"/>
                <w:szCs w:val="20"/>
                <w:color w:val="auto"/>
              </w:rPr>
              <w:t>value of</w:t>
            </w:r>
          </w:p>
        </w:tc>
        <w:tc>
          <w:tcPr>
            <w:tcW w:w="260" w:type="dxa"/>
            <w:vAlign w:val="bottom"/>
          </w:tcPr>
          <w:p>
            <w:pPr>
              <w:spacing w:after="0"/>
              <w:rPr>
                <w:sz w:val="19"/>
                <w:szCs w:val="19"/>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19"/>
                <w:szCs w:val="19"/>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(5,983)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5,983</w:t>
            </w:r>
          </w:p>
        </w:tc>
        <w:tc>
          <w:tcPr>
            <w:tcW w:w="80" w:type="dxa"/>
            <w:vAlign w:val="bottom"/>
          </w:tcPr>
          <w:p>
            <w:pPr>
              <w:spacing w:after="0"/>
              <w:rPr>
                <w:sz w:val="19"/>
                <w:szCs w:val="19"/>
                <w:color w:val="auto"/>
              </w:rPr>
            </w:pPr>
          </w:p>
        </w:tc>
        <w:tc>
          <w:tcPr>
            <w:tcW w:w="960" w:type="dxa"/>
            <w:vAlign w:val="bottom"/>
            <w:vMerge w:val="restart"/>
          </w:tcPr>
          <w:p>
            <w:pPr>
              <w:jc w:val="right"/>
              <w:ind w:right="38"/>
              <w:spacing w:after="0"/>
              <w:rPr>
                <w:sz w:val="20"/>
                <w:szCs w:val="20"/>
                <w:color w:val="auto"/>
              </w:rPr>
            </w:pPr>
            <w:r>
              <w:rPr>
                <w:rFonts w:ascii="Times New Roman" w:cs="Times New Roman" w:eastAsia="Times New Roman" w:hAnsi="Times New Roman"/>
                <w:sz w:val="20"/>
                <w:szCs w:val="20"/>
                <w:color w:val="auto"/>
              </w:rPr>
              <w:t>(100)%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tcPr>
          <w:p>
            <w:pPr>
              <w:spacing w:after="0"/>
              <w:rPr>
                <w:sz w:val="19"/>
                <w:szCs w:val="19"/>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(16,790)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16,790</w:t>
            </w:r>
          </w:p>
        </w:tc>
        <w:tc>
          <w:tcPr>
            <w:tcW w:w="80" w:type="dxa"/>
            <w:vAlign w:val="bottom"/>
          </w:tcPr>
          <w:p>
            <w:pPr>
              <w:spacing w:after="0"/>
              <w:rPr>
                <w:sz w:val="19"/>
                <w:szCs w:val="19"/>
                <w:color w:val="auto"/>
              </w:rPr>
            </w:pPr>
          </w:p>
        </w:tc>
        <w:tc>
          <w:tcPr>
            <w:tcW w:w="960" w:type="dxa"/>
            <w:vAlign w:val="bottom"/>
            <w:vMerge w:val="restart"/>
          </w:tcPr>
          <w:p>
            <w:pPr>
              <w:jc w:val="right"/>
              <w:ind w:right="58"/>
              <w:spacing w:after="0"/>
              <w:rPr>
                <w:sz w:val="20"/>
                <w:szCs w:val="20"/>
                <w:color w:val="auto"/>
              </w:rPr>
            </w:pPr>
            <w:r>
              <w:rPr>
                <w:rFonts w:ascii="Times New Roman" w:cs="Times New Roman" w:eastAsia="Times New Roman" w:hAnsi="Times New Roman"/>
                <w:sz w:val="20"/>
                <w:szCs w:val="20"/>
                <w:color w:val="auto"/>
              </w:rPr>
              <w:t>(100)%</w:t>
            </w:r>
          </w:p>
        </w:tc>
        <w:tc>
          <w:tcPr>
            <w:tcW w:w="0" w:type="dxa"/>
            <w:vAlign w:val="bottom"/>
          </w:tcPr>
          <w:p>
            <w:pPr>
              <w:spacing w:after="0"/>
              <w:rPr>
                <w:sz w:val="1"/>
                <w:szCs w:val="1"/>
                <w:color w:val="auto"/>
              </w:rPr>
            </w:pPr>
          </w:p>
        </w:tc>
      </w:tr>
      <w:tr>
        <w:trPr>
          <w:trHeight w:val="151"/>
        </w:trPr>
        <w:tc>
          <w:tcPr>
            <w:tcW w:w="1500" w:type="dxa"/>
            <w:vAlign w:val="bottom"/>
            <w:vMerge w:val="restart"/>
          </w:tcPr>
          <w:p>
            <w:pPr>
              <w:ind w:left="240"/>
              <w:spacing w:after="0" w:line="229" w:lineRule="exact"/>
              <w:rPr>
                <w:sz w:val="20"/>
                <w:szCs w:val="20"/>
                <w:color w:val="auto"/>
              </w:rPr>
            </w:pPr>
            <w:r>
              <w:rPr>
                <w:rFonts w:ascii="Times New Roman" w:cs="Times New Roman" w:eastAsia="Times New Roman" w:hAnsi="Times New Roman"/>
                <w:sz w:val="20"/>
                <w:szCs w:val="20"/>
                <w:color w:val="auto"/>
              </w:rPr>
              <w:t>contingent</w:t>
            </w:r>
          </w:p>
        </w:tc>
        <w:tc>
          <w:tcPr>
            <w:tcW w:w="26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8"/>
        </w:trPr>
        <w:tc>
          <w:tcPr>
            <w:tcW w:w="15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9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4"/>
        </w:trPr>
        <w:tc>
          <w:tcPr>
            <w:tcW w:w="15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consideration</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15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Impairments</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699,235</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699,235</w:t>
            </w:r>
          </w:p>
        </w:tc>
        <w:tc>
          <w:tcPr>
            <w:tcW w:w="80" w:type="dxa"/>
            <w:vAlign w:val="bottom"/>
          </w:tcPr>
          <w:p>
            <w:pPr>
              <w:spacing w:after="0"/>
              <w:rPr>
                <w:sz w:val="22"/>
                <w:szCs w:val="22"/>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NM</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699,235</w:t>
            </w: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699,235</w:t>
            </w:r>
          </w:p>
        </w:tc>
        <w:tc>
          <w:tcPr>
            <w:tcW w:w="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NM</w:t>
            </w:r>
          </w:p>
        </w:tc>
        <w:tc>
          <w:tcPr>
            <w:tcW w:w="0" w:type="dxa"/>
            <w:vAlign w:val="bottom"/>
          </w:tcPr>
          <w:p>
            <w:pPr>
              <w:spacing w:after="0"/>
              <w:rPr>
                <w:sz w:val="1"/>
                <w:szCs w:val="1"/>
                <w:color w:val="auto"/>
              </w:rPr>
            </w:pPr>
          </w:p>
        </w:tc>
      </w:tr>
      <w:tr>
        <w:trPr>
          <w:trHeight w:val="229"/>
        </w:trPr>
        <w:tc>
          <w:tcPr>
            <w:tcW w:w="1500" w:type="dxa"/>
            <w:vAlign w:val="bottom"/>
          </w:tcPr>
          <w:p>
            <w:pPr>
              <w:ind w:left="240"/>
              <w:spacing w:after="0" w:line="229" w:lineRule="exact"/>
              <w:rPr>
                <w:sz w:val="20"/>
                <w:szCs w:val="20"/>
                <w:color w:val="auto"/>
              </w:rPr>
            </w:pPr>
            <w:r>
              <w:rPr>
                <w:rFonts w:ascii="Times New Roman" w:cs="Times New Roman" w:eastAsia="Times New Roman" w:hAnsi="Times New Roman"/>
                <w:sz w:val="20"/>
                <w:szCs w:val="20"/>
                <w:color w:val="auto"/>
              </w:rPr>
              <w:t>Other than</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500" w:type="dxa"/>
            <w:vAlign w:val="bottom"/>
          </w:tcPr>
          <w:p>
            <w:pPr>
              <w:ind w:left="240"/>
              <w:spacing w:after="0" w:line="229" w:lineRule="exact"/>
              <w:rPr>
                <w:sz w:val="20"/>
                <w:szCs w:val="20"/>
                <w:color w:val="auto"/>
              </w:rPr>
            </w:pPr>
            <w:r>
              <w:rPr>
                <w:rFonts w:ascii="Times New Roman" w:cs="Times New Roman" w:eastAsia="Times New Roman" w:hAnsi="Times New Roman"/>
                <w:sz w:val="20"/>
                <w:szCs w:val="20"/>
                <w:color w:val="auto"/>
              </w:rPr>
              <w:t>temporary</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500" w:type="dxa"/>
            <w:vAlign w:val="bottom"/>
          </w:tcPr>
          <w:p>
            <w:pPr>
              <w:ind w:left="240"/>
              <w:spacing w:after="0" w:line="229" w:lineRule="exact"/>
              <w:rPr>
                <w:sz w:val="20"/>
                <w:szCs w:val="20"/>
                <w:color w:val="auto"/>
              </w:rPr>
            </w:pPr>
            <w:r>
              <w:rPr>
                <w:rFonts w:ascii="Times New Roman" w:cs="Times New Roman" w:eastAsia="Times New Roman" w:hAnsi="Times New Roman"/>
                <w:sz w:val="20"/>
                <w:szCs w:val="20"/>
                <w:color w:val="auto"/>
              </w:rPr>
              <w:t>change in fair</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500" w:type="dxa"/>
            <w:vAlign w:val="bottom"/>
          </w:tcPr>
          <w:p>
            <w:pPr>
              <w:ind w:left="240"/>
              <w:spacing w:after="0" w:line="229" w:lineRule="exact"/>
              <w:rPr>
                <w:sz w:val="20"/>
                <w:szCs w:val="20"/>
                <w:color w:val="auto"/>
              </w:rPr>
            </w:pPr>
            <w:r>
              <w:rPr>
                <w:rFonts w:ascii="Times New Roman" w:cs="Times New Roman" w:eastAsia="Times New Roman" w:hAnsi="Times New Roman"/>
                <w:sz w:val="20"/>
                <w:szCs w:val="20"/>
                <w:color w:val="auto"/>
              </w:rPr>
              <w:t>value of</w:t>
            </w:r>
          </w:p>
        </w:tc>
        <w:tc>
          <w:tcPr>
            <w:tcW w:w="260" w:type="dxa"/>
            <w:vAlign w:val="bottom"/>
          </w:tcPr>
          <w:p>
            <w:pPr>
              <w:spacing w:after="0"/>
              <w:rPr>
                <w:sz w:val="19"/>
                <w:szCs w:val="19"/>
                <w:color w:val="auto"/>
              </w:rPr>
            </w:pPr>
          </w:p>
        </w:tc>
        <w:tc>
          <w:tcPr>
            <w:tcW w:w="96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20,000</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42,681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(22,681)</w:t>
            </w:r>
          </w:p>
        </w:tc>
        <w:tc>
          <w:tcPr>
            <w:tcW w:w="80" w:type="dxa"/>
            <w:vAlign w:val="bottom"/>
          </w:tcPr>
          <w:p>
            <w:pPr>
              <w:spacing w:after="0"/>
              <w:rPr>
                <w:sz w:val="19"/>
                <w:szCs w:val="19"/>
                <w:color w:val="auto"/>
              </w:rPr>
            </w:pPr>
          </w:p>
        </w:tc>
        <w:tc>
          <w:tcPr>
            <w:tcW w:w="960" w:type="dxa"/>
            <w:vAlign w:val="bottom"/>
          </w:tcPr>
          <w:p>
            <w:pPr>
              <w:jc w:val="right"/>
              <w:ind w:right="38"/>
              <w:spacing w:after="0" w:line="229" w:lineRule="exact"/>
              <w:rPr>
                <w:sz w:val="20"/>
                <w:szCs w:val="20"/>
                <w:color w:val="auto"/>
              </w:rPr>
            </w:pPr>
            <w:r>
              <w:rPr>
                <w:rFonts w:ascii="Times New Roman" w:cs="Times New Roman" w:eastAsia="Times New Roman" w:hAnsi="Times New Roman"/>
                <w:sz w:val="20"/>
                <w:szCs w:val="20"/>
                <w:color w:val="auto"/>
              </w:rPr>
              <w:t>(53)%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20,000</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42,681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(22,681)</w:t>
            </w:r>
          </w:p>
        </w:tc>
        <w:tc>
          <w:tcPr>
            <w:tcW w:w="80" w:type="dxa"/>
            <w:vAlign w:val="bottom"/>
          </w:tcPr>
          <w:p>
            <w:pPr>
              <w:spacing w:after="0"/>
              <w:rPr>
                <w:sz w:val="19"/>
                <w:szCs w:val="19"/>
                <w:color w:val="auto"/>
              </w:rPr>
            </w:pPr>
          </w:p>
        </w:tc>
        <w:tc>
          <w:tcPr>
            <w:tcW w:w="960" w:type="dxa"/>
            <w:vAlign w:val="bottom"/>
          </w:tcPr>
          <w:p>
            <w:pPr>
              <w:jc w:val="right"/>
              <w:ind w:right="58"/>
              <w:spacing w:after="0" w:line="229" w:lineRule="exact"/>
              <w:rPr>
                <w:sz w:val="20"/>
                <w:szCs w:val="20"/>
                <w:color w:val="auto"/>
              </w:rPr>
            </w:pPr>
            <w:r>
              <w:rPr>
                <w:rFonts w:ascii="Times New Roman" w:cs="Times New Roman" w:eastAsia="Times New Roman" w:hAnsi="Times New Roman"/>
                <w:sz w:val="20"/>
                <w:szCs w:val="20"/>
                <w:color w:val="auto"/>
              </w:rPr>
              <w:t>(53)%</w:t>
            </w:r>
          </w:p>
        </w:tc>
        <w:tc>
          <w:tcPr>
            <w:tcW w:w="0" w:type="dxa"/>
            <w:vAlign w:val="bottom"/>
          </w:tcPr>
          <w:p>
            <w:pPr>
              <w:spacing w:after="0"/>
              <w:rPr>
                <w:sz w:val="1"/>
                <w:szCs w:val="1"/>
                <w:color w:val="auto"/>
              </w:rPr>
            </w:pPr>
          </w:p>
        </w:tc>
      </w:tr>
      <w:tr>
        <w:trPr>
          <w:trHeight w:val="229"/>
        </w:trPr>
        <w:tc>
          <w:tcPr>
            <w:tcW w:w="1500" w:type="dxa"/>
            <w:vAlign w:val="bottom"/>
          </w:tcPr>
          <w:p>
            <w:pPr>
              <w:ind w:left="240"/>
              <w:spacing w:after="0" w:line="229" w:lineRule="exact"/>
              <w:rPr>
                <w:sz w:val="20"/>
                <w:szCs w:val="20"/>
                <w:color w:val="auto"/>
              </w:rPr>
            </w:pPr>
            <w:r>
              <w:rPr>
                <w:rFonts w:ascii="Times New Roman" w:cs="Times New Roman" w:eastAsia="Times New Roman" w:hAnsi="Times New Roman"/>
                <w:sz w:val="20"/>
                <w:szCs w:val="20"/>
                <w:color w:val="auto"/>
              </w:rPr>
              <w:t>convertible</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500" w:type="dxa"/>
            <w:vAlign w:val="bottom"/>
          </w:tcPr>
          <w:p>
            <w:pPr>
              <w:ind w:left="240"/>
              <w:spacing w:after="0" w:line="229" w:lineRule="exact"/>
              <w:rPr>
                <w:sz w:val="20"/>
                <w:szCs w:val="20"/>
                <w:color w:val="auto"/>
              </w:rPr>
            </w:pPr>
            <w:r>
              <w:rPr>
                <w:rFonts w:ascii="Times New Roman" w:cs="Times New Roman" w:eastAsia="Times New Roman" w:hAnsi="Times New Roman"/>
                <w:sz w:val="20"/>
                <w:szCs w:val="20"/>
                <w:color w:val="auto"/>
              </w:rPr>
              <w:t>notes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15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receivable</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500" w:type="dxa"/>
            <w:vAlign w:val="bottom"/>
          </w:tcPr>
          <w:p>
            <w:pPr>
              <w:ind w:left="240"/>
              <w:spacing w:after="0" w:line="229" w:lineRule="exact"/>
              <w:rPr>
                <w:sz w:val="20"/>
                <w:szCs w:val="20"/>
                <w:color w:val="auto"/>
              </w:rPr>
            </w:pPr>
            <w:r>
              <w:rPr>
                <w:rFonts w:ascii="Times New Roman" w:cs="Times New Roman" w:eastAsia="Times New Roman" w:hAnsi="Times New Roman"/>
                <w:sz w:val="20"/>
                <w:szCs w:val="20"/>
                <w:color w:val="auto"/>
              </w:rPr>
              <w:t>Litigation</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500" w:type="dxa"/>
            <w:vAlign w:val="bottom"/>
          </w:tcPr>
          <w:p>
            <w:pPr>
              <w:ind w:left="240"/>
              <w:spacing w:after="0" w:line="229" w:lineRule="exact"/>
              <w:rPr>
                <w:sz w:val="20"/>
                <w:szCs w:val="20"/>
                <w:color w:val="auto"/>
              </w:rPr>
            </w:pPr>
            <w:r>
              <w:rPr>
                <w:rFonts w:ascii="Times New Roman" w:cs="Times New Roman" w:eastAsia="Times New Roman" w:hAnsi="Times New Roman"/>
                <w:sz w:val="20"/>
                <w:szCs w:val="20"/>
                <w:color w:val="auto"/>
              </w:rPr>
              <w:t>costs, net of</w:t>
            </w:r>
          </w:p>
        </w:tc>
        <w:tc>
          <w:tcPr>
            <w:tcW w:w="260" w:type="dxa"/>
            <w:vAlign w:val="bottom"/>
          </w:tcPr>
          <w:p>
            <w:pPr>
              <w:spacing w:after="0"/>
              <w:rPr>
                <w:sz w:val="19"/>
                <w:szCs w:val="19"/>
                <w:color w:val="auto"/>
              </w:rPr>
            </w:pPr>
          </w:p>
        </w:tc>
        <w:tc>
          <w:tcPr>
            <w:tcW w:w="96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2,758</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3,363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(605)</w:t>
            </w:r>
          </w:p>
        </w:tc>
        <w:tc>
          <w:tcPr>
            <w:tcW w:w="80" w:type="dxa"/>
            <w:vAlign w:val="bottom"/>
          </w:tcPr>
          <w:p>
            <w:pPr>
              <w:spacing w:after="0"/>
              <w:rPr>
                <w:sz w:val="19"/>
                <w:szCs w:val="19"/>
                <w:color w:val="auto"/>
              </w:rPr>
            </w:pPr>
          </w:p>
        </w:tc>
        <w:tc>
          <w:tcPr>
            <w:tcW w:w="960" w:type="dxa"/>
            <w:vAlign w:val="bottom"/>
          </w:tcPr>
          <w:p>
            <w:pPr>
              <w:jc w:val="right"/>
              <w:ind w:right="38"/>
              <w:spacing w:after="0" w:line="229" w:lineRule="exact"/>
              <w:rPr>
                <w:sz w:val="20"/>
                <w:szCs w:val="20"/>
                <w:color w:val="auto"/>
              </w:rPr>
            </w:pPr>
            <w:r>
              <w:rPr>
                <w:rFonts w:ascii="Times New Roman" w:cs="Times New Roman" w:eastAsia="Times New Roman" w:hAnsi="Times New Roman"/>
                <w:sz w:val="20"/>
                <w:szCs w:val="20"/>
                <w:color w:val="auto"/>
              </w:rPr>
              <w:t>(18)%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5,254</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8,439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(3,185)</w:t>
            </w:r>
          </w:p>
        </w:tc>
        <w:tc>
          <w:tcPr>
            <w:tcW w:w="80" w:type="dxa"/>
            <w:vAlign w:val="bottom"/>
          </w:tcPr>
          <w:p>
            <w:pPr>
              <w:spacing w:after="0"/>
              <w:rPr>
                <w:sz w:val="19"/>
                <w:szCs w:val="19"/>
                <w:color w:val="auto"/>
              </w:rPr>
            </w:pPr>
          </w:p>
        </w:tc>
        <w:tc>
          <w:tcPr>
            <w:tcW w:w="960" w:type="dxa"/>
            <w:vAlign w:val="bottom"/>
          </w:tcPr>
          <w:p>
            <w:pPr>
              <w:jc w:val="right"/>
              <w:ind w:right="58"/>
              <w:spacing w:after="0" w:line="229" w:lineRule="exact"/>
              <w:rPr>
                <w:sz w:val="20"/>
                <w:szCs w:val="20"/>
                <w:color w:val="auto"/>
              </w:rPr>
            </w:pPr>
            <w:r>
              <w:rPr>
                <w:rFonts w:ascii="Times New Roman" w:cs="Times New Roman" w:eastAsia="Times New Roman" w:hAnsi="Times New Roman"/>
                <w:sz w:val="20"/>
                <w:szCs w:val="20"/>
                <w:color w:val="auto"/>
              </w:rPr>
              <w:t>(38)%</w:t>
            </w:r>
          </w:p>
        </w:tc>
        <w:tc>
          <w:tcPr>
            <w:tcW w:w="0" w:type="dxa"/>
            <w:vAlign w:val="bottom"/>
          </w:tcPr>
          <w:p>
            <w:pPr>
              <w:spacing w:after="0"/>
              <w:rPr>
                <w:sz w:val="1"/>
                <w:szCs w:val="1"/>
                <w:color w:val="auto"/>
              </w:rPr>
            </w:pPr>
          </w:p>
        </w:tc>
      </w:tr>
      <w:tr>
        <w:trPr>
          <w:trHeight w:val="254"/>
        </w:trPr>
        <w:tc>
          <w:tcPr>
            <w:tcW w:w="15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recoveries</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500" w:type="dxa"/>
            <w:vAlign w:val="bottom"/>
          </w:tcPr>
          <w:p>
            <w:pPr>
              <w:ind w:left="240"/>
              <w:spacing w:after="0" w:line="229" w:lineRule="exact"/>
              <w:rPr>
                <w:sz w:val="20"/>
                <w:szCs w:val="20"/>
                <w:color w:val="auto"/>
              </w:rPr>
            </w:pPr>
            <w:r>
              <w:rPr>
                <w:rFonts w:ascii="Times New Roman" w:cs="Times New Roman" w:eastAsia="Times New Roman" w:hAnsi="Times New Roman"/>
                <w:sz w:val="20"/>
                <w:szCs w:val="20"/>
                <w:color w:val="auto"/>
              </w:rPr>
              <w:t>Restructuring</w:t>
            </w:r>
          </w:p>
        </w:tc>
        <w:tc>
          <w:tcPr>
            <w:tcW w:w="26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6,133</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5,178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955</w:t>
            </w:r>
          </w:p>
        </w:tc>
        <w:tc>
          <w:tcPr>
            <w:tcW w:w="80" w:type="dxa"/>
            <w:vAlign w:val="bottom"/>
          </w:tcPr>
          <w:p>
            <w:pPr>
              <w:spacing w:after="0"/>
              <w:rPr>
                <w:sz w:val="19"/>
                <w:szCs w:val="19"/>
                <w:color w:val="auto"/>
              </w:rPr>
            </w:pPr>
          </w:p>
        </w:tc>
        <w:tc>
          <w:tcPr>
            <w:tcW w:w="960" w:type="dxa"/>
            <w:vAlign w:val="bottom"/>
            <w:vMerge w:val="restart"/>
          </w:tcPr>
          <w:p>
            <w:pPr>
              <w:jc w:val="right"/>
              <w:ind w:right="118"/>
              <w:spacing w:after="0"/>
              <w:rPr>
                <w:sz w:val="20"/>
                <w:szCs w:val="20"/>
                <w:color w:val="auto"/>
              </w:rPr>
            </w:pPr>
            <w:r>
              <w:rPr>
                <w:rFonts w:ascii="Times New Roman" w:cs="Times New Roman" w:eastAsia="Times New Roman" w:hAnsi="Times New Roman"/>
                <w:sz w:val="20"/>
                <w:szCs w:val="20"/>
                <w:color w:val="auto"/>
              </w:rPr>
              <w:t>18%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17,249</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8,748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8,501</w:t>
            </w:r>
          </w:p>
        </w:tc>
        <w:tc>
          <w:tcPr>
            <w:tcW w:w="80" w:type="dxa"/>
            <w:vAlign w:val="bottom"/>
          </w:tcPr>
          <w:p>
            <w:pPr>
              <w:spacing w:after="0"/>
              <w:rPr>
                <w:sz w:val="19"/>
                <w:szCs w:val="19"/>
                <w:color w:val="auto"/>
              </w:rPr>
            </w:pPr>
          </w:p>
        </w:tc>
        <w:tc>
          <w:tcPr>
            <w:tcW w:w="960" w:type="dxa"/>
            <w:vAlign w:val="bottom"/>
            <w:vMerge w:val="restart"/>
          </w:tcPr>
          <w:p>
            <w:pPr>
              <w:jc w:val="right"/>
              <w:ind w:right="118"/>
              <w:spacing w:after="0"/>
              <w:rPr>
                <w:sz w:val="20"/>
                <w:szCs w:val="20"/>
                <w:color w:val="auto"/>
              </w:rPr>
            </w:pPr>
            <w:r>
              <w:rPr>
                <w:rFonts w:ascii="Times New Roman" w:cs="Times New Roman" w:eastAsia="Times New Roman" w:hAnsi="Times New Roman"/>
                <w:sz w:val="20"/>
                <w:szCs w:val="20"/>
                <w:color w:val="auto"/>
              </w:rPr>
              <w:t>97%</w:t>
            </w:r>
          </w:p>
        </w:tc>
        <w:tc>
          <w:tcPr>
            <w:tcW w:w="0" w:type="dxa"/>
            <w:vAlign w:val="bottom"/>
          </w:tcPr>
          <w:p>
            <w:pPr>
              <w:spacing w:after="0"/>
              <w:rPr>
                <w:sz w:val="1"/>
                <w:szCs w:val="1"/>
                <w:color w:val="auto"/>
              </w:rPr>
            </w:pPr>
          </w:p>
        </w:tc>
      </w:tr>
      <w:tr>
        <w:trPr>
          <w:trHeight w:val="151"/>
        </w:trPr>
        <w:tc>
          <w:tcPr>
            <w:tcW w:w="150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auto"/>
              </w:rPr>
              <w:t>costs</w:t>
            </w:r>
          </w:p>
        </w:tc>
        <w:tc>
          <w:tcPr>
            <w:tcW w:w="26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150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5"/>
        </w:trPr>
        <w:tc>
          <w:tcPr>
            <w:tcW w:w="15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Transaction</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605</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3,465</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(2,860)</w:t>
            </w:r>
          </w:p>
        </w:tc>
        <w:tc>
          <w:tcPr>
            <w:tcW w:w="80" w:type="dxa"/>
            <w:vAlign w:val="bottom"/>
          </w:tcPr>
          <w:p>
            <w:pPr>
              <w:spacing w:after="0"/>
              <w:rPr>
                <w:sz w:val="23"/>
                <w:szCs w:val="23"/>
                <w:color w:val="auto"/>
              </w:rPr>
            </w:pPr>
          </w:p>
        </w:tc>
        <w:tc>
          <w:tcPr>
            <w:tcW w:w="960" w:type="dxa"/>
            <w:vAlign w:val="bottom"/>
          </w:tcPr>
          <w:p>
            <w:pPr>
              <w:jc w:val="right"/>
              <w:ind w:right="38"/>
              <w:spacing w:after="0"/>
              <w:rPr>
                <w:sz w:val="20"/>
                <w:szCs w:val="20"/>
                <w:color w:val="auto"/>
              </w:rPr>
            </w:pPr>
            <w:r>
              <w:rPr>
                <w:rFonts w:ascii="Times New Roman" w:cs="Times New Roman" w:eastAsia="Times New Roman" w:hAnsi="Times New Roman"/>
                <w:sz w:val="20"/>
                <w:szCs w:val="20"/>
                <w:color w:val="auto"/>
              </w:rPr>
              <w:t>(83)%</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2,563</w:t>
            </w: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13,061</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(10,498)</w:t>
            </w:r>
          </w:p>
        </w:tc>
        <w:tc>
          <w:tcPr>
            <w:tcW w:w="80" w:type="dxa"/>
            <w:vAlign w:val="bottom"/>
          </w:tcPr>
          <w:p>
            <w:pPr>
              <w:spacing w:after="0"/>
              <w:rPr>
                <w:sz w:val="23"/>
                <w:szCs w:val="23"/>
                <w:color w:val="auto"/>
              </w:rPr>
            </w:pPr>
          </w:p>
        </w:tc>
        <w:tc>
          <w:tcPr>
            <w:tcW w:w="960" w:type="dxa"/>
            <w:vAlign w:val="bottom"/>
          </w:tcPr>
          <w:p>
            <w:pPr>
              <w:jc w:val="right"/>
              <w:ind w:right="58"/>
              <w:spacing w:after="0"/>
              <w:rPr>
                <w:sz w:val="20"/>
                <w:szCs w:val="20"/>
                <w:color w:val="auto"/>
              </w:rPr>
            </w:pPr>
            <w:r>
              <w:rPr>
                <w:rFonts w:ascii="Times New Roman" w:cs="Times New Roman" w:eastAsia="Times New Roman" w:hAnsi="Times New Roman"/>
                <w:sz w:val="20"/>
                <w:szCs w:val="20"/>
                <w:color w:val="auto"/>
              </w:rPr>
              <w:t>(80)%</w:t>
            </w:r>
          </w:p>
        </w:tc>
        <w:tc>
          <w:tcPr>
            <w:tcW w:w="0" w:type="dxa"/>
            <w:vAlign w:val="bottom"/>
          </w:tcPr>
          <w:p>
            <w:pPr>
              <w:spacing w:after="0"/>
              <w:rPr>
                <w:sz w:val="1"/>
                <w:szCs w:val="1"/>
                <w:color w:val="auto"/>
              </w:rPr>
            </w:pPr>
          </w:p>
        </w:tc>
      </w:tr>
    </w:tbl>
    <w:p>
      <w:pPr>
        <w:sectPr>
          <w:pgSz w:w="11900" w:h="16838" w:orient="portrait"/>
          <w:cols w:equalWidth="0" w:num="1">
            <w:col w:w="11260"/>
          </w:cols>
          <w:pgMar w:left="340" w:top="114" w:right="299" w:bottom="0" w:gutter="0" w:footer="0" w:header="0"/>
          <w:type w:val="continuous"/>
        </w:sectPr>
      </w:pPr>
    </w:p>
    <w:bookmarkStart w:id="8" w:name="page9"/>
    <w:bookmarkEnd w:id="8"/>
    <w:p>
      <w:pPr>
        <w:ind w:left="240"/>
        <w:spacing w:after="0"/>
        <w:rPr>
          <w:sz w:val="20"/>
          <w:szCs w:val="20"/>
          <w:color w:val="auto"/>
        </w:rPr>
      </w:pPr>
      <w:r>
        <w:rPr>
          <w:rFonts w:ascii="Times New Roman" w:cs="Times New Roman" w:eastAsia="Times New Roman" w:hAnsi="Times New Roman"/>
          <w:sz w:val="20"/>
          <w:szCs w:val="20"/>
          <w:color w:val="auto"/>
        </w:rPr>
        <w:t>costs</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auto"/>
        </w:rPr>
        <w:t>(income), net</w:t>
      </w:r>
    </w:p>
    <w:p>
      <w:pPr>
        <w:spacing w:after="0" w:line="13"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9"/>
          <w:szCs w:val="19"/>
          <w:color w:val="auto"/>
        </w:rPr>
        <w:t>Total operating expenses</w:t>
      </w:r>
    </w:p>
    <w:p>
      <w:pPr>
        <w:spacing w:after="0"/>
        <w:rPr>
          <w:sz w:val="20"/>
          <w:szCs w:val="20"/>
          <w:color w:val="auto"/>
        </w:rPr>
      </w:pPr>
      <w:r>
        <w:rPr>
          <w:rFonts w:ascii="Times New Roman" w:cs="Times New Roman" w:eastAsia="Times New Roman" w:hAnsi="Times New Roman"/>
          <w:sz w:val="20"/>
          <w:szCs w:val="20"/>
          <w:color w:val="auto"/>
        </w:rPr>
        <w:t>Operating loss</w:t>
      </w:r>
    </w:p>
    <w:p>
      <w:pPr>
        <w:spacing w:after="0" w:line="26" w:lineRule="exact"/>
        <w:rPr>
          <w:sz w:val="20"/>
          <w:szCs w:val="20"/>
          <w:color w:val="auto"/>
        </w:rPr>
      </w:pPr>
    </w:p>
    <w:p>
      <w:pPr>
        <w:ind w:left="240" w:right="140"/>
        <w:spacing w:after="0" w:line="257" w:lineRule="auto"/>
        <w:rPr>
          <w:sz w:val="20"/>
          <w:szCs w:val="20"/>
          <w:color w:val="auto"/>
        </w:rPr>
      </w:pPr>
      <w:r>
        <w:rPr>
          <w:rFonts w:ascii="Times New Roman" w:cs="Times New Roman" w:eastAsia="Times New Roman" w:hAnsi="Times New Roman"/>
          <w:sz w:val="20"/>
          <w:szCs w:val="20"/>
          <w:color w:val="auto"/>
        </w:rPr>
        <w:t>Interest expense, net</w:t>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auto"/>
        </w:rPr>
        <w:t>Non-</w:t>
      </w:r>
    </w:p>
    <w:p>
      <w:pPr>
        <w:spacing w:after="0" w:line="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auto"/>
        </w:rPr>
        <w:t>operating</w:t>
      </w:r>
    </w:p>
    <w:p>
      <w:pPr>
        <w:ind w:left="240"/>
        <w:spacing w:after="0" w:line="238" w:lineRule="auto"/>
        <w:rPr>
          <w:sz w:val="20"/>
          <w:szCs w:val="20"/>
          <w:color w:val="auto"/>
        </w:rPr>
      </w:pPr>
      <w:r>
        <w:rPr>
          <w:rFonts w:ascii="Times New Roman" w:cs="Times New Roman" w:eastAsia="Times New Roman" w:hAnsi="Times New Roman"/>
          <w:sz w:val="20"/>
          <w:szCs w:val="20"/>
          <w:color w:val="auto"/>
        </w:rPr>
        <w:t>income</w:t>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auto"/>
        </w:rPr>
        <w:t>(expense), net</w:t>
      </w:r>
    </w:p>
    <w:p>
      <w:pPr>
        <w:spacing w:after="0" w:line="13" w:lineRule="exact"/>
        <w:rPr>
          <w:sz w:val="20"/>
          <w:szCs w:val="20"/>
          <w:color w:val="auto"/>
        </w:rPr>
      </w:pPr>
    </w:p>
    <w:p>
      <w:pPr>
        <w:ind w:right="320"/>
        <w:spacing w:after="0" w:line="251" w:lineRule="auto"/>
        <w:rPr>
          <w:sz w:val="20"/>
          <w:szCs w:val="20"/>
          <w:color w:val="auto"/>
        </w:rPr>
      </w:pPr>
      <w:r>
        <w:rPr>
          <w:rFonts w:ascii="Times New Roman" w:cs="Times New Roman" w:eastAsia="Times New Roman" w:hAnsi="Times New Roman"/>
          <w:sz w:val="20"/>
          <w:szCs w:val="20"/>
          <w:color w:val="auto"/>
        </w:rPr>
        <w:t>Loss before income taxes</w:t>
      </w:r>
    </w:p>
    <w:p>
      <w:pPr>
        <w:spacing w:after="0" w:line="2" w:lineRule="exact"/>
        <w:rPr>
          <w:sz w:val="20"/>
          <w:szCs w:val="20"/>
          <w:color w:val="auto"/>
        </w:rPr>
      </w:pPr>
    </w:p>
    <w:p>
      <w:pPr>
        <w:ind w:left="240" w:right="240"/>
        <w:spacing w:after="0" w:line="245" w:lineRule="auto"/>
        <w:rPr>
          <w:sz w:val="20"/>
          <w:szCs w:val="20"/>
          <w:color w:val="auto"/>
        </w:rPr>
      </w:pPr>
      <w:r>
        <w:rPr>
          <w:rFonts w:ascii="Times New Roman" w:cs="Times New Roman" w:eastAsia="Times New Roman" w:hAnsi="Times New Roman"/>
          <w:sz w:val="20"/>
          <w:szCs w:val="20"/>
          <w:color w:val="auto"/>
        </w:rPr>
        <w:t>Income tax expense (recovery), net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Net loss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Total net (loss)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income</w:t>
      </w:r>
    </w:p>
    <w:p>
      <w:pPr>
        <w:spacing w:after="0"/>
        <w:rPr>
          <w:sz w:val="20"/>
          <w:szCs w:val="20"/>
          <w:color w:val="auto"/>
        </w:rPr>
      </w:pPr>
      <w:r>
        <w:rPr>
          <w:rFonts w:ascii="Times New Roman" w:cs="Times New Roman" w:eastAsia="Times New Roman" w:hAnsi="Times New Roman"/>
          <w:sz w:val="20"/>
          <w:szCs w:val="20"/>
          <w:color w:val="auto"/>
        </w:rPr>
        <w:t>attributable to:</w:t>
      </w:r>
    </w:p>
    <w:p>
      <w:pPr>
        <w:spacing w:after="0" w:line="13" w:lineRule="exact"/>
        <w:rPr>
          <w:sz w:val="20"/>
          <w:szCs w:val="20"/>
          <w:color w:val="auto"/>
        </w:rPr>
      </w:pPr>
    </w:p>
    <w:p>
      <w:pPr>
        <w:ind w:left="240" w:right="80"/>
        <w:spacing w:after="0" w:line="247" w:lineRule="auto"/>
        <w:rPr>
          <w:sz w:val="20"/>
          <w:szCs w:val="20"/>
          <w:color w:val="auto"/>
        </w:rPr>
      </w:pPr>
      <w:r>
        <w:rPr>
          <w:rFonts w:ascii="Times New Roman" w:cs="Times New Roman" w:eastAsia="Times New Roman" w:hAnsi="Times New Roman"/>
          <w:sz w:val="20"/>
          <w:szCs w:val="20"/>
          <w:color w:val="auto"/>
        </w:rPr>
        <w:t>Stockholders of Tilray Brands, Inc.</w:t>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auto"/>
        </w:rPr>
        <w:t>Non-</w:t>
      </w:r>
    </w:p>
    <w:p>
      <w:pPr>
        <w:spacing w:after="0" w:line="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auto"/>
        </w:rPr>
        <w:t>controlling</w:t>
      </w:r>
    </w:p>
    <w:p>
      <w:pPr>
        <w:ind w:left="240"/>
        <w:spacing w:after="0"/>
        <w:rPr>
          <w:sz w:val="20"/>
          <w:szCs w:val="20"/>
          <w:color w:val="auto"/>
        </w:rPr>
      </w:pPr>
      <w:r>
        <w:rPr>
          <w:rFonts w:ascii="Times New Roman" w:cs="Times New Roman" w:eastAsia="Times New Roman" w:hAnsi="Times New Roman"/>
          <w:sz w:val="20"/>
          <w:szCs w:val="20"/>
          <w:color w:val="auto"/>
        </w:rPr>
        <w:t>interests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comprehensive</w:t>
      </w:r>
    </w:p>
    <w:p>
      <w:pPr>
        <w:spacing w:after="0" w:line="238" w:lineRule="auto"/>
        <w:rPr>
          <w:sz w:val="20"/>
          <w:szCs w:val="20"/>
          <w:color w:val="auto"/>
        </w:rPr>
      </w:pPr>
      <w:r>
        <w:rPr>
          <w:rFonts w:ascii="Times New Roman" w:cs="Times New Roman" w:eastAsia="Times New Roman" w:hAnsi="Times New Roman"/>
          <w:sz w:val="20"/>
          <w:szCs w:val="20"/>
          <w:color w:val="auto"/>
        </w:rPr>
        <w:t>gain (loss), net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 tax</w:t>
      </w:r>
    </w:p>
    <w:p>
      <w:pPr>
        <w:spacing w:after="0" w:line="13" w:lineRule="exact"/>
        <w:rPr>
          <w:sz w:val="20"/>
          <w:szCs w:val="20"/>
          <w:color w:val="auto"/>
        </w:rPr>
      </w:pPr>
    </w:p>
    <w:p>
      <w:pPr>
        <w:ind w:left="240" w:right="280"/>
        <w:spacing w:after="0" w:line="245" w:lineRule="auto"/>
        <w:rPr>
          <w:sz w:val="20"/>
          <w:szCs w:val="20"/>
          <w:color w:val="auto"/>
        </w:rPr>
      </w:pPr>
      <w:r>
        <w:rPr>
          <w:rFonts w:ascii="Times New Roman" w:cs="Times New Roman" w:eastAsia="Times New Roman" w:hAnsi="Times New Roman"/>
          <w:sz w:val="20"/>
          <w:szCs w:val="20"/>
          <w:color w:val="auto"/>
        </w:rPr>
        <w:t>Foreign currency translation gain (loss)</w:t>
      </w:r>
    </w:p>
    <w:p>
      <w:pPr>
        <w:spacing w:after="0" w:line="1"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20"/>
          <w:szCs w:val="20"/>
          <w:color w:val="auto"/>
        </w:rPr>
        <w:t>Total other comprehensive gain (loss), net of tax</w:t>
      </w:r>
    </w:p>
    <w:p>
      <w:pPr>
        <w:spacing w:after="0" w:line="1"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20"/>
          <w:szCs w:val="20"/>
          <w:color w:val="auto"/>
        </w:rPr>
        <w:t>Comprehensive loss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Total</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comprehensive</w:t>
      </w:r>
    </w:p>
    <w:p>
      <w:pPr>
        <w:spacing w:after="0" w:line="238" w:lineRule="auto"/>
        <w:rPr>
          <w:sz w:val="20"/>
          <w:szCs w:val="20"/>
          <w:color w:val="auto"/>
        </w:rPr>
      </w:pPr>
      <w:r>
        <w:rPr>
          <w:rFonts w:ascii="Times New Roman" w:cs="Times New Roman" w:eastAsia="Times New Roman" w:hAnsi="Times New Roman"/>
          <w:sz w:val="20"/>
          <w:szCs w:val="20"/>
          <w:color w:val="auto"/>
        </w:rPr>
        <w:t>(loss) income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attributable to:</w:t>
      </w:r>
    </w:p>
    <w:p>
      <w:pPr>
        <w:spacing w:after="0" w:line="13" w:lineRule="exact"/>
        <w:rPr>
          <w:sz w:val="20"/>
          <w:szCs w:val="20"/>
          <w:color w:val="auto"/>
        </w:rPr>
      </w:pPr>
    </w:p>
    <w:p>
      <w:pPr>
        <w:ind w:left="240" w:right="80"/>
        <w:spacing w:after="0" w:line="247" w:lineRule="auto"/>
        <w:rPr>
          <w:sz w:val="20"/>
          <w:szCs w:val="20"/>
          <w:color w:val="auto"/>
        </w:rPr>
      </w:pPr>
      <w:r>
        <w:rPr>
          <w:rFonts w:ascii="Times New Roman" w:cs="Times New Roman" w:eastAsia="Times New Roman" w:hAnsi="Times New Roman"/>
          <w:sz w:val="20"/>
          <w:szCs w:val="20"/>
          <w:color w:val="auto"/>
        </w:rPr>
        <w:t>Stockholders of Tilray Brands, Inc.</w:t>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auto"/>
        </w:rPr>
        <w:t>Non-</w:t>
      </w:r>
    </w:p>
    <w:p>
      <w:pPr>
        <w:spacing w:after="0" w:line="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auto"/>
        </w:rPr>
        <w:t>controlling</w:t>
      </w:r>
    </w:p>
    <w:p>
      <w:pPr>
        <w:ind w:left="240"/>
        <w:spacing w:after="0"/>
        <w:rPr>
          <w:sz w:val="20"/>
          <w:szCs w:val="20"/>
          <w:color w:val="auto"/>
        </w:rPr>
      </w:pPr>
      <w:r>
        <w:rPr>
          <w:rFonts w:ascii="Times New Roman" w:cs="Times New Roman" w:eastAsia="Times New Roman" w:hAnsi="Times New Roman"/>
          <w:sz w:val="20"/>
          <w:szCs w:val="20"/>
          <w:color w:val="auto"/>
        </w:rPr>
        <w:t>interests</w:t>
      </w:r>
    </w:p>
    <w:p>
      <w:pPr>
        <w:spacing w:after="0" w:line="13"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20"/>
          <w:szCs w:val="20"/>
          <w:color w:val="auto"/>
        </w:rPr>
        <w:t>Weighted average number of common shares - basic</w:t>
      </w:r>
    </w:p>
    <w:p>
      <w:pPr>
        <w:spacing w:after="0" w:line="1"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20"/>
          <w:szCs w:val="20"/>
          <w:color w:val="auto"/>
        </w:rPr>
        <w:t>Weighted average number of common shares - diluted</w:t>
      </w:r>
    </w:p>
    <w:p>
      <w:pPr>
        <w:spacing w:after="0" w:line="1" w:lineRule="exact"/>
        <w:rPr>
          <w:sz w:val="20"/>
          <w:szCs w:val="20"/>
          <w:color w:val="auto"/>
        </w:rPr>
      </w:pPr>
    </w:p>
    <w:p>
      <w:pPr>
        <w:ind w:right="360"/>
        <w:spacing w:after="0" w:line="251" w:lineRule="auto"/>
        <w:rPr>
          <w:sz w:val="20"/>
          <w:szCs w:val="20"/>
          <w:color w:val="auto"/>
        </w:rPr>
      </w:pPr>
      <w:r>
        <w:rPr>
          <w:rFonts w:ascii="Times New Roman" w:cs="Times New Roman" w:eastAsia="Times New Roman" w:hAnsi="Times New Roman"/>
          <w:sz w:val="20"/>
          <w:szCs w:val="20"/>
          <w:color w:val="auto"/>
        </w:rPr>
        <w:t>Net loss per share - basic</w:t>
      </w:r>
    </w:p>
    <w:p>
      <w:pPr>
        <w:spacing w:after="0" w:line="2" w:lineRule="exact"/>
        <w:rPr>
          <w:sz w:val="20"/>
          <w:szCs w:val="20"/>
          <w:color w:val="auto"/>
        </w:rPr>
      </w:pPr>
    </w:p>
    <w:p>
      <w:pPr>
        <w:ind w:right="220"/>
        <w:spacing w:after="0" w:line="263" w:lineRule="auto"/>
        <w:rPr>
          <w:sz w:val="20"/>
          <w:szCs w:val="20"/>
          <w:color w:val="auto"/>
        </w:rPr>
      </w:pPr>
      <w:r>
        <w:rPr>
          <w:rFonts w:ascii="Times New Roman" w:cs="Times New Roman" w:eastAsia="Times New Roman" w:hAnsi="Times New Roman"/>
          <w:sz w:val="20"/>
          <w:szCs w:val="20"/>
          <w:color w:val="auto"/>
        </w:rPr>
        <w:t>Net loss per share - 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811,942</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131,494</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680,448</w:t>
            </w:r>
          </w:p>
        </w:tc>
        <w:tc>
          <w:tcPr>
            <w:tcW w:w="80" w:type="dxa"/>
            <w:vAlign w:val="bottom"/>
          </w:tcPr>
          <w:p>
            <w:pPr>
              <w:spacing w:after="0"/>
              <w:rPr>
                <w:sz w:val="23"/>
                <w:szCs w:val="23"/>
                <w:color w:val="auto"/>
              </w:rPr>
            </w:pPr>
          </w:p>
        </w:tc>
        <w:tc>
          <w:tcPr>
            <w:tcW w:w="960" w:type="dxa"/>
            <w:vAlign w:val="bottom"/>
          </w:tcPr>
          <w:p>
            <w:pPr>
              <w:jc w:val="right"/>
              <w:ind w:right="118"/>
              <w:spacing w:after="0"/>
              <w:rPr>
                <w:sz w:val="20"/>
                <w:szCs w:val="20"/>
                <w:color w:val="auto"/>
              </w:rPr>
            </w:pPr>
            <w:r>
              <w:rPr>
                <w:rFonts w:ascii="Times New Roman" w:cs="Times New Roman" w:eastAsia="Times New Roman" w:hAnsi="Times New Roman"/>
                <w:sz w:val="20"/>
                <w:szCs w:val="20"/>
                <w:color w:val="auto"/>
              </w:rPr>
              <w:t>517%</w:t>
            </w:r>
          </w:p>
        </w:tc>
        <w:tc>
          <w:tcPr>
            <w:tcW w:w="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1,011,656</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299,220</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712,436</w:t>
            </w:r>
          </w:p>
        </w:tc>
        <w:tc>
          <w:tcPr>
            <w:tcW w:w="80" w:type="dxa"/>
            <w:vAlign w:val="bottom"/>
          </w:tcPr>
          <w:p>
            <w:pPr>
              <w:spacing w:after="0"/>
              <w:rPr>
                <w:sz w:val="23"/>
                <w:szCs w:val="23"/>
                <w:color w:val="auto"/>
              </w:rPr>
            </w:pPr>
          </w:p>
        </w:tc>
        <w:tc>
          <w:tcPr>
            <w:tcW w:w="960" w:type="dxa"/>
            <w:vAlign w:val="bottom"/>
          </w:tcPr>
          <w:p>
            <w:pPr>
              <w:jc w:val="right"/>
              <w:ind w:right="118"/>
              <w:spacing w:after="0"/>
              <w:rPr>
                <w:sz w:val="20"/>
                <w:szCs w:val="20"/>
                <w:color w:val="auto"/>
              </w:rPr>
            </w:pPr>
            <w:r>
              <w:rPr>
                <w:rFonts w:ascii="Times New Roman" w:cs="Times New Roman" w:eastAsia="Times New Roman" w:hAnsi="Times New Roman"/>
                <w:sz w:val="20"/>
                <w:szCs w:val="20"/>
                <w:color w:val="auto"/>
              </w:rPr>
              <w:t>238%</w:t>
            </w:r>
          </w:p>
        </w:tc>
      </w:tr>
      <w:tr>
        <w:trPr>
          <w:trHeight w:val="116"/>
        </w:trPr>
        <w:tc>
          <w:tcPr>
            <w:tcW w:w="12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r>
      <w:tr>
        <w:trPr>
          <w:trHeight w:val="258"/>
        </w:trPr>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(759,931)</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(82,098)</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(677,833)</w:t>
            </w:r>
          </w:p>
        </w:tc>
        <w:tc>
          <w:tcPr>
            <w:tcW w:w="80" w:type="dxa"/>
            <w:vAlign w:val="bottom"/>
          </w:tcPr>
          <w:p>
            <w:pPr>
              <w:spacing w:after="0"/>
              <w:rPr>
                <w:sz w:val="22"/>
                <w:szCs w:val="22"/>
                <w:color w:val="auto"/>
              </w:rPr>
            </w:pPr>
          </w:p>
        </w:tc>
        <w:tc>
          <w:tcPr>
            <w:tcW w:w="960" w:type="dxa"/>
            <w:vAlign w:val="bottom"/>
          </w:tcPr>
          <w:p>
            <w:pPr>
              <w:jc w:val="right"/>
              <w:ind w:right="118"/>
              <w:spacing w:after="0"/>
              <w:rPr>
                <w:sz w:val="20"/>
                <w:szCs w:val="20"/>
                <w:color w:val="auto"/>
              </w:rPr>
            </w:pPr>
            <w:r>
              <w:rPr>
                <w:rFonts w:ascii="Times New Roman" w:cs="Times New Roman" w:eastAsia="Times New Roman" w:hAnsi="Times New Roman"/>
                <w:sz w:val="20"/>
                <w:szCs w:val="20"/>
                <w:color w:val="auto"/>
              </w:rPr>
              <w:t>826%</w:t>
            </w:r>
          </w:p>
        </w:tc>
        <w:tc>
          <w:tcPr>
            <w:tcW w:w="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(838,719)</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(158,219)</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(680,500)</w:t>
            </w:r>
          </w:p>
        </w:tc>
        <w:tc>
          <w:tcPr>
            <w:tcW w:w="80" w:type="dxa"/>
            <w:vAlign w:val="bottom"/>
          </w:tcPr>
          <w:p>
            <w:pPr>
              <w:spacing w:after="0"/>
              <w:rPr>
                <w:sz w:val="22"/>
                <w:szCs w:val="22"/>
                <w:color w:val="auto"/>
              </w:rPr>
            </w:pPr>
          </w:p>
        </w:tc>
        <w:tc>
          <w:tcPr>
            <w:tcW w:w="960" w:type="dxa"/>
            <w:vAlign w:val="bottom"/>
          </w:tcPr>
          <w:p>
            <w:pPr>
              <w:jc w:val="right"/>
              <w:ind w:right="118"/>
              <w:spacing w:after="0"/>
              <w:rPr>
                <w:sz w:val="20"/>
                <w:szCs w:val="20"/>
                <w:color w:val="auto"/>
              </w:rPr>
            </w:pPr>
            <w:r>
              <w:rPr>
                <w:rFonts w:ascii="Times New Roman" w:cs="Times New Roman" w:eastAsia="Times New Roman" w:hAnsi="Times New Roman"/>
                <w:sz w:val="20"/>
                <w:szCs w:val="20"/>
                <w:color w:val="auto"/>
              </w:rPr>
              <w:t>430%</w:t>
            </w:r>
          </w:p>
        </w:tc>
      </w:tr>
      <w:tr>
        <w:trPr>
          <w:trHeight w:val="356"/>
        </w:trPr>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(8,378)</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(8,517)</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w:t>
            </w:r>
          </w:p>
        </w:tc>
        <w:tc>
          <w:tcPr>
            <w:tcW w:w="80" w:type="dxa"/>
            <w:vAlign w:val="bottom"/>
          </w:tcPr>
          <w:p>
            <w:pPr>
              <w:spacing w:after="0"/>
              <w:rPr>
                <w:sz w:val="24"/>
                <w:szCs w:val="24"/>
                <w:color w:val="auto"/>
              </w:rPr>
            </w:pPr>
          </w:p>
        </w:tc>
        <w:tc>
          <w:tcPr>
            <w:tcW w:w="960" w:type="dxa"/>
            <w:vAlign w:val="bottom"/>
          </w:tcPr>
          <w:p>
            <w:pPr>
              <w:jc w:val="right"/>
              <w:ind w:right="38"/>
              <w:spacing w:after="0"/>
              <w:rPr>
                <w:sz w:val="20"/>
                <w:szCs w:val="20"/>
                <w:color w:val="auto"/>
              </w:rPr>
            </w:pPr>
            <w:r>
              <w:rPr>
                <w:rFonts w:ascii="Times New Roman" w:cs="Times New Roman" w:eastAsia="Times New Roman" w:hAnsi="Times New Roman"/>
                <w:sz w:val="20"/>
                <w:szCs w:val="20"/>
                <w:color w:val="auto"/>
              </w:rPr>
              <w:t>(2)%</w:t>
            </w:r>
          </w:p>
        </w:tc>
        <w:tc>
          <w:tcPr>
            <w:tcW w:w="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(25,986)</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(26,977)</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991</w:t>
            </w:r>
          </w:p>
        </w:tc>
        <w:tc>
          <w:tcPr>
            <w:tcW w:w="80" w:type="dxa"/>
            <w:vAlign w:val="bottom"/>
          </w:tcPr>
          <w:p>
            <w:pPr>
              <w:spacing w:after="0"/>
              <w:rPr>
                <w:sz w:val="24"/>
                <w:szCs w:val="24"/>
                <w:color w:val="auto"/>
              </w:rPr>
            </w:pPr>
          </w:p>
        </w:tc>
        <w:tc>
          <w:tcPr>
            <w:tcW w:w="960" w:type="dxa"/>
            <w:vAlign w:val="bottom"/>
          </w:tcPr>
          <w:p>
            <w:pPr>
              <w:jc w:val="right"/>
              <w:ind w:right="58"/>
              <w:spacing w:after="0"/>
              <w:rPr>
                <w:sz w:val="20"/>
                <w:szCs w:val="20"/>
                <w:color w:val="auto"/>
              </w:rPr>
            </w:pPr>
            <w:r>
              <w:rPr>
                <w:rFonts w:ascii="Times New Roman" w:cs="Times New Roman" w:eastAsia="Times New Roman" w:hAnsi="Times New Roman"/>
                <w:sz w:val="20"/>
                <w:szCs w:val="20"/>
                <w:color w:val="auto"/>
              </w:rPr>
              <w:t>(4)%</w:t>
            </w:r>
          </w:p>
        </w:tc>
      </w:tr>
      <w:tr>
        <w:trPr>
          <w:trHeight w:val="712"/>
        </w:trPr>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(24,022)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(17,239)</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(6,783)</w:t>
            </w:r>
          </w:p>
        </w:tc>
        <w:tc>
          <w:tcPr>
            <w:tcW w:w="80" w:type="dxa"/>
            <w:vAlign w:val="bottom"/>
          </w:tcPr>
          <w:p>
            <w:pPr>
              <w:spacing w:after="0"/>
              <w:rPr>
                <w:sz w:val="24"/>
                <w:szCs w:val="24"/>
                <w:color w:val="auto"/>
              </w:rPr>
            </w:pPr>
          </w:p>
        </w:tc>
        <w:tc>
          <w:tcPr>
            <w:tcW w:w="960" w:type="dxa"/>
            <w:vAlign w:val="bottom"/>
          </w:tcPr>
          <w:p>
            <w:pPr>
              <w:jc w:val="right"/>
              <w:ind w:right="118"/>
              <w:spacing w:after="0"/>
              <w:rPr>
                <w:sz w:val="20"/>
                <w:szCs w:val="20"/>
                <w:color w:val="auto"/>
              </w:rPr>
            </w:pPr>
            <w:r>
              <w:rPr>
                <w:rFonts w:ascii="Times New Roman" w:cs="Times New Roman" w:eastAsia="Times New Roman" w:hAnsi="Times New Roman"/>
                <w:sz w:val="20"/>
                <w:szCs w:val="20"/>
                <w:color w:val="auto"/>
              </w:rPr>
              <w:t>39%</w:t>
            </w:r>
          </w:p>
        </w:tc>
        <w:tc>
          <w:tcPr>
            <w:tcW w:w="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(44,631)</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(20,820)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(23,811)</w:t>
            </w:r>
          </w:p>
        </w:tc>
        <w:tc>
          <w:tcPr>
            <w:tcW w:w="80" w:type="dxa"/>
            <w:vAlign w:val="bottom"/>
          </w:tcPr>
          <w:p>
            <w:pPr>
              <w:spacing w:after="0"/>
              <w:rPr>
                <w:sz w:val="24"/>
                <w:szCs w:val="24"/>
                <w:color w:val="auto"/>
              </w:rPr>
            </w:pPr>
          </w:p>
        </w:tc>
        <w:tc>
          <w:tcPr>
            <w:tcW w:w="960" w:type="dxa"/>
            <w:vAlign w:val="bottom"/>
          </w:tcPr>
          <w:p>
            <w:pPr>
              <w:jc w:val="right"/>
              <w:ind w:right="118"/>
              <w:spacing w:after="0"/>
              <w:rPr>
                <w:sz w:val="20"/>
                <w:szCs w:val="20"/>
                <w:color w:val="auto"/>
              </w:rPr>
            </w:pPr>
            <w:r>
              <w:rPr>
                <w:rFonts w:ascii="Times New Roman" w:cs="Times New Roman" w:eastAsia="Times New Roman" w:hAnsi="Times New Roman"/>
                <w:sz w:val="20"/>
                <w:szCs w:val="20"/>
                <w:color w:val="auto"/>
              </w:rPr>
              <w:t>114%</w:t>
            </w:r>
          </w:p>
        </w:tc>
      </w:tr>
      <w:tr>
        <w:trPr>
          <w:trHeight w:val="345"/>
        </w:trPr>
        <w:tc>
          <w:tcPr>
            <w:tcW w:w="12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347"/>
        </w:trPr>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(792,331)</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(107,854)</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(684,477)</w:t>
            </w:r>
          </w:p>
        </w:tc>
        <w:tc>
          <w:tcPr>
            <w:tcW w:w="80" w:type="dxa"/>
            <w:vAlign w:val="bottom"/>
          </w:tcPr>
          <w:p>
            <w:pPr>
              <w:spacing w:after="0"/>
              <w:rPr>
                <w:sz w:val="24"/>
                <w:szCs w:val="24"/>
                <w:color w:val="auto"/>
              </w:rPr>
            </w:pPr>
          </w:p>
        </w:tc>
        <w:tc>
          <w:tcPr>
            <w:tcW w:w="960" w:type="dxa"/>
            <w:vAlign w:val="bottom"/>
          </w:tcPr>
          <w:p>
            <w:pPr>
              <w:jc w:val="right"/>
              <w:ind w:right="118"/>
              <w:spacing w:after="0"/>
              <w:rPr>
                <w:sz w:val="20"/>
                <w:szCs w:val="20"/>
                <w:color w:val="auto"/>
              </w:rPr>
            </w:pPr>
            <w:r>
              <w:rPr>
                <w:rFonts w:ascii="Times New Roman" w:cs="Times New Roman" w:eastAsia="Times New Roman" w:hAnsi="Times New Roman"/>
                <w:sz w:val="20"/>
                <w:szCs w:val="20"/>
                <w:color w:val="auto"/>
              </w:rPr>
              <w:t>635%</w:t>
            </w:r>
          </w:p>
        </w:tc>
        <w:tc>
          <w:tcPr>
            <w:tcW w:w="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(909,336)</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(206,016)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(703,320)</w:t>
            </w:r>
          </w:p>
        </w:tc>
        <w:tc>
          <w:tcPr>
            <w:tcW w:w="80" w:type="dxa"/>
            <w:vAlign w:val="bottom"/>
          </w:tcPr>
          <w:p>
            <w:pPr>
              <w:spacing w:after="0"/>
              <w:rPr>
                <w:sz w:val="24"/>
                <w:szCs w:val="24"/>
                <w:color w:val="auto"/>
              </w:rPr>
            </w:pPr>
          </w:p>
        </w:tc>
        <w:tc>
          <w:tcPr>
            <w:tcW w:w="960" w:type="dxa"/>
            <w:vAlign w:val="bottom"/>
          </w:tcPr>
          <w:p>
            <w:pPr>
              <w:jc w:val="right"/>
              <w:ind w:right="118"/>
              <w:spacing w:after="0"/>
              <w:rPr>
                <w:sz w:val="20"/>
                <w:szCs w:val="20"/>
                <w:color w:val="auto"/>
              </w:rPr>
            </w:pPr>
            <w:r>
              <w:rPr>
                <w:rFonts w:ascii="Times New Roman" w:cs="Times New Roman" w:eastAsia="Times New Roman" w:hAnsi="Times New Roman"/>
                <w:sz w:val="20"/>
                <w:szCs w:val="20"/>
                <w:color w:val="auto"/>
              </w:rPr>
              <w:t>341%</w:t>
            </w:r>
          </w:p>
        </w:tc>
      </w:tr>
      <w:tr>
        <w:trPr>
          <w:trHeight w:val="712"/>
        </w:trPr>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1,203</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(2,871)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4,074</w:t>
            </w:r>
          </w:p>
        </w:tc>
        <w:tc>
          <w:tcPr>
            <w:tcW w:w="80" w:type="dxa"/>
            <w:vAlign w:val="bottom"/>
          </w:tcPr>
          <w:p>
            <w:pPr>
              <w:spacing w:after="0"/>
              <w:rPr>
                <w:sz w:val="24"/>
                <w:szCs w:val="24"/>
                <w:color w:val="auto"/>
              </w:rPr>
            </w:pPr>
          </w:p>
        </w:tc>
        <w:tc>
          <w:tcPr>
            <w:tcW w:w="960" w:type="dxa"/>
            <w:vAlign w:val="bottom"/>
          </w:tcPr>
          <w:p>
            <w:pPr>
              <w:jc w:val="right"/>
              <w:ind w:right="38"/>
              <w:spacing w:after="0"/>
              <w:rPr>
                <w:sz w:val="20"/>
                <w:szCs w:val="20"/>
                <w:color w:val="auto"/>
              </w:rPr>
            </w:pPr>
            <w:r>
              <w:rPr>
                <w:rFonts w:ascii="Times New Roman" w:cs="Times New Roman" w:eastAsia="Times New Roman" w:hAnsi="Times New Roman"/>
                <w:sz w:val="20"/>
                <w:szCs w:val="20"/>
                <w:color w:val="auto"/>
              </w:rPr>
              <w:t>(142)%</w:t>
            </w:r>
          </w:p>
        </w:tc>
        <w:tc>
          <w:tcPr>
            <w:tcW w:w="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4,125</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1,013</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3,112</w:t>
            </w:r>
          </w:p>
        </w:tc>
        <w:tc>
          <w:tcPr>
            <w:tcW w:w="80" w:type="dxa"/>
            <w:vAlign w:val="bottom"/>
          </w:tcPr>
          <w:p>
            <w:pPr>
              <w:spacing w:after="0"/>
              <w:rPr>
                <w:sz w:val="24"/>
                <w:szCs w:val="24"/>
                <w:color w:val="auto"/>
              </w:rPr>
            </w:pPr>
          </w:p>
        </w:tc>
        <w:tc>
          <w:tcPr>
            <w:tcW w:w="960" w:type="dxa"/>
            <w:vAlign w:val="bottom"/>
          </w:tcPr>
          <w:p>
            <w:pPr>
              <w:jc w:val="right"/>
              <w:ind w:right="118"/>
              <w:spacing w:after="0"/>
              <w:rPr>
                <w:sz w:val="20"/>
                <w:szCs w:val="20"/>
                <w:color w:val="auto"/>
              </w:rPr>
            </w:pPr>
            <w:r>
              <w:rPr>
                <w:rFonts w:ascii="Times New Roman" w:cs="Times New Roman" w:eastAsia="Times New Roman" w:hAnsi="Times New Roman"/>
                <w:sz w:val="20"/>
                <w:szCs w:val="20"/>
                <w:color w:val="auto"/>
              </w:rPr>
              <w:t>307%</w:t>
            </w:r>
          </w:p>
        </w:tc>
      </w:tr>
      <w:tr>
        <w:trPr>
          <w:trHeight w:val="345"/>
        </w:trPr>
        <w:tc>
          <w:tcPr>
            <w:tcW w:w="12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47"/>
        </w:trPr>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   (793,534)</w:t>
            </w:r>
          </w:p>
        </w:tc>
        <w:tc>
          <w:tcPr>
            <w:tcW w:w="60" w:type="dxa"/>
            <w:vAlign w:val="bottom"/>
          </w:tcPr>
          <w:p>
            <w:pPr>
              <w:spacing w:after="0"/>
              <w:rPr>
                <w:sz w:val="21"/>
                <w:szCs w:val="21"/>
                <w:color w:val="auto"/>
              </w:rPr>
            </w:pPr>
          </w:p>
        </w:tc>
        <w:tc>
          <w:tcPr>
            <w:tcW w:w="26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(104,983)</w:t>
            </w:r>
          </w:p>
        </w:tc>
        <w:tc>
          <w:tcPr>
            <w:tcW w:w="80" w:type="dxa"/>
            <w:vAlign w:val="bottom"/>
          </w:tcPr>
          <w:p>
            <w:pPr>
              <w:spacing w:after="0"/>
              <w:rPr>
                <w:sz w:val="21"/>
                <w:szCs w:val="21"/>
                <w:color w:val="auto"/>
              </w:rPr>
            </w:pPr>
          </w:p>
        </w:tc>
        <w:tc>
          <w:tcPr>
            <w:tcW w:w="26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(688,551)</w:t>
            </w:r>
          </w:p>
        </w:tc>
        <w:tc>
          <w:tcPr>
            <w:tcW w:w="80" w:type="dxa"/>
            <w:vAlign w:val="bottom"/>
          </w:tcPr>
          <w:p>
            <w:pPr>
              <w:spacing w:after="0"/>
              <w:rPr>
                <w:sz w:val="21"/>
                <w:szCs w:val="21"/>
                <w:color w:val="auto"/>
              </w:rPr>
            </w:pPr>
          </w:p>
        </w:tc>
        <w:tc>
          <w:tcPr>
            <w:tcW w:w="9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20"/>
                <w:szCs w:val="20"/>
                <w:color w:val="auto"/>
              </w:rPr>
              <w:t>656%</w:t>
            </w:r>
          </w:p>
        </w:tc>
        <w:tc>
          <w:tcPr>
            <w:tcW w:w="80" w:type="dxa"/>
            <w:vAlign w:val="bottom"/>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   (913,461)</w:t>
            </w:r>
          </w:p>
        </w:tc>
        <w:tc>
          <w:tcPr>
            <w:tcW w:w="60" w:type="dxa"/>
            <w:vAlign w:val="bottom"/>
          </w:tcPr>
          <w:p>
            <w:pPr>
              <w:spacing w:after="0"/>
              <w:rPr>
                <w:sz w:val="21"/>
                <w:szCs w:val="21"/>
                <w:color w:val="auto"/>
              </w:rPr>
            </w:pPr>
          </w:p>
        </w:tc>
        <w:tc>
          <w:tcPr>
            <w:tcW w:w="26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(207,029)</w:t>
            </w:r>
          </w:p>
        </w:tc>
        <w:tc>
          <w:tcPr>
            <w:tcW w:w="80" w:type="dxa"/>
            <w:vAlign w:val="bottom"/>
          </w:tcPr>
          <w:p>
            <w:pPr>
              <w:spacing w:after="0"/>
              <w:rPr>
                <w:sz w:val="21"/>
                <w:szCs w:val="21"/>
                <w:color w:val="auto"/>
              </w:rPr>
            </w:pPr>
          </w:p>
        </w:tc>
        <w:tc>
          <w:tcPr>
            <w:tcW w:w="26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(706,432)</w:t>
            </w:r>
          </w:p>
        </w:tc>
        <w:tc>
          <w:tcPr>
            <w:tcW w:w="80" w:type="dxa"/>
            <w:vAlign w:val="bottom"/>
          </w:tcPr>
          <w:p>
            <w:pPr>
              <w:spacing w:after="0"/>
              <w:rPr>
                <w:sz w:val="21"/>
                <w:szCs w:val="21"/>
                <w:color w:val="auto"/>
              </w:rPr>
            </w:pPr>
          </w:p>
        </w:tc>
        <w:tc>
          <w:tcPr>
            <w:tcW w:w="9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20"/>
                <w:szCs w:val="20"/>
                <w:color w:val="auto"/>
              </w:rPr>
              <w:t>341%</w:t>
            </w:r>
          </w:p>
        </w:tc>
      </w:tr>
      <w:tr>
        <w:trPr>
          <w:trHeight w:val="20"/>
        </w:trPr>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-2589530</wp:posOffset>
            </wp:positionV>
            <wp:extent cx="61963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963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400" w:type="dxa"/>
        <w:tblCellMar>
          <w:top w:w="0" w:type="dxa"/>
          <w:left w:w="0" w:type="dxa"/>
          <w:bottom w:w="0" w:type="dxa"/>
          <w:right w:w="0" w:type="dxa"/>
        </w:tblCellMar>
      </w:tblPr>
      <w:tr>
        <w:trPr>
          <w:trHeight w:val="265"/>
        </w:trPr>
        <w:tc>
          <w:tcPr>
            <w:tcW w:w="1100" w:type="dxa"/>
            <w:vAlign w:val="bottom"/>
          </w:tcPr>
          <w:p>
            <w:pPr>
              <w:jc w:val="right"/>
              <w:ind w:right="198"/>
              <w:spacing w:after="0"/>
              <w:rPr>
                <w:sz w:val="20"/>
                <w:szCs w:val="20"/>
                <w:color w:val="auto"/>
              </w:rPr>
            </w:pPr>
            <w:r>
              <w:rPr>
                <w:rFonts w:ascii="Times New Roman" w:cs="Times New Roman" w:eastAsia="Times New Roman" w:hAnsi="Times New Roman"/>
                <w:sz w:val="20"/>
                <w:szCs w:val="20"/>
                <w:color w:val="auto"/>
                <w:w w:val="99"/>
              </w:rPr>
              <w:t>(789,436)</w:t>
            </w:r>
          </w:p>
        </w:tc>
        <w:tc>
          <w:tcPr>
            <w:tcW w:w="1240" w:type="dxa"/>
            <w:vAlign w:val="bottom"/>
          </w:tcPr>
          <w:p>
            <w:pPr>
              <w:jc w:val="right"/>
              <w:ind w:right="158"/>
              <w:spacing w:after="0"/>
              <w:rPr>
                <w:sz w:val="20"/>
                <w:szCs w:val="20"/>
                <w:color w:val="auto"/>
              </w:rPr>
            </w:pPr>
            <w:r>
              <w:rPr>
                <w:rFonts w:ascii="Times New Roman" w:cs="Times New Roman" w:eastAsia="Times New Roman" w:hAnsi="Times New Roman"/>
                <w:sz w:val="20"/>
                <w:szCs w:val="20"/>
                <w:color w:val="auto"/>
              </w:rPr>
              <w:t>(92,701)</w:t>
            </w:r>
          </w:p>
        </w:tc>
        <w:tc>
          <w:tcPr>
            <w:tcW w:w="1220" w:type="dxa"/>
            <w:vAlign w:val="bottom"/>
          </w:tcPr>
          <w:p>
            <w:pPr>
              <w:jc w:val="right"/>
              <w:ind w:right="78"/>
              <w:spacing w:after="0"/>
              <w:rPr>
                <w:sz w:val="20"/>
                <w:szCs w:val="20"/>
                <w:color w:val="auto"/>
              </w:rPr>
            </w:pPr>
            <w:r>
              <w:rPr>
                <w:rFonts w:ascii="Times New Roman" w:cs="Times New Roman" w:eastAsia="Times New Roman" w:hAnsi="Times New Roman"/>
                <w:sz w:val="20"/>
                <w:szCs w:val="20"/>
                <w:color w:val="auto"/>
              </w:rPr>
              <w:t>(696,735)</w:t>
            </w:r>
          </w:p>
        </w:tc>
        <w:tc>
          <w:tcPr>
            <w:tcW w:w="1040" w:type="dxa"/>
            <w:vAlign w:val="bottom"/>
          </w:tcPr>
          <w:p>
            <w:pPr>
              <w:jc w:val="right"/>
              <w:ind w:right="278"/>
              <w:spacing w:after="0"/>
              <w:rPr>
                <w:sz w:val="20"/>
                <w:szCs w:val="20"/>
                <w:color w:val="auto"/>
              </w:rPr>
            </w:pPr>
            <w:r>
              <w:rPr>
                <w:rFonts w:ascii="Times New Roman" w:cs="Times New Roman" w:eastAsia="Times New Roman" w:hAnsi="Times New Roman"/>
                <w:sz w:val="20"/>
                <w:szCs w:val="20"/>
                <w:color w:val="auto"/>
              </w:rPr>
              <w:t>752%</w:t>
            </w:r>
          </w:p>
        </w:tc>
        <w:tc>
          <w:tcPr>
            <w:tcW w:w="1360" w:type="dxa"/>
            <w:vAlign w:val="bottom"/>
          </w:tcPr>
          <w:p>
            <w:pPr>
              <w:jc w:val="right"/>
              <w:ind w:right="158"/>
              <w:spacing w:after="0"/>
              <w:rPr>
                <w:sz w:val="20"/>
                <w:szCs w:val="20"/>
                <w:color w:val="auto"/>
              </w:rPr>
            </w:pPr>
            <w:r>
              <w:rPr>
                <w:rFonts w:ascii="Times New Roman" w:cs="Times New Roman" w:eastAsia="Times New Roman" w:hAnsi="Times New Roman"/>
                <w:sz w:val="20"/>
                <w:szCs w:val="20"/>
                <w:color w:val="auto"/>
              </w:rPr>
              <w:t>(913,943)</w:t>
            </w:r>
          </w:p>
        </w:tc>
        <w:tc>
          <w:tcPr>
            <w:tcW w:w="1300" w:type="dxa"/>
            <w:vAlign w:val="bottom"/>
          </w:tcPr>
          <w:p>
            <w:pPr>
              <w:jc w:val="right"/>
              <w:ind w:right="158"/>
              <w:spacing w:after="0"/>
              <w:rPr>
                <w:sz w:val="20"/>
                <w:szCs w:val="20"/>
                <w:color w:val="auto"/>
              </w:rPr>
            </w:pPr>
            <w:r>
              <w:rPr>
                <w:rFonts w:ascii="Times New Roman" w:cs="Times New Roman" w:eastAsia="Times New Roman" w:hAnsi="Times New Roman"/>
                <w:sz w:val="20"/>
                <w:szCs w:val="20"/>
                <w:color w:val="auto"/>
              </w:rPr>
              <w:t>(213,234)</w:t>
            </w:r>
          </w:p>
        </w:tc>
        <w:tc>
          <w:tcPr>
            <w:tcW w:w="1220" w:type="dxa"/>
            <w:vAlign w:val="bottom"/>
          </w:tcPr>
          <w:p>
            <w:pPr>
              <w:jc w:val="right"/>
              <w:ind w:right="78"/>
              <w:spacing w:after="0"/>
              <w:rPr>
                <w:sz w:val="20"/>
                <w:szCs w:val="20"/>
                <w:color w:val="auto"/>
              </w:rPr>
            </w:pPr>
            <w:r>
              <w:rPr>
                <w:rFonts w:ascii="Times New Roman" w:cs="Times New Roman" w:eastAsia="Times New Roman" w:hAnsi="Times New Roman"/>
                <w:sz w:val="20"/>
                <w:szCs w:val="20"/>
                <w:color w:val="auto"/>
              </w:rPr>
              <w:t>(700,709)</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329%</w:t>
            </w:r>
          </w:p>
        </w:tc>
      </w:tr>
      <w:tr>
        <w:trPr>
          <w:trHeight w:val="712"/>
        </w:trPr>
        <w:tc>
          <w:tcPr>
            <w:tcW w:w="1100" w:type="dxa"/>
            <w:vAlign w:val="bottom"/>
          </w:tcPr>
          <w:p>
            <w:pPr>
              <w:jc w:val="right"/>
              <w:ind w:right="198"/>
              <w:spacing w:after="0"/>
              <w:rPr>
                <w:sz w:val="20"/>
                <w:szCs w:val="20"/>
                <w:color w:val="auto"/>
              </w:rPr>
            </w:pPr>
            <w:r>
              <w:rPr>
                <w:rFonts w:ascii="Times New Roman" w:cs="Times New Roman" w:eastAsia="Times New Roman" w:hAnsi="Times New Roman"/>
                <w:sz w:val="20"/>
                <w:szCs w:val="20"/>
                <w:color w:val="auto"/>
              </w:rPr>
              <w:t>(4,098)</w:t>
            </w:r>
          </w:p>
        </w:tc>
        <w:tc>
          <w:tcPr>
            <w:tcW w:w="1240" w:type="dxa"/>
            <w:vAlign w:val="bottom"/>
          </w:tcPr>
          <w:p>
            <w:pPr>
              <w:jc w:val="right"/>
              <w:ind w:right="158"/>
              <w:spacing w:after="0"/>
              <w:rPr>
                <w:sz w:val="20"/>
                <w:szCs w:val="20"/>
                <w:color w:val="auto"/>
              </w:rPr>
            </w:pPr>
            <w:r>
              <w:rPr>
                <w:rFonts w:ascii="Times New Roman" w:cs="Times New Roman" w:eastAsia="Times New Roman" w:hAnsi="Times New Roman"/>
                <w:sz w:val="20"/>
                <w:szCs w:val="20"/>
                <w:color w:val="auto"/>
              </w:rPr>
              <w:t>(12,282)</w:t>
            </w:r>
          </w:p>
        </w:tc>
        <w:tc>
          <w:tcPr>
            <w:tcW w:w="1220" w:type="dxa"/>
            <w:vAlign w:val="bottom"/>
          </w:tcPr>
          <w:p>
            <w:pPr>
              <w:jc w:val="right"/>
              <w:ind w:right="138"/>
              <w:spacing w:after="0"/>
              <w:rPr>
                <w:sz w:val="20"/>
                <w:szCs w:val="20"/>
                <w:color w:val="auto"/>
              </w:rPr>
            </w:pPr>
            <w:r>
              <w:rPr>
                <w:rFonts w:ascii="Times New Roman" w:cs="Times New Roman" w:eastAsia="Times New Roman" w:hAnsi="Times New Roman"/>
                <w:sz w:val="20"/>
                <w:szCs w:val="20"/>
                <w:color w:val="auto"/>
              </w:rPr>
              <w:t>8,184</w:t>
            </w:r>
          </w:p>
        </w:tc>
        <w:tc>
          <w:tcPr>
            <w:tcW w:w="1040" w:type="dxa"/>
            <w:vAlign w:val="bottom"/>
          </w:tcPr>
          <w:p>
            <w:pPr>
              <w:jc w:val="right"/>
              <w:ind w:right="198"/>
              <w:spacing w:after="0"/>
              <w:rPr>
                <w:sz w:val="20"/>
                <w:szCs w:val="20"/>
                <w:color w:val="auto"/>
              </w:rPr>
            </w:pPr>
            <w:r>
              <w:rPr>
                <w:rFonts w:ascii="Times New Roman" w:cs="Times New Roman" w:eastAsia="Times New Roman" w:hAnsi="Times New Roman"/>
                <w:sz w:val="20"/>
                <w:szCs w:val="20"/>
                <w:color w:val="auto"/>
              </w:rPr>
              <w:t>(67)%</w:t>
            </w:r>
          </w:p>
        </w:tc>
        <w:tc>
          <w:tcPr>
            <w:tcW w:w="1360" w:type="dxa"/>
            <w:vAlign w:val="bottom"/>
          </w:tcPr>
          <w:p>
            <w:pPr>
              <w:jc w:val="right"/>
              <w:ind w:right="218"/>
              <w:spacing w:after="0"/>
              <w:rPr>
                <w:sz w:val="20"/>
                <w:szCs w:val="20"/>
                <w:color w:val="auto"/>
              </w:rPr>
            </w:pPr>
            <w:r>
              <w:rPr>
                <w:rFonts w:ascii="Times New Roman" w:cs="Times New Roman" w:eastAsia="Times New Roman" w:hAnsi="Times New Roman"/>
                <w:sz w:val="20"/>
                <w:szCs w:val="20"/>
                <w:color w:val="auto"/>
              </w:rPr>
              <w:t>482</w:t>
            </w:r>
          </w:p>
        </w:tc>
        <w:tc>
          <w:tcPr>
            <w:tcW w:w="1300" w:type="dxa"/>
            <w:vAlign w:val="bottom"/>
          </w:tcPr>
          <w:p>
            <w:pPr>
              <w:jc w:val="right"/>
              <w:ind w:right="218"/>
              <w:spacing w:after="0"/>
              <w:rPr>
                <w:sz w:val="20"/>
                <w:szCs w:val="20"/>
                <w:color w:val="auto"/>
              </w:rPr>
            </w:pPr>
            <w:r>
              <w:rPr>
                <w:rFonts w:ascii="Times New Roman" w:cs="Times New Roman" w:eastAsia="Times New Roman" w:hAnsi="Times New Roman"/>
                <w:sz w:val="20"/>
                <w:szCs w:val="20"/>
                <w:color w:val="auto"/>
              </w:rPr>
              <w:t>6,205</w:t>
            </w:r>
          </w:p>
        </w:tc>
        <w:tc>
          <w:tcPr>
            <w:tcW w:w="1220" w:type="dxa"/>
            <w:vAlign w:val="bottom"/>
          </w:tcPr>
          <w:p>
            <w:pPr>
              <w:jc w:val="right"/>
              <w:ind w:right="78"/>
              <w:spacing w:after="0"/>
              <w:rPr>
                <w:sz w:val="20"/>
                <w:szCs w:val="20"/>
                <w:color w:val="auto"/>
              </w:rPr>
            </w:pPr>
            <w:r>
              <w:rPr>
                <w:rFonts w:ascii="Times New Roman" w:cs="Times New Roman" w:eastAsia="Times New Roman" w:hAnsi="Times New Roman"/>
                <w:sz w:val="20"/>
                <w:szCs w:val="20"/>
                <w:color w:val="auto"/>
              </w:rPr>
              <w:t>(5,723)</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(5,389)</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(4,696)</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(693)</w:t>
            </w:r>
          </w:p>
        </w:tc>
        <w:tc>
          <w:tcPr>
            <w:tcW w:w="80" w:type="dxa"/>
            <w:vAlign w:val="bottom"/>
          </w:tcPr>
          <w:p>
            <w:pPr>
              <w:spacing w:after="0"/>
              <w:rPr>
                <w:sz w:val="23"/>
                <w:szCs w:val="23"/>
                <w:color w:val="auto"/>
              </w:rPr>
            </w:pPr>
          </w:p>
        </w:tc>
        <w:tc>
          <w:tcPr>
            <w:tcW w:w="960" w:type="dxa"/>
            <w:vAlign w:val="bottom"/>
          </w:tcPr>
          <w:p>
            <w:pPr>
              <w:jc w:val="right"/>
              <w:ind w:right="118"/>
              <w:spacing w:after="0"/>
              <w:rPr>
                <w:sz w:val="20"/>
                <w:szCs w:val="20"/>
                <w:color w:val="auto"/>
              </w:rPr>
            </w:pPr>
            <w:r>
              <w:rPr>
                <w:rFonts w:ascii="Times New Roman" w:cs="Times New Roman" w:eastAsia="Times New Roman" w:hAnsi="Times New Roman"/>
                <w:sz w:val="20"/>
                <w:szCs w:val="20"/>
                <w:color w:val="auto"/>
              </w:rPr>
              <w:t>15%</w:t>
            </w:r>
          </w:p>
        </w:tc>
        <w:tc>
          <w:tcPr>
            <w:tcW w:w="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(10,195)</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3,716</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(13,911)</w:t>
            </w:r>
          </w:p>
        </w:tc>
        <w:tc>
          <w:tcPr>
            <w:tcW w:w="80" w:type="dxa"/>
            <w:vAlign w:val="bottom"/>
          </w:tcPr>
          <w:p>
            <w:pPr>
              <w:spacing w:after="0"/>
              <w:rPr>
                <w:sz w:val="23"/>
                <w:szCs w:val="23"/>
                <w:color w:val="auto"/>
              </w:rPr>
            </w:pPr>
          </w:p>
        </w:tc>
        <w:tc>
          <w:tcPr>
            <w:tcW w:w="960" w:type="dxa"/>
            <w:vAlign w:val="bottom"/>
          </w:tcPr>
          <w:p>
            <w:pPr>
              <w:jc w:val="right"/>
              <w:ind w:right="58"/>
              <w:spacing w:after="0"/>
              <w:rPr>
                <w:sz w:val="20"/>
                <w:szCs w:val="20"/>
                <w:color w:val="auto"/>
              </w:rPr>
            </w:pPr>
            <w:r>
              <w:rPr>
                <w:rFonts w:ascii="Times New Roman" w:cs="Times New Roman" w:eastAsia="Times New Roman" w:hAnsi="Times New Roman"/>
                <w:sz w:val="20"/>
                <w:szCs w:val="20"/>
                <w:color w:val="auto"/>
              </w:rPr>
              <w:t>(374)%</w:t>
            </w:r>
          </w:p>
        </w:tc>
      </w:tr>
      <w:tr>
        <w:trPr>
          <w:trHeight w:val="345"/>
        </w:trPr>
        <w:tc>
          <w:tcPr>
            <w:tcW w:w="12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576"/>
        </w:trPr>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(5,389)</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(4,696)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(693)</w:t>
            </w:r>
          </w:p>
        </w:tc>
        <w:tc>
          <w:tcPr>
            <w:tcW w:w="80" w:type="dxa"/>
            <w:vAlign w:val="bottom"/>
          </w:tcPr>
          <w:p>
            <w:pPr>
              <w:spacing w:after="0"/>
              <w:rPr>
                <w:sz w:val="24"/>
                <w:szCs w:val="24"/>
                <w:color w:val="auto"/>
              </w:rPr>
            </w:pPr>
          </w:p>
        </w:tc>
        <w:tc>
          <w:tcPr>
            <w:tcW w:w="960" w:type="dxa"/>
            <w:vAlign w:val="bottom"/>
          </w:tcPr>
          <w:p>
            <w:pPr>
              <w:jc w:val="right"/>
              <w:ind w:right="118"/>
              <w:spacing w:after="0"/>
              <w:rPr>
                <w:sz w:val="20"/>
                <w:szCs w:val="20"/>
                <w:color w:val="auto"/>
              </w:rPr>
            </w:pPr>
            <w:r>
              <w:rPr>
                <w:rFonts w:ascii="Times New Roman" w:cs="Times New Roman" w:eastAsia="Times New Roman" w:hAnsi="Times New Roman"/>
                <w:sz w:val="20"/>
                <w:szCs w:val="20"/>
                <w:color w:val="auto"/>
              </w:rPr>
              <w:t>15%</w:t>
            </w:r>
          </w:p>
        </w:tc>
        <w:tc>
          <w:tcPr>
            <w:tcW w:w="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(10,195)</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3,716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(13,911)</w:t>
            </w:r>
          </w:p>
        </w:tc>
        <w:tc>
          <w:tcPr>
            <w:tcW w:w="80" w:type="dxa"/>
            <w:vAlign w:val="bottom"/>
          </w:tcPr>
          <w:p>
            <w:pPr>
              <w:spacing w:after="0"/>
              <w:rPr>
                <w:sz w:val="24"/>
                <w:szCs w:val="24"/>
                <w:color w:val="auto"/>
              </w:rPr>
            </w:pPr>
          </w:p>
        </w:tc>
        <w:tc>
          <w:tcPr>
            <w:tcW w:w="960" w:type="dxa"/>
            <w:vAlign w:val="bottom"/>
          </w:tcPr>
          <w:p>
            <w:pPr>
              <w:jc w:val="right"/>
              <w:ind w:right="58"/>
              <w:spacing w:after="0"/>
              <w:rPr>
                <w:sz w:val="20"/>
                <w:szCs w:val="20"/>
                <w:color w:val="auto"/>
              </w:rPr>
            </w:pPr>
            <w:r>
              <w:rPr>
                <w:rFonts w:ascii="Times New Roman" w:cs="Times New Roman" w:eastAsia="Times New Roman" w:hAnsi="Times New Roman"/>
                <w:sz w:val="20"/>
                <w:szCs w:val="20"/>
                <w:color w:val="auto"/>
              </w:rPr>
              <w:t>(374)%</w:t>
            </w:r>
          </w:p>
        </w:tc>
      </w:tr>
      <w:tr>
        <w:trPr>
          <w:trHeight w:val="345"/>
        </w:trPr>
        <w:tc>
          <w:tcPr>
            <w:tcW w:w="12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334"/>
        </w:trPr>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(798,923)</w:t>
            </w:r>
          </w:p>
        </w:tc>
        <w:tc>
          <w:tcPr>
            <w:tcW w:w="60" w:type="dxa"/>
            <w:vAlign w:val="bottom"/>
          </w:tcPr>
          <w:p>
            <w:pPr>
              <w:spacing w:after="0"/>
              <w:rPr>
                <w:sz w:val="24"/>
                <w:szCs w:val="24"/>
                <w:color w:val="auto"/>
              </w:rPr>
            </w:pPr>
          </w:p>
        </w:tc>
        <w:tc>
          <w:tcPr>
            <w:tcW w:w="260" w:type="dxa"/>
            <w:vAlign w:val="bottom"/>
          </w:tcPr>
          <w:p>
            <w:pPr>
              <w:jc w:val="right"/>
              <w:ind w:right="38"/>
              <w:spacing w:after="0"/>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(109,679)</w:t>
            </w:r>
          </w:p>
        </w:tc>
        <w:tc>
          <w:tcPr>
            <w:tcW w:w="80" w:type="dxa"/>
            <w:vAlign w:val="bottom"/>
          </w:tcPr>
          <w:p>
            <w:pPr>
              <w:spacing w:after="0"/>
              <w:rPr>
                <w:sz w:val="24"/>
                <w:szCs w:val="24"/>
                <w:color w:val="auto"/>
              </w:rPr>
            </w:pPr>
          </w:p>
        </w:tc>
        <w:tc>
          <w:tcPr>
            <w:tcW w:w="260" w:type="dxa"/>
            <w:vAlign w:val="bottom"/>
          </w:tcPr>
          <w:p>
            <w:pPr>
              <w:jc w:val="right"/>
              <w:ind w:right="38"/>
              <w:spacing w:after="0"/>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(689,244)</w:t>
            </w:r>
          </w:p>
        </w:tc>
        <w:tc>
          <w:tcPr>
            <w:tcW w:w="80" w:type="dxa"/>
            <w:vAlign w:val="bottom"/>
          </w:tcPr>
          <w:p>
            <w:pPr>
              <w:spacing w:after="0"/>
              <w:rPr>
                <w:sz w:val="24"/>
                <w:szCs w:val="24"/>
                <w:color w:val="auto"/>
              </w:rPr>
            </w:pPr>
          </w:p>
        </w:tc>
        <w:tc>
          <w:tcPr>
            <w:tcW w:w="960" w:type="dxa"/>
            <w:vAlign w:val="bottom"/>
          </w:tcPr>
          <w:p>
            <w:pPr>
              <w:jc w:val="right"/>
              <w:ind w:right="118"/>
              <w:spacing w:after="0"/>
              <w:rPr>
                <w:sz w:val="20"/>
                <w:szCs w:val="20"/>
                <w:color w:val="auto"/>
              </w:rPr>
            </w:pPr>
            <w:r>
              <w:rPr>
                <w:rFonts w:ascii="Times New Roman" w:cs="Times New Roman" w:eastAsia="Times New Roman" w:hAnsi="Times New Roman"/>
                <w:sz w:val="20"/>
                <w:szCs w:val="20"/>
                <w:color w:val="auto"/>
              </w:rPr>
              <w:t>628%</w:t>
            </w:r>
          </w:p>
        </w:tc>
        <w:tc>
          <w:tcPr>
            <w:tcW w:w="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(923,656)</w:t>
            </w:r>
          </w:p>
        </w:tc>
        <w:tc>
          <w:tcPr>
            <w:tcW w:w="60" w:type="dxa"/>
            <w:vAlign w:val="bottom"/>
          </w:tcPr>
          <w:p>
            <w:pPr>
              <w:spacing w:after="0"/>
              <w:rPr>
                <w:sz w:val="24"/>
                <w:szCs w:val="24"/>
                <w:color w:val="auto"/>
              </w:rPr>
            </w:pPr>
          </w:p>
        </w:tc>
        <w:tc>
          <w:tcPr>
            <w:tcW w:w="260" w:type="dxa"/>
            <w:vAlign w:val="bottom"/>
          </w:tcPr>
          <w:p>
            <w:pPr>
              <w:jc w:val="right"/>
              <w:ind w:right="38"/>
              <w:spacing w:after="0"/>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(203,313)</w:t>
            </w:r>
          </w:p>
        </w:tc>
        <w:tc>
          <w:tcPr>
            <w:tcW w:w="80" w:type="dxa"/>
            <w:vAlign w:val="bottom"/>
          </w:tcPr>
          <w:p>
            <w:pPr>
              <w:spacing w:after="0"/>
              <w:rPr>
                <w:sz w:val="24"/>
                <w:szCs w:val="24"/>
                <w:color w:val="auto"/>
              </w:rPr>
            </w:pPr>
          </w:p>
        </w:tc>
        <w:tc>
          <w:tcPr>
            <w:tcW w:w="260" w:type="dxa"/>
            <w:vAlign w:val="bottom"/>
          </w:tcPr>
          <w:p>
            <w:pPr>
              <w:jc w:val="right"/>
              <w:ind w:right="38"/>
              <w:spacing w:after="0"/>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(720,343)</w:t>
            </w:r>
          </w:p>
        </w:tc>
        <w:tc>
          <w:tcPr>
            <w:tcW w:w="80" w:type="dxa"/>
            <w:vAlign w:val="bottom"/>
          </w:tcPr>
          <w:p>
            <w:pPr>
              <w:spacing w:after="0"/>
              <w:rPr>
                <w:sz w:val="24"/>
                <w:szCs w:val="24"/>
                <w:color w:val="auto"/>
              </w:rPr>
            </w:pPr>
          </w:p>
        </w:tc>
        <w:tc>
          <w:tcPr>
            <w:tcW w:w="960" w:type="dxa"/>
            <w:vAlign w:val="bottom"/>
          </w:tcPr>
          <w:p>
            <w:pPr>
              <w:jc w:val="right"/>
              <w:ind w:right="118"/>
              <w:spacing w:after="0"/>
              <w:rPr>
                <w:sz w:val="20"/>
                <w:szCs w:val="20"/>
                <w:color w:val="auto"/>
              </w:rPr>
            </w:pPr>
            <w:r>
              <w:rPr>
                <w:rFonts w:ascii="Times New Roman" w:cs="Times New Roman" w:eastAsia="Times New Roman" w:hAnsi="Times New Roman"/>
                <w:sz w:val="20"/>
                <w:szCs w:val="20"/>
                <w:color w:val="auto"/>
              </w:rPr>
              <w:t>354%</w:t>
            </w:r>
          </w:p>
        </w:tc>
      </w:tr>
      <w:tr>
        <w:trPr>
          <w:trHeight w:val="103"/>
        </w:trPr>
        <w:tc>
          <w:tcPr>
            <w:tcW w:w="12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r>
      <w:tr>
        <w:trPr>
          <w:trHeight w:val="20"/>
        </w:trPr>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1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(794,414)</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(97,521)</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(696,893)</w:t>
            </w:r>
          </w:p>
        </w:tc>
        <w:tc>
          <w:tcPr>
            <w:tcW w:w="80" w:type="dxa"/>
            <w:vAlign w:val="bottom"/>
          </w:tcPr>
          <w:p>
            <w:pPr>
              <w:spacing w:after="0"/>
              <w:rPr>
                <w:sz w:val="23"/>
                <w:szCs w:val="23"/>
                <w:color w:val="auto"/>
              </w:rPr>
            </w:pPr>
          </w:p>
        </w:tc>
        <w:tc>
          <w:tcPr>
            <w:tcW w:w="960" w:type="dxa"/>
            <w:vAlign w:val="bottom"/>
          </w:tcPr>
          <w:p>
            <w:pPr>
              <w:jc w:val="right"/>
              <w:ind w:right="118"/>
              <w:spacing w:after="0"/>
              <w:rPr>
                <w:sz w:val="20"/>
                <w:szCs w:val="20"/>
                <w:color w:val="auto"/>
              </w:rPr>
            </w:pPr>
            <w:r>
              <w:rPr>
                <w:rFonts w:ascii="Times New Roman" w:cs="Times New Roman" w:eastAsia="Times New Roman" w:hAnsi="Times New Roman"/>
                <w:sz w:val="20"/>
                <w:szCs w:val="20"/>
                <w:color w:val="auto"/>
              </w:rPr>
              <w:t>715%</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(923,379)</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(209,811)</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(713,568)</w:t>
            </w:r>
          </w:p>
        </w:tc>
        <w:tc>
          <w:tcPr>
            <w:tcW w:w="80" w:type="dxa"/>
            <w:vAlign w:val="bottom"/>
          </w:tcPr>
          <w:p>
            <w:pPr>
              <w:spacing w:after="0"/>
              <w:rPr>
                <w:sz w:val="23"/>
                <w:szCs w:val="23"/>
                <w:color w:val="auto"/>
              </w:rPr>
            </w:pPr>
          </w:p>
        </w:tc>
        <w:tc>
          <w:tcPr>
            <w:tcW w:w="960" w:type="dxa"/>
            <w:vAlign w:val="bottom"/>
          </w:tcPr>
          <w:p>
            <w:pPr>
              <w:jc w:val="right"/>
              <w:ind w:right="118"/>
              <w:spacing w:after="0"/>
              <w:rPr>
                <w:sz w:val="20"/>
                <w:szCs w:val="20"/>
                <w:color w:val="auto"/>
              </w:rPr>
            </w:pPr>
            <w:r>
              <w:rPr>
                <w:rFonts w:ascii="Times New Roman" w:cs="Times New Roman" w:eastAsia="Times New Roman" w:hAnsi="Times New Roman"/>
                <w:sz w:val="20"/>
                <w:szCs w:val="20"/>
                <w:color w:val="auto"/>
              </w:rPr>
              <w:t>340%</w:t>
            </w:r>
          </w:p>
        </w:tc>
      </w:tr>
      <w:tr>
        <w:trPr>
          <w:trHeight w:val="712"/>
        </w:trPr>
        <w:tc>
          <w:tcPr>
            <w:tcW w:w="1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(4,509)</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(12,158)</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7,649</w:t>
            </w:r>
          </w:p>
        </w:tc>
        <w:tc>
          <w:tcPr>
            <w:tcW w:w="80" w:type="dxa"/>
            <w:vAlign w:val="bottom"/>
          </w:tcPr>
          <w:p>
            <w:pPr>
              <w:spacing w:after="0"/>
              <w:rPr>
                <w:sz w:val="24"/>
                <w:szCs w:val="24"/>
                <w:color w:val="auto"/>
              </w:rPr>
            </w:pPr>
          </w:p>
        </w:tc>
        <w:tc>
          <w:tcPr>
            <w:tcW w:w="960" w:type="dxa"/>
            <w:vAlign w:val="bottom"/>
          </w:tcPr>
          <w:p>
            <w:pPr>
              <w:jc w:val="right"/>
              <w:ind w:right="38"/>
              <w:spacing w:after="0"/>
              <w:rPr>
                <w:sz w:val="20"/>
                <w:szCs w:val="20"/>
                <w:color w:val="auto"/>
              </w:rPr>
            </w:pPr>
            <w:r>
              <w:rPr>
                <w:rFonts w:ascii="Times New Roman" w:cs="Times New Roman" w:eastAsia="Times New Roman" w:hAnsi="Times New Roman"/>
                <w:sz w:val="20"/>
                <w:szCs w:val="20"/>
                <w:color w:val="auto"/>
              </w:rPr>
              <w:t>(63)%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(277)</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6,498</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(6,775)</w:t>
            </w:r>
          </w:p>
        </w:tc>
        <w:tc>
          <w:tcPr>
            <w:tcW w:w="80" w:type="dxa"/>
            <w:vAlign w:val="bottom"/>
          </w:tcPr>
          <w:p>
            <w:pPr>
              <w:spacing w:after="0"/>
              <w:rPr>
                <w:sz w:val="24"/>
                <w:szCs w:val="24"/>
                <w:color w:val="auto"/>
              </w:rPr>
            </w:pPr>
          </w:p>
        </w:tc>
        <w:tc>
          <w:tcPr>
            <w:tcW w:w="960" w:type="dxa"/>
            <w:vAlign w:val="bottom"/>
          </w:tcPr>
          <w:p>
            <w:pPr>
              <w:jc w:val="right"/>
              <w:ind w:right="58"/>
              <w:spacing w:after="0"/>
              <w:rPr>
                <w:sz w:val="20"/>
                <w:szCs w:val="20"/>
                <w:color w:val="auto"/>
              </w:rPr>
            </w:pPr>
            <w:r>
              <w:rPr>
                <w:rFonts w:ascii="Times New Roman" w:cs="Times New Roman" w:eastAsia="Times New Roman" w:hAnsi="Times New Roman"/>
                <w:sz w:val="20"/>
                <w:szCs w:val="20"/>
                <w:color w:val="auto"/>
              </w:rPr>
              <w:t>(104)%</w:t>
            </w:r>
          </w:p>
        </w:tc>
      </w:tr>
      <w:tr>
        <w:trPr>
          <w:trHeight w:val="230"/>
        </w:trPr>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576"/>
        </w:trPr>
        <w:tc>
          <w:tcPr>
            <w:tcW w:w="1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908,342,792</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754,439,331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153,903,461</w:t>
            </w:r>
          </w:p>
        </w:tc>
        <w:tc>
          <w:tcPr>
            <w:tcW w:w="80" w:type="dxa"/>
            <w:vAlign w:val="bottom"/>
          </w:tcPr>
          <w:p>
            <w:pPr>
              <w:spacing w:after="0"/>
              <w:rPr>
                <w:sz w:val="24"/>
                <w:szCs w:val="24"/>
                <w:color w:val="auto"/>
              </w:rPr>
            </w:pPr>
          </w:p>
        </w:tc>
        <w:tc>
          <w:tcPr>
            <w:tcW w:w="960" w:type="dxa"/>
            <w:vAlign w:val="bottom"/>
          </w:tcPr>
          <w:p>
            <w:pPr>
              <w:jc w:val="right"/>
              <w:ind w:right="118"/>
              <w:spacing w:after="0"/>
              <w:rPr>
                <w:sz w:val="20"/>
                <w:szCs w:val="20"/>
                <w:color w:val="auto"/>
              </w:rPr>
            </w:pPr>
            <w:r>
              <w:rPr>
                <w:rFonts w:ascii="Times New Roman" w:cs="Times New Roman" w:eastAsia="Times New Roman" w:hAnsi="Times New Roman"/>
                <w:sz w:val="20"/>
                <w:szCs w:val="20"/>
                <w:color w:val="auto"/>
              </w:rPr>
              <w:t>20%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860,793,723</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725,346,952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135,446,771</w:t>
            </w:r>
          </w:p>
        </w:tc>
        <w:tc>
          <w:tcPr>
            <w:tcW w:w="80" w:type="dxa"/>
            <w:vAlign w:val="bottom"/>
          </w:tcPr>
          <w:p>
            <w:pPr>
              <w:spacing w:after="0"/>
              <w:rPr>
                <w:sz w:val="24"/>
                <w:szCs w:val="24"/>
                <w:color w:val="auto"/>
              </w:rPr>
            </w:pPr>
          </w:p>
        </w:tc>
        <w:tc>
          <w:tcPr>
            <w:tcW w:w="960" w:type="dxa"/>
            <w:vAlign w:val="bottom"/>
          </w:tcPr>
          <w:p>
            <w:pPr>
              <w:jc w:val="right"/>
              <w:ind w:right="118"/>
              <w:spacing w:after="0"/>
              <w:rPr>
                <w:sz w:val="20"/>
                <w:szCs w:val="20"/>
                <w:color w:val="auto"/>
              </w:rPr>
            </w:pPr>
            <w:r>
              <w:rPr>
                <w:rFonts w:ascii="Times New Roman" w:cs="Times New Roman" w:eastAsia="Times New Roman" w:hAnsi="Times New Roman"/>
                <w:sz w:val="20"/>
                <w:szCs w:val="20"/>
                <w:color w:val="auto"/>
              </w:rPr>
              <w:t>19%</w:t>
            </w:r>
          </w:p>
        </w:tc>
      </w:tr>
      <w:tr>
        <w:trPr>
          <w:trHeight w:val="940"/>
        </w:trPr>
        <w:tc>
          <w:tcPr>
            <w:tcW w:w="1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908,342,792</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754,439,331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153,903,461</w:t>
            </w:r>
          </w:p>
        </w:tc>
        <w:tc>
          <w:tcPr>
            <w:tcW w:w="80" w:type="dxa"/>
            <w:vAlign w:val="bottom"/>
          </w:tcPr>
          <w:p>
            <w:pPr>
              <w:spacing w:after="0"/>
              <w:rPr>
                <w:sz w:val="24"/>
                <w:szCs w:val="24"/>
                <w:color w:val="auto"/>
              </w:rPr>
            </w:pPr>
          </w:p>
        </w:tc>
        <w:tc>
          <w:tcPr>
            <w:tcW w:w="960" w:type="dxa"/>
            <w:vAlign w:val="bottom"/>
          </w:tcPr>
          <w:p>
            <w:pPr>
              <w:jc w:val="right"/>
              <w:ind w:right="118"/>
              <w:spacing w:after="0"/>
              <w:rPr>
                <w:sz w:val="20"/>
                <w:szCs w:val="20"/>
                <w:color w:val="auto"/>
              </w:rPr>
            </w:pPr>
            <w:r>
              <w:rPr>
                <w:rFonts w:ascii="Times New Roman" w:cs="Times New Roman" w:eastAsia="Times New Roman" w:hAnsi="Times New Roman"/>
                <w:sz w:val="20"/>
                <w:szCs w:val="20"/>
                <w:color w:val="auto"/>
              </w:rPr>
              <w:t>20%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860,793,723</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725,346,952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135,446,771</w:t>
            </w:r>
          </w:p>
        </w:tc>
        <w:tc>
          <w:tcPr>
            <w:tcW w:w="80" w:type="dxa"/>
            <w:vAlign w:val="bottom"/>
          </w:tcPr>
          <w:p>
            <w:pPr>
              <w:spacing w:after="0"/>
              <w:rPr>
                <w:sz w:val="24"/>
                <w:szCs w:val="24"/>
                <w:color w:val="auto"/>
              </w:rPr>
            </w:pPr>
          </w:p>
        </w:tc>
        <w:tc>
          <w:tcPr>
            <w:tcW w:w="960" w:type="dxa"/>
            <w:vAlign w:val="bottom"/>
          </w:tcPr>
          <w:p>
            <w:pPr>
              <w:jc w:val="right"/>
              <w:ind w:right="118"/>
              <w:spacing w:after="0"/>
              <w:rPr>
                <w:sz w:val="20"/>
                <w:szCs w:val="20"/>
                <w:color w:val="auto"/>
              </w:rPr>
            </w:pPr>
            <w:r>
              <w:rPr>
                <w:rFonts w:ascii="Times New Roman" w:cs="Times New Roman" w:eastAsia="Times New Roman" w:hAnsi="Times New Roman"/>
                <w:sz w:val="20"/>
                <w:szCs w:val="20"/>
                <w:color w:val="auto"/>
              </w:rPr>
              <w:t>19%</w:t>
            </w:r>
          </w:p>
        </w:tc>
      </w:tr>
      <w:tr>
        <w:trPr>
          <w:trHeight w:val="345"/>
        </w:trPr>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347"/>
        </w:trPr>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(0.87)</w:t>
            </w:r>
          </w:p>
        </w:tc>
        <w:tc>
          <w:tcPr>
            <w:tcW w:w="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(0.12)</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(0.75)</w:t>
            </w:r>
          </w:p>
        </w:tc>
        <w:tc>
          <w:tcPr>
            <w:tcW w:w="80" w:type="dxa"/>
            <w:vAlign w:val="bottom"/>
          </w:tcPr>
          <w:p>
            <w:pPr>
              <w:spacing w:after="0"/>
              <w:rPr>
                <w:sz w:val="24"/>
                <w:szCs w:val="24"/>
                <w:color w:val="auto"/>
              </w:rPr>
            </w:pPr>
          </w:p>
        </w:tc>
        <w:tc>
          <w:tcPr>
            <w:tcW w:w="960" w:type="dxa"/>
            <w:vAlign w:val="bottom"/>
          </w:tcPr>
          <w:p>
            <w:pPr>
              <w:jc w:val="right"/>
              <w:ind w:right="118"/>
              <w:spacing w:after="0"/>
              <w:rPr>
                <w:sz w:val="20"/>
                <w:szCs w:val="20"/>
                <w:color w:val="auto"/>
              </w:rPr>
            </w:pPr>
            <w:r>
              <w:rPr>
                <w:rFonts w:ascii="Times New Roman" w:cs="Times New Roman" w:eastAsia="Times New Roman" w:hAnsi="Times New Roman"/>
                <w:sz w:val="20"/>
                <w:szCs w:val="20"/>
                <w:color w:val="auto"/>
              </w:rPr>
              <w:t>607%</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w:t>
            </w:r>
          </w:p>
        </w:tc>
        <w:tc>
          <w:tcPr>
            <w:tcW w:w="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(0.29)</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(0.77)</w:t>
            </w:r>
          </w:p>
        </w:tc>
        <w:tc>
          <w:tcPr>
            <w:tcW w:w="80" w:type="dxa"/>
            <w:vAlign w:val="bottom"/>
          </w:tcPr>
          <w:p>
            <w:pPr>
              <w:spacing w:after="0"/>
              <w:rPr>
                <w:sz w:val="24"/>
                <w:szCs w:val="24"/>
                <w:color w:val="auto"/>
              </w:rPr>
            </w:pPr>
          </w:p>
        </w:tc>
        <w:tc>
          <w:tcPr>
            <w:tcW w:w="960" w:type="dxa"/>
            <w:vAlign w:val="bottom"/>
          </w:tcPr>
          <w:p>
            <w:pPr>
              <w:jc w:val="right"/>
              <w:ind w:right="118"/>
              <w:spacing w:after="0"/>
              <w:rPr>
                <w:sz w:val="20"/>
                <w:szCs w:val="20"/>
                <w:color w:val="auto"/>
              </w:rPr>
            </w:pPr>
            <w:r>
              <w:rPr>
                <w:rFonts w:ascii="Times New Roman" w:cs="Times New Roman" w:eastAsia="Times New Roman" w:hAnsi="Times New Roman"/>
                <w:sz w:val="20"/>
                <w:szCs w:val="20"/>
                <w:color w:val="auto"/>
              </w:rPr>
              <w:t>261%</w:t>
            </w:r>
          </w:p>
        </w:tc>
      </w:tr>
      <w:tr>
        <w:trPr>
          <w:trHeight w:val="470"/>
        </w:trPr>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(0.87)</w:t>
            </w:r>
          </w:p>
        </w:tc>
        <w:tc>
          <w:tcPr>
            <w:tcW w:w="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(0.12)</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(0.75)</w:t>
            </w:r>
          </w:p>
        </w:tc>
        <w:tc>
          <w:tcPr>
            <w:tcW w:w="80" w:type="dxa"/>
            <w:vAlign w:val="bottom"/>
          </w:tcPr>
          <w:p>
            <w:pPr>
              <w:spacing w:after="0"/>
              <w:rPr>
                <w:sz w:val="24"/>
                <w:szCs w:val="24"/>
                <w:color w:val="auto"/>
              </w:rPr>
            </w:pPr>
          </w:p>
        </w:tc>
        <w:tc>
          <w:tcPr>
            <w:tcW w:w="960" w:type="dxa"/>
            <w:vAlign w:val="bottom"/>
          </w:tcPr>
          <w:p>
            <w:pPr>
              <w:jc w:val="right"/>
              <w:ind w:right="118"/>
              <w:spacing w:after="0"/>
              <w:rPr>
                <w:sz w:val="20"/>
                <w:szCs w:val="20"/>
                <w:color w:val="auto"/>
              </w:rPr>
            </w:pPr>
            <w:r>
              <w:rPr>
                <w:rFonts w:ascii="Times New Roman" w:cs="Times New Roman" w:eastAsia="Times New Roman" w:hAnsi="Times New Roman"/>
                <w:sz w:val="20"/>
                <w:szCs w:val="20"/>
                <w:color w:val="auto"/>
              </w:rPr>
              <w:t>607%</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w:t>
            </w:r>
          </w:p>
        </w:tc>
        <w:tc>
          <w:tcPr>
            <w:tcW w:w="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(0.29)</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(0.77)</w:t>
            </w:r>
          </w:p>
        </w:tc>
        <w:tc>
          <w:tcPr>
            <w:tcW w:w="80" w:type="dxa"/>
            <w:vAlign w:val="bottom"/>
          </w:tcPr>
          <w:p>
            <w:pPr>
              <w:spacing w:after="0"/>
              <w:rPr>
                <w:sz w:val="24"/>
                <w:szCs w:val="24"/>
                <w:color w:val="auto"/>
              </w:rPr>
            </w:pPr>
          </w:p>
        </w:tc>
        <w:tc>
          <w:tcPr>
            <w:tcW w:w="960" w:type="dxa"/>
            <w:vAlign w:val="bottom"/>
          </w:tcPr>
          <w:p>
            <w:pPr>
              <w:jc w:val="right"/>
              <w:ind w:right="118"/>
              <w:spacing w:after="0"/>
              <w:rPr>
                <w:sz w:val="20"/>
                <w:szCs w:val="20"/>
                <w:color w:val="auto"/>
              </w:rPr>
            </w:pPr>
            <w:r>
              <w:rPr>
                <w:rFonts w:ascii="Times New Roman" w:cs="Times New Roman" w:eastAsia="Times New Roman" w:hAnsi="Times New Roman"/>
                <w:sz w:val="20"/>
                <w:szCs w:val="20"/>
                <w:color w:val="auto"/>
              </w:rPr>
              <w:t>261%</w:t>
            </w:r>
          </w:p>
        </w:tc>
      </w:tr>
      <w:tr>
        <w:trPr>
          <w:trHeight w:val="103"/>
        </w:trPr>
        <w:tc>
          <w:tcPr>
            <w:tcW w:w="1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1380" w:space="120"/>
            <w:col w:w="9760"/>
          </w:cols>
          <w:pgMar w:left="340" w:top="114" w:right="2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Cash Flows</w:t>
      </w:r>
    </w:p>
    <w:p>
      <w:pPr>
        <w:sectPr>
          <w:pgSz w:w="11900" w:h="16838" w:orient="portrait"/>
          <w:cols w:equalWidth="0" w:num="1">
            <w:col w:w="11260"/>
          </w:cols>
          <w:pgMar w:left="340" w:top="114" w:right="299" w:bottom="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55"/>
        </w:trPr>
        <w:tc>
          <w:tcPr>
            <w:tcW w:w="5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220" w:type="dxa"/>
            <w:vAlign w:val="bottom"/>
            <w:gridSpan w:val="5"/>
          </w:tcPr>
          <w:p>
            <w:pPr>
              <w:ind w:left="300"/>
              <w:spacing w:after="0"/>
              <w:rPr>
                <w:sz w:val="20"/>
                <w:szCs w:val="20"/>
                <w:color w:val="auto"/>
              </w:rPr>
            </w:pPr>
            <w:r>
              <w:rPr>
                <w:rFonts w:ascii="Times New Roman" w:cs="Times New Roman" w:eastAsia="Times New Roman" w:hAnsi="Times New Roman"/>
                <w:sz w:val="20"/>
                <w:szCs w:val="20"/>
                <w:b w:val="1"/>
                <w:bCs w:val="1"/>
                <w:color w:val="auto"/>
              </w:rPr>
              <w:t>For the nine months ended</w:t>
            </w: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5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February 28,</w:t>
            </w:r>
          </w:p>
        </w:tc>
        <w:tc>
          <w:tcPr>
            <w:tcW w:w="180" w:type="dxa"/>
            <w:vAlign w:val="bottom"/>
          </w:tcPr>
          <w:p>
            <w:pPr>
              <w:spacing w:after="0"/>
              <w:rPr>
                <w:sz w:val="22"/>
                <w:szCs w:val="22"/>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February 29,</w:t>
            </w:r>
          </w:p>
        </w:tc>
        <w:tc>
          <w:tcPr>
            <w:tcW w:w="160" w:type="dxa"/>
            <w:vAlign w:val="bottom"/>
          </w:tcPr>
          <w:p>
            <w:pPr>
              <w:spacing w:after="0"/>
              <w:rPr>
                <w:sz w:val="22"/>
                <w:szCs w:val="22"/>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Change</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0" w:type="dxa"/>
            <w:vAlign w:val="bottom"/>
          </w:tcPr>
          <w:p>
            <w:pPr>
              <w:spacing w:after="0"/>
              <w:rPr>
                <w:sz w:val="1"/>
                <w:szCs w:val="1"/>
                <w:color w:val="auto"/>
              </w:rPr>
            </w:pPr>
          </w:p>
        </w:tc>
      </w:tr>
      <w:tr>
        <w:trPr>
          <w:trHeight w:val="269"/>
        </w:trPr>
        <w:tc>
          <w:tcPr>
            <w:tcW w:w="5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(in thousands of US dollars)</w:t>
            </w:r>
          </w:p>
        </w:tc>
        <w:tc>
          <w:tcPr>
            <w:tcW w:w="1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20"/>
                <w:szCs w:val="20"/>
                <w:b w:val="1"/>
                <w:bCs w:val="1"/>
                <w:color w:val="auto"/>
              </w:rPr>
              <w:t>2025</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20"/>
                <w:szCs w:val="20"/>
                <w:b w:val="1"/>
                <w:bCs w:val="1"/>
                <w:color w:val="auto"/>
              </w:rPr>
              <w:t>2024</w:t>
            </w:r>
          </w:p>
        </w:tc>
        <w:tc>
          <w:tcPr>
            <w:tcW w:w="1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040" w:type="dxa"/>
            <w:vAlign w:val="bottom"/>
            <w:tcBorders>
              <w:bottom w:val="single" w:sz="8" w:color="auto"/>
            </w:tcBorders>
            <w:gridSpan w:val="3"/>
          </w:tcPr>
          <w:p>
            <w:pPr>
              <w:jc w:val="right"/>
              <w:ind w:right="418"/>
              <w:spacing w:after="0"/>
              <w:rPr>
                <w:sz w:val="20"/>
                <w:szCs w:val="20"/>
                <w:color w:val="auto"/>
              </w:rPr>
            </w:pPr>
            <w:r>
              <w:rPr>
                <w:rFonts w:ascii="Times New Roman" w:cs="Times New Roman" w:eastAsia="Times New Roman" w:hAnsi="Times New Roman"/>
                <w:sz w:val="20"/>
                <w:szCs w:val="20"/>
                <w:b w:val="1"/>
                <w:bCs w:val="1"/>
                <w:color w:val="auto"/>
              </w:rPr>
              <w:t>2025 vs. 2024</w:t>
            </w:r>
          </w:p>
        </w:tc>
        <w:tc>
          <w:tcPr>
            <w:tcW w:w="0" w:type="dxa"/>
            <w:vAlign w:val="bottom"/>
          </w:tcPr>
          <w:p>
            <w:pPr>
              <w:spacing w:after="0"/>
              <w:rPr>
                <w:sz w:val="1"/>
                <w:szCs w:val="1"/>
                <w:color w:val="auto"/>
              </w:rPr>
            </w:pPr>
          </w:p>
        </w:tc>
      </w:tr>
      <w:tr>
        <w:trPr>
          <w:trHeight w:val="236"/>
        </w:trPr>
        <w:tc>
          <w:tcPr>
            <w:tcW w:w="5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Cash provided by (used in) operating activities:</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5620" w:type="dxa"/>
            <w:vAlign w:val="bottom"/>
          </w:tcPr>
          <w:p>
            <w:pPr>
              <w:spacing w:after="0"/>
              <w:rPr>
                <w:sz w:val="20"/>
                <w:szCs w:val="20"/>
                <w:color w:val="auto"/>
              </w:rPr>
            </w:pPr>
            <w:r>
              <w:rPr>
                <w:rFonts w:ascii="Times New Roman" w:cs="Times New Roman" w:eastAsia="Times New Roman" w:hAnsi="Times New Roman"/>
                <w:sz w:val="20"/>
                <w:szCs w:val="20"/>
                <w:color w:val="auto"/>
              </w:rPr>
              <w:t>Net loss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(913,461)</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(207,029)</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(706,432)</w:t>
            </w:r>
          </w:p>
        </w:tc>
        <w:tc>
          <w:tcPr>
            <w:tcW w:w="100" w:type="dxa"/>
            <w:vAlign w:val="bottom"/>
          </w:tcPr>
          <w:p>
            <w:pPr>
              <w:spacing w:after="0"/>
              <w:rPr>
                <w:sz w:val="22"/>
                <w:szCs w:val="22"/>
                <w:color w:val="auto"/>
              </w:rPr>
            </w:pPr>
          </w:p>
        </w:tc>
        <w:tc>
          <w:tcPr>
            <w:tcW w:w="1000" w:type="dxa"/>
            <w:vAlign w:val="bottom"/>
          </w:tcPr>
          <w:p>
            <w:pPr>
              <w:jc w:val="right"/>
              <w:ind w:right="58"/>
              <w:spacing w:after="0"/>
              <w:rPr>
                <w:sz w:val="20"/>
                <w:szCs w:val="20"/>
                <w:color w:val="auto"/>
              </w:rPr>
            </w:pPr>
            <w:r>
              <w:rPr>
                <w:rFonts w:ascii="Times New Roman" w:cs="Times New Roman" w:eastAsia="Times New Roman" w:hAnsi="Times New Roman"/>
                <w:sz w:val="20"/>
                <w:szCs w:val="20"/>
                <w:color w:val="auto"/>
              </w:rPr>
              <w:t>341%</w:t>
            </w:r>
          </w:p>
        </w:tc>
        <w:tc>
          <w:tcPr>
            <w:tcW w:w="0" w:type="dxa"/>
            <w:vAlign w:val="bottom"/>
          </w:tcPr>
          <w:p>
            <w:pPr>
              <w:spacing w:after="0"/>
              <w:rPr>
                <w:sz w:val="1"/>
                <w:szCs w:val="1"/>
                <w:color w:val="auto"/>
              </w:rPr>
            </w:pPr>
          </w:p>
        </w:tc>
      </w:tr>
      <w:tr>
        <w:trPr>
          <w:trHeight w:val="254"/>
        </w:trPr>
        <w:tc>
          <w:tcPr>
            <w:tcW w:w="5620" w:type="dxa"/>
            <w:vAlign w:val="bottom"/>
          </w:tcPr>
          <w:p>
            <w:pPr>
              <w:spacing w:after="0"/>
              <w:rPr>
                <w:sz w:val="20"/>
                <w:szCs w:val="20"/>
                <w:color w:val="auto"/>
              </w:rPr>
            </w:pPr>
            <w:r>
              <w:rPr>
                <w:rFonts w:ascii="Times New Roman" w:cs="Times New Roman" w:eastAsia="Times New Roman" w:hAnsi="Times New Roman"/>
                <w:sz w:val="20"/>
                <w:szCs w:val="20"/>
                <w:color w:val="auto"/>
              </w:rPr>
              <w:t>Adjustments for:</w:t>
            </w: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56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Deferred income tax expense (recovery), net</w:t>
            </w:r>
          </w:p>
        </w:tc>
        <w:tc>
          <w:tcPr>
            <w:tcW w:w="180" w:type="dxa"/>
            <w:vAlign w:val="bottom"/>
          </w:tcPr>
          <w:p>
            <w:pPr>
              <w:spacing w:after="0"/>
              <w:rPr>
                <w:sz w:val="22"/>
                <w:szCs w:val="22"/>
                <w:color w:val="auto"/>
              </w:rPr>
            </w:pPr>
          </w:p>
        </w:tc>
        <w:tc>
          <w:tcPr>
            <w:tcW w:w="1420" w:type="dxa"/>
            <w:vAlign w:val="bottom"/>
          </w:tcPr>
          <w:p>
            <w:pPr>
              <w:jc w:val="right"/>
              <w:ind w:right="18"/>
              <w:spacing w:after="0"/>
              <w:rPr>
                <w:sz w:val="20"/>
                <w:szCs w:val="20"/>
                <w:color w:val="auto"/>
              </w:rPr>
            </w:pPr>
            <w:r>
              <w:rPr>
                <w:rFonts w:ascii="Times New Roman" w:cs="Times New Roman" w:eastAsia="Times New Roman" w:hAnsi="Times New Roman"/>
                <w:sz w:val="20"/>
                <w:szCs w:val="20"/>
                <w:color w:val="auto"/>
              </w:rPr>
              <w:t>2,686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(7,399)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10,085</w:t>
            </w: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w:t>
            </w:r>
          </w:p>
        </w:tc>
        <w:tc>
          <w:tcPr>
            <w:tcW w:w="0" w:type="dxa"/>
            <w:vAlign w:val="bottom"/>
          </w:tcPr>
          <w:p>
            <w:pPr>
              <w:spacing w:after="0"/>
              <w:rPr>
                <w:sz w:val="1"/>
                <w:szCs w:val="1"/>
                <w:color w:val="auto"/>
              </w:rPr>
            </w:pPr>
          </w:p>
        </w:tc>
      </w:tr>
      <w:tr>
        <w:trPr>
          <w:trHeight w:val="254"/>
        </w:trPr>
        <w:tc>
          <w:tcPr>
            <w:tcW w:w="56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Unrealized foreign exchange loss (gain)</w:t>
            </w:r>
          </w:p>
        </w:tc>
        <w:tc>
          <w:tcPr>
            <w:tcW w:w="180" w:type="dxa"/>
            <w:vAlign w:val="bottom"/>
          </w:tcPr>
          <w:p>
            <w:pPr>
              <w:spacing w:after="0"/>
              <w:rPr>
                <w:sz w:val="22"/>
                <w:szCs w:val="22"/>
                <w:color w:val="auto"/>
              </w:rPr>
            </w:pPr>
          </w:p>
        </w:tc>
        <w:tc>
          <w:tcPr>
            <w:tcW w:w="1420" w:type="dxa"/>
            <w:vAlign w:val="bottom"/>
          </w:tcPr>
          <w:p>
            <w:pPr>
              <w:jc w:val="right"/>
              <w:ind w:right="18"/>
              <w:spacing w:after="0"/>
              <w:rPr>
                <w:sz w:val="20"/>
                <w:szCs w:val="20"/>
                <w:color w:val="auto"/>
              </w:rPr>
            </w:pPr>
            <w:r>
              <w:rPr>
                <w:rFonts w:ascii="Times New Roman" w:cs="Times New Roman" w:eastAsia="Times New Roman" w:hAnsi="Times New Roman"/>
                <w:sz w:val="20"/>
                <w:szCs w:val="20"/>
                <w:color w:val="auto"/>
              </w:rPr>
              <w:t>30,725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(6,622)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37,347</w:t>
            </w: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(564)%</w:t>
            </w:r>
          </w:p>
        </w:tc>
        <w:tc>
          <w:tcPr>
            <w:tcW w:w="0" w:type="dxa"/>
            <w:vAlign w:val="bottom"/>
          </w:tcPr>
          <w:p>
            <w:pPr>
              <w:spacing w:after="0"/>
              <w:rPr>
                <w:sz w:val="1"/>
                <w:szCs w:val="1"/>
                <w:color w:val="auto"/>
              </w:rPr>
            </w:pPr>
          </w:p>
        </w:tc>
      </w:tr>
      <w:tr>
        <w:trPr>
          <w:trHeight w:val="254"/>
        </w:trPr>
        <w:tc>
          <w:tcPr>
            <w:tcW w:w="56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Amortization</w:t>
            </w:r>
          </w:p>
        </w:tc>
        <w:tc>
          <w:tcPr>
            <w:tcW w:w="180" w:type="dxa"/>
            <w:vAlign w:val="bottom"/>
          </w:tcPr>
          <w:p>
            <w:pPr>
              <w:spacing w:after="0"/>
              <w:rPr>
                <w:sz w:val="22"/>
                <w:szCs w:val="22"/>
                <w:color w:val="auto"/>
              </w:rPr>
            </w:pPr>
          </w:p>
        </w:tc>
        <w:tc>
          <w:tcPr>
            <w:tcW w:w="1420" w:type="dxa"/>
            <w:vAlign w:val="bottom"/>
          </w:tcPr>
          <w:p>
            <w:pPr>
              <w:jc w:val="right"/>
              <w:ind w:right="18"/>
              <w:spacing w:after="0"/>
              <w:rPr>
                <w:sz w:val="20"/>
                <w:szCs w:val="20"/>
                <w:color w:val="auto"/>
              </w:rPr>
            </w:pPr>
            <w:r>
              <w:rPr>
                <w:rFonts w:ascii="Times New Roman" w:cs="Times New Roman" w:eastAsia="Times New Roman" w:hAnsi="Times New Roman"/>
                <w:sz w:val="20"/>
                <w:szCs w:val="20"/>
                <w:color w:val="auto"/>
              </w:rPr>
              <w:t>99,410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95,183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4,227</w:t>
            </w:r>
          </w:p>
        </w:tc>
        <w:tc>
          <w:tcPr>
            <w:tcW w:w="100" w:type="dxa"/>
            <w:vAlign w:val="bottom"/>
          </w:tcPr>
          <w:p>
            <w:pPr>
              <w:spacing w:after="0"/>
              <w:rPr>
                <w:sz w:val="22"/>
                <w:szCs w:val="22"/>
                <w:color w:val="auto"/>
              </w:rPr>
            </w:pPr>
          </w:p>
        </w:tc>
        <w:tc>
          <w:tcPr>
            <w:tcW w:w="1000" w:type="dxa"/>
            <w:vAlign w:val="bottom"/>
          </w:tcPr>
          <w:p>
            <w:pPr>
              <w:jc w:val="right"/>
              <w:ind w:right="58"/>
              <w:spacing w:after="0"/>
              <w:rPr>
                <w:sz w:val="20"/>
                <w:szCs w:val="20"/>
                <w:color w:val="auto"/>
              </w:rPr>
            </w:pPr>
            <w:r>
              <w:rPr>
                <w:rFonts w:ascii="Times New Roman" w:cs="Times New Roman" w:eastAsia="Times New Roman" w:hAnsi="Times New Roman"/>
                <w:sz w:val="20"/>
                <w:szCs w:val="20"/>
                <w:color w:val="auto"/>
              </w:rPr>
              <w:t>4%</w:t>
            </w:r>
          </w:p>
        </w:tc>
        <w:tc>
          <w:tcPr>
            <w:tcW w:w="0" w:type="dxa"/>
            <w:vAlign w:val="bottom"/>
          </w:tcPr>
          <w:p>
            <w:pPr>
              <w:spacing w:after="0"/>
              <w:rPr>
                <w:sz w:val="1"/>
                <w:szCs w:val="1"/>
                <w:color w:val="auto"/>
              </w:rPr>
            </w:pPr>
          </w:p>
        </w:tc>
      </w:tr>
      <w:tr>
        <w:trPr>
          <w:trHeight w:val="254"/>
        </w:trPr>
        <w:tc>
          <w:tcPr>
            <w:tcW w:w="56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Accretion of convertible debt discount</w:t>
            </w:r>
          </w:p>
        </w:tc>
        <w:tc>
          <w:tcPr>
            <w:tcW w:w="180" w:type="dxa"/>
            <w:vAlign w:val="bottom"/>
          </w:tcPr>
          <w:p>
            <w:pPr>
              <w:spacing w:after="0"/>
              <w:rPr>
                <w:sz w:val="22"/>
                <w:szCs w:val="22"/>
                <w:color w:val="auto"/>
              </w:rPr>
            </w:pPr>
          </w:p>
        </w:tc>
        <w:tc>
          <w:tcPr>
            <w:tcW w:w="1420" w:type="dxa"/>
            <w:vAlign w:val="bottom"/>
          </w:tcPr>
          <w:p>
            <w:pPr>
              <w:jc w:val="right"/>
              <w:ind w:right="18"/>
              <w:spacing w:after="0"/>
              <w:rPr>
                <w:sz w:val="20"/>
                <w:szCs w:val="20"/>
                <w:color w:val="auto"/>
              </w:rPr>
            </w:pPr>
            <w:r>
              <w:rPr>
                <w:rFonts w:ascii="Times New Roman" w:cs="Times New Roman" w:eastAsia="Times New Roman" w:hAnsi="Times New Roman"/>
                <w:sz w:val="20"/>
                <w:szCs w:val="20"/>
                <w:color w:val="auto"/>
              </w:rPr>
              <w:t>8,751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11,463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(2,712)</w:t>
            </w: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0" w:type="dxa"/>
            <w:vAlign w:val="bottom"/>
          </w:tcPr>
          <w:p>
            <w:pPr>
              <w:spacing w:after="0"/>
              <w:rPr>
                <w:sz w:val="1"/>
                <w:szCs w:val="1"/>
                <w:color w:val="auto"/>
              </w:rPr>
            </w:pPr>
          </w:p>
        </w:tc>
      </w:tr>
      <w:tr>
        <w:trPr>
          <w:trHeight w:val="254"/>
        </w:trPr>
        <w:tc>
          <w:tcPr>
            <w:tcW w:w="56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Impairments</w:t>
            </w:r>
          </w:p>
        </w:tc>
        <w:tc>
          <w:tcPr>
            <w:tcW w:w="180" w:type="dxa"/>
            <w:vAlign w:val="bottom"/>
          </w:tcPr>
          <w:p>
            <w:pPr>
              <w:spacing w:after="0"/>
              <w:rPr>
                <w:sz w:val="22"/>
                <w:szCs w:val="22"/>
                <w:color w:val="auto"/>
              </w:rPr>
            </w:pPr>
          </w:p>
        </w:tc>
        <w:tc>
          <w:tcPr>
            <w:tcW w:w="1420" w:type="dxa"/>
            <w:vAlign w:val="bottom"/>
          </w:tcPr>
          <w:p>
            <w:pPr>
              <w:jc w:val="right"/>
              <w:ind w:right="18"/>
              <w:spacing w:after="0"/>
              <w:rPr>
                <w:sz w:val="20"/>
                <w:szCs w:val="20"/>
                <w:color w:val="auto"/>
              </w:rPr>
            </w:pPr>
            <w:r>
              <w:rPr>
                <w:rFonts w:ascii="Times New Roman" w:cs="Times New Roman" w:eastAsia="Times New Roman" w:hAnsi="Times New Roman"/>
                <w:sz w:val="20"/>
                <w:szCs w:val="20"/>
                <w:color w:val="auto"/>
              </w:rPr>
              <w:t>699,235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699,235</w:t>
            </w:r>
          </w:p>
        </w:tc>
        <w:tc>
          <w:tcPr>
            <w:tcW w:w="100" w:type="dxa"/>
            <w:vAlign w:val="bottom"/>
          </w:tcPr>
          <w:p>
            <w:pPr>
              <w:spacing w:after="0"/>
              <w:rPr>
                <w:sz w:val="22"/>
                <w:szCs w:val="22"/>
                <w:color w:val="auto"/>
              </w:rPr>
            </w:pPr>
          </w:p>
        </w:tc>
        <w:tc>
          <w:tcPr>
            <w:tcW w:w="1000" w:type="dxa"/>
            <w:vAlign w:val="bottom"/>
          </w:tcPr>
          <w:p>
            <w:pPr>
              <w:jc w:val="right"/>
              <w:ind w:right="238"/>
              <w:spacing w:after="0"/>
              <w:rPr>
                <w:sz w:val="20"/>
                <w:szCs w:val="20"/>
                <w:color w:val="auto"/>
              </w:rPr>
            </w:pPr>
            <w:r>
              <w:rPr>
                <w:rFonts w:ascii="Times New Roman" w:cs="Times New Roman" w:eastAsia="Times New Roman" w:hAnsi="Times New Roman"/>
                <w:sz w:val="20"/>
                <w:szCs w:val="20"/>
                <w:color w:val="auto"/>
              </w:rPr>
              <w:t>NM</w:t>
            </w:r>
          </w:p>
        </w:tc>
        <w:tc>
          <w:tcPr>
            <w:tcW w:w="0" w:type="dxa"/>
            <w:vAlign w:val="bottom"/>
          </w:tcPr>
          <w:p>
            <w:pPr>
              <w:spacing w:after="0"/>
              <w:rPr>
                <w:sz w:val="1"/>
                <w:szCs w:val="1"/>
                <w:color w:val="auto"/>
              </w:rPr>
            </w:pPr>
          </w:p>
        </w:tc>
      </w:tr>
      <w:tr>
        <w:trPr>
          <w:trHeight w:val="229"/>
        </w:trPr>
        <w:tc>
          <w:tcPr>
            <w:tcW w:w="5620" w:type="dxa"/>
            <w:vAlign w:val="bottom"/>
          </w:tcPr>
          <w:p>
            <w:pPr>
              <w:ind w:left="240"/>
              <w:spacing w:after="0" w:line="229" w:lineRule="exact"/>
              <w:rPr>
                <w:sz w:val="20"/>
                <w:szCs w:val="20"/>
                <w:color w:val="auto"/>
              </w:rPr>
            </w:pPr>
            <w:r>
              <w:rPr>
                <w:rFonts w:ascii="Times New Roman" w:cs="Times New Roman" w:eastAsia="Times New Roman" w:hAnsi="Times New Roman"/>
                <w:sz w:val="20"/>
                <w:szCs w:val="20"/>
                <w:color w:val="auto"/>
              </w:rPr>
              <w:t>Other than temporary change in fair value of convertible notes</w:t>
            </w:r>
          </w:p>
        </w:tc>
        <w:tc>
          <w:tcPr>
            <w:tcW w:w="180" w:type="dxa"/>
            <w:vAlign w:val="bottom"/>
          </w:tcPr>
          <w:p>
            <w:pPr>
              <w:spacing w:after="0"/>
              <w:rPr>
                <w:sz w:val="19"/>
                <w:szCs w:val="19"/>
                <w:color w:val="auto"/>
              </w:rPr>
            </w:pPr>
          </w:p>
        </w:tc>
        <w:tc>
          <w:tcPr>
            <w:tcW w:w="1420" w:type="dxa"/>
            <w:vAlign w:val="bottom"/>
            <w:vMerge w:val="restart"/>
          </w:tcPr>
          <w:p>
            <w:pPr>
              <w:jc w:val="right"/>
              <w:ind w:right="18"/>
              <w:spacing w:after="0"/>
              <w:rPr>
                <w:sz w:val="20"/>
                <w:szCs w:val="20"/>
                <w:color w:val="auto"/>
              </w:rPr>
            </w:pPr>
            <w:r>
              <w:rPr>
                <w:rFonts w:ascii="Times New Roman" w:cs="Times New Roman" w:eastAsia="Times New Roman" w:hAnsi="Times New Roman"/>
                <w:sz w:val="20"/>
                <w:szCs w:val="20"/>
                <w:color w:val="auto"/>
              </w:rPr>
              <w:t>20,000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42,681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(22,681)</w:t>
            </w:r>
          </w:p>
        </w:tc>
        <w:tc>
          <w:tcPr>
            <w:tcW w:w="100" w:type="dxa"/>
            <w:vAlign w:val="bottom"/>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0" w:type="dxa"/>
            <w:vAlign w:val="bottom"/>
          </w:tcPr>
          <w:p>
            <w:pPr>
              <w:spacing w:after="0"/>
              <w:rPr>
                <w:sz w:val="1"/>
                <w:szCs w:val="1"/>
                <w:color w:val="auto"/>
              </w:rPr>
            </w:pPr>
          </w:p>
        </w:tc>
      </w:tr>
      <w:tr>
        <w:trPr>
          <w:trHeight w:val="151"/>
        </w:trPr>
        <w:tc>
          <w:tcPr>
            <w:tcW w:w="562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auto"/>
              </w:rPr>
              <w:t>receivable</w:t>
            </w:r>
          </w:p>
        </w:tc>
        <w:tc>
          <w:tcPr>
            <w:tcW w:w="18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56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56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Other non-cash items</w:t>
            </w:r>
          </w:p>
        </w:tc>
        <w:tc>
          <w:tcPr>
            <w:tcW w:w="180" w:type="dxa"/>
            <w:vAlign w:val="bottom"/>
          </w:tcPr>
          <w:p>
            <w:pPr>
              <w:spacing w:after="0"/>
              <w:rPr>
                <w:sz w:val="22"/>
                <w:szCs w:val="22"/>
                <w:color w:val="auto"/>
              </w:rPr>
            </w:pPr>
          </w:p>
        </w:tc>
        <w:tc>
          <w:tcPr>
            <w:tcW w:w="1420" w:type="dxa"/>
            <w:vAlign w:val="bottom"/>
          </w:tcPr>
          <w:p>
            <w:pPr>
              <w:jc w:val="right"/>
              <w:ind w:right="18"/>
              <w:spacing w:after="0"/>
              <w:rPr>
                <w:sz w:val="20"/>
                <w:szCs w:val="20"/>
                <w:color w:val="auto"/>
              </w:rPr>
            </w:pPr>
            <w:r>
              <w:rPr>
                <w:rFonts w:ascii="Times New Roman" w:cs="Times New Roman" w:eastAsia="Times New Roman" w:hAnsi="Times New Roman"/>
                <w:sz w:val="20"/>
                <w:szCs w:val="20"/>
                <w:color w:val="auto"/>
              </w:rPr>
              <w:t>1,503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13,297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(11,794)</w:t>
            </w: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c>
          <w:tcPr>
            <w:tcW w:w="0" w:type="dxa"/>
            <w:vAlign w:val="bottom"/>
          </w:tcPr>
          <w:p>
            <w:pPr>
              <w:spacing w:after="0"/>
              <w:rPr>
                <w:sz w:val="1"/>
                <w:szCs w:val="1"/>
                <w:color w:val="auto"/>
              </w:rPr>
            </w:pPr>
          </w:p>
        </w:tc>
      </w:tr>
      <w:tr>
        <w:trPr>
          <w:trHeight w:val="254"/>
        </w:trPr>
        <w:tc>
          <w:tcPr>
            <w:tcW w:w="56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Stock-based compensation</w:t>
            </w:r>
          </w:p>
        </w:tc>
        <w:tc>
          <w:tcPr>
            <w:tcW w:w="180" w:type="dxa"/>
            <w:vAlign w:val="bottom"/>
          </w:tcPr>
          <w:p>
            <w:pPr>
              <w:spacing w:after="0"/>
              <w:rPr>
                <w:sz w:val="22"/>
                <w:szCs w:val="22"/>
                <w:color w:val="auto"/>
              </w:rPr>
            </w:pPr>
          </w:p>
        </w:tc>
        <w:tc>
          <w:tcPr>
            <w:tcW w:w="1420" w:type="dxa"/>
            <w:vAlign w:val="bottom"/>
          </w:tcPr>
          <w:p>
            <w:pPr>
              <w:jc w:val="right"/>
              <w:ind w:right="18"/>
              <w:spacing w:after="0"/>
              <w:rPr>
                <w:sz w:val="20"/>
                <w:szCs w:val="20"/>
                <w:color w:val="auto"/>
              </w:rPr>
            </w:pPr>
            <w:r>
              <w:rPr>
                <w:rFonts w:ascii="Times New Roman" w:cs="Times New Roman" w:eastAsia="Times New Roman" w:hAnsi="Times New Roman"/>
                <w:sz w:val="20"/>
                <w:szCs w:val="20"/>
                <w:color w:val="auto"/>
              </w:rPr>
              <w:t>18,189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24,517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(6,328)</w:t>
            </w: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0" w:type="dxa"/>
            <w:vAlign w:val="bottom"/>
          </w:tcPr>
          <w:p>
            <w:pPr>
              <w:spacing w:after="0"/>
              <w:rPr>
                <w:sz w:val="1"/>
                <w:szCs w:val="1"/>
                <w:color w:val="auto"/>
              </w:rPr>
            </w:pPr>
          </w:p>
        </w:tc>
      </w:tr>
      <w:tr>
        <w:trPr>
          <w:trHeight w:val="254"/>
        </w:trPr>
        <w:tc>
          <w:tcPr>
            <w:tcW w:w="56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Loss (gain) on long-term investments &amp; equity investments</w:t>
            </w:r>
          </w:p>
        </w:tc>
        <w:tc>
          <w:tcPr>
            <w:tcW w:w="180" w:type="dxa"/>
            <w:vAlign w:val="bottom"/>
          </w:tcPr>
          <w:p>
            <w:pPr>
              <w:spacing w:after="0"/>
              <w:rPr>
                <w:sz w:val="22"/>
                <w:szCs w:val="22"/>
                <w:color w:val="auto"/>
              </w:rPr>
            </w:pPr>
          </w:p>
        </w:tc>
        <w:tc>
          <w:tcPr>
            <w:tcW w:w="1420" w:type="dxa"/>
            <w:vAlign w:val="bottom"/>
          </w:tcPr>
          <w:p>
            <w:pPr>
              <w:jc w:val="right"/>
              <w:ind w:right="18"/>
              <w:spacing w:after="0"/>
              <w:rPr>
                <w:sz w:val="20"/>
                <w:szCs w:val="20"/>
                <w:color w:val="auto"/>
              </w:rPr>
            </w:pPr>
            <w:r>
              <w:rPr>
                <w:rFonts w:ascii="Times New Roman" w:cs="Times New Roman" w:eastAsia="Times New Roman" w:hAnsi="Times New Roman"/>
                <w:sz w:val="20"/>
                <w:szCs w:val="20"/>
                <w:color w:val="auto"/>
              </w:rPr>
              <w:t>5,540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4,255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1,285</w:t>
            </w:r>
          </w:p>
        </w:tc>
        <w:tc>
          <w:tcPr>
            <w:tcW w:w="100" w:type="dxa"/>
            <w:vAlign w:val="bottom"/>
          </w:tcPr>
          <w:p>
            <w:pPr>
              <w:spacing w:after="0"/>
              <w:rPr>
                <w:sz w:val="22"/>
                <w:szCs w:val="22"/>
                <w:color w:val="auto"/>
              </w:rPr>
            </w:pPr>
          </w:p>
        </w:tc>
        <w:tc>
          <w:tcPr>
            <w:tcW w:w="1000" w:type="dxa"/>
            <w:vAlign w:val="bottom"/>
          </w:tcPr>
          <w:p>
            <w:pPr>
              <w:jc w:val="right"/>
              <w:ind w:right="58"/>
              <w:spacing w:after="0"/>
              <w:rPr>
                <w:sz w:val="20"/>
                <w:szCs w:val="20"/>
                <w:color w:val="auto"/>
              </w:rPr>
            </w:pPr>
            <w:r>
              <w:rPr>
                <w:rFonts w:ascii="Times New Roman" w:cs="Times New Roman" w:eastAsia="Times New Roman" w:hAnsi="Times New Roman"/>
                <w:sz w:val="20"/>
                <w:szCs w:val="20"/>
                <w:color w:val="auto"/>
              </w:rPr>
              <w:t>30%</w:t>
            </w:r>
          </w:p>
        </w:tc>
        <w:tc>
          <w:tcPr>
            <w:tcW w:w="0" w:type="dxa"/>
            <w:vAlign w:val="bottom"/>
          </w:tcPr>
          <w:p>
            <w:pPr>
              <w:spacing w:after="0"/>
              <w:rPr>
                <w:sz w:val="1"/>
                <w:szCs w:val="1"/>
                <w:color w:val="auto"/>
              </w:rPr>
            </w:pPr>
          </w:p>
        </w:tc>
      </w:tr>
      <w:tr>
        <w:trPr>
          <w:trHeight w:val="254"/>
        </w:trPr>
        <w:tc>
          <w:tcPr>
            <w:tcW w:w="56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(Gain) loss on derivative instruments</w:t>
            </w:r>
          </w:p>
        </w:tc>
        <w:tc>
          <w:tcPr>
            <w:tcW w:w="1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(2,896)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13,717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(16,613)</w:t>
            </w: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w:t>
            </w:r>
          </w:p>
        </w:tc>
        <w:tc>
          <w:tcPr>
            <w:tcW w:w="0" w:type="dxa"/>
            <w:vAlign w:val="bottom"/>
          </w:tcPr>
          <w:p>
            <w:pPr>
              <w:spacing w:after="0"/>
              <w:rPr>
                <w:sz w:val="1"/>
                <w:szCs w:val="1"/>
                <w:color w:val="auto"/>
              </w:rPr>
            </w:pPr>
          </w:p>
        </w:tc>
      </w:tr>
      <w:tr>
        <w:trPr>
          <w:trHeight w:val="254"/>
        </w:trPr>
        <w:tc>
          <w:tcPr>
            <w:tcW w:w="56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Change in fair value of contingent consideration</w:t>
            </w:r>
          </w:p>
        </w:tc>
        <w:tc>
          <w:tcPr>
            <w:tcW w:w="180" w:type="dxa"/>
            <w:vAlign w:val="bottom"/>
          </w:tcPr>
          <w:p>
            <w:pPr>
              <w:spacing w:after="0"/>
              <w:rPr>
                <w:sz w:val="22"/>
                <w:szCs w:val="22"/>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(16,790)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16,790</w:t>
            </w: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0" w:type="dxa"/>
            <w:vAlign w:val="bottom"/>
          </w:tcPr>
          <w:p>
            <w:pPr>
              <w:spacing w:after="0"/>
              <w:rPr>
                <w:sz w:val="1"/>
                <w:szCs w:val="1"/>
                <w:color w:val="auto"/>
              </w:rPr>
            </w:pPr>
          </w:p>
        </w:tc>
      </w:tr>
      <w:tr>
        <w:trPr>
          <w:trHeight w:val="254"/>
        </w:trPr>
        <w:tc>
          <w:tcPr>
            <w:tcW w:w="5620" w:type="dxa"/>
            <w:vAlign w:val="bottom"/>
          </w:tcPr>
          <w:p>
            <w:pPr>
              <w:spacing w:after="0"/>
              <w:rPr>
                <w:sz w:val="20"/>
                <w:szCs w:val="20"/>
                <w:color w:val="auto"/>
              </w:rPr>
            </w:pPr>
            <w:r>
              <w:rPr>
                <w:rFonts w:ascii="Times New Roman" w:cs="Times New Roman" w:eastAsia="Times New Roman" w:hAnsi="Times New Roman"/>
                <w:sz w:val="20"/>
                <w:szCs w:val="20"/>
                <w:color w:val="auto"/>
              </w:rPr>
              <w:t>Change in non-cash working capital:</w:t>
            </w: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56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Accounts receivable</w:t>
            </w:r>
          </w:p>
        </w:tc>
        <w:tc>
          <w:tcPr>
            <w:tcW w:w="180" w:type="dxa"/>
            <w:vAlign w:val="bottom"/>
          </w:tcPr>
          <w:p>
            <w:pPr>
              <w:spacing w:after="0"/>
              <w:rPr>
                <w:sz w:val="22"/>
                <w:szCs w:val="22"/>
                <w:color w:val="auto"/>
              </w:rPr>
            </w:pPr>
          </w:p>
        </w:tc>
        <w:tc>
          <w:tcPr>
            <w:tcW w:w="1420" w:type="dxa"/>
            <w:vAlign w:val="bottom"/>
          </w:tcPr>
          <w:p>
            <w:pPr>
              <w:jc w:val="right"/>
              <w:ind w:right="18"/>
              <w:spacing w:after="0"/>
              <w:rPr>
                <w:sz w:val="20"/>
                <w:szCs w:val="20"/>
                <w:color w:val="auto"/>
              </w:rPr>
            </w:pPr>
            <w:r>
              <w:rPr>
                <w:rFonts w:ascii="Times New Roman" w:cs="Times New Roman" w:eastAsia="Times New Roman" w:hAnsi="Times New Roman"/>
                <w:sz w:val="20"/>
                <w:szCs w:val="20"/>
                <w:color w:val="auto"/>
              </w:rPr>
              <w:t>321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5,578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(5,257)</w:t>
            </w: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w:t>
            </w:r>
          </w:p>
        </w:tc>
        <w:tc>
          <w:tcPr>
            <w:tcW w:w="0" w:type="dxa"/>
            <w:vAlign w:val="bottom"/>
          </w:tcPr>
          <w:p>
            <w:pPr>
              <w:spacing w:after="0"/>
              <w:rPr>
                <w:sz w:val="1"/>
                <w:szCs w:val="1"/>
                <w:color w:val="auto"/>
              </w:rPr>
            </w:pPr>
          </w:p>
        </w:tc>
      </w:tr>
      <w:tr>
        <w:trPr>
          <w:trHeight w:val="254"/>
        </w:trPr>
        <w:tc>
          <w:tcPr>
            <w:tcW w:w="56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Prepaids and other current assets</w:t>
            </w:r>
          </w:p>
        </w:tc>
        <w:tc>
          <w:tcPr>
            <w:tcW w:w="1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(8,258)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(9,406)</w:t>
            </w: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(819)%</w:t>
            </w:r>
          </w:p>
        </w:tc>
        <w:tc>
          <w:tcPr>
            <w:tcW w:w="0" w:type="dxa"/>
            <w:vAlign w:val="bottom"/>
          </w:tcPr>
          <w:p>
            <w:pPr>
              <w:spacing w:after="0"/>
              <w:rPr>
                <w:sz w:val="1"/>
                <w:szCs w:val="1"/>
                <w:color w:val="auto"/>
              </w:rPr>
            </w:pPr>
          </w:p>
        </w:tc>
      </w:tr>
      <w:tr>
        <w:trPr>
          <w:trHeight w:val="254"/>
        </w:trPr>
        <w:tc>
          <w:tcPr>
            <w:tcW w:w="56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Inventory</w:t>
            </w:r>
          </w:p>
        </w:tc>
        <w:tc>
          <w:tcPr>
            <w:tcW w:w="1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(5,577)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(4,629)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(948)</w:t>
            </w:r>
          </w:p>
        </w:tc>
        <w:tc>
          <w:tcPr>
            <w:tcW w:w="100" w:type="dxa"/>
            <w:vAlign w:val="bottom"/>
          </w:tcPr>
          <w:p>
            <w:pPr>
              <w:spacing w:after="0"/>
              <w:rPr>
                <w:sz w:val="22"/>
                <w:szCs w:val="22"/>
                <w:color w:val="auto"/>
              </w:rPr>
            </w:pPr>
          </w:p>
        </w:tc>
        <w:tc>
          <w:tcPr>
            <w:tcW w:w="1000" w:type="dxa"/>
            <w:vAlign w:val="bottom"/>
          </w:tcPr>
          <w:p>
            <w:pPr>
              <w:jc w:val="right"/>
              <w:ind w:right="58"/>
              <w:spacing w:after="0"/>
              <w:rPr>
                <w:sz w:val="20"/>
                <w:szCs w:val="20"/>
                <w:color w:val="auto"/>
              </w:rPr>
            </w:pPr>
            <w:r>
              <w:rPr>
                <w:rFonts w:ascii="Times New Roman" w:cs="Times New Roman" w:eastAsia="Times New Roman" w:hAnsi="Times New Roman"/>
                <w:sz w:val="20"/>
                <w:szCs w:val="20"/>
                <w:color w:val="auto"/>
              </w:rPr>
              <w:t>20%</w:t>
            </w:r>
          </w:p>
        </w:tc>
        <w:tc>
          <w:tcPr>
            <w:tcW w:w="0" w:type="dxa"/>
            <w:vAlign w:val="bottom"/>
          </w:tcPr>
          <w:p>
            <w:pPr>
              <w:spacing w:after="0"/>
              <w:rPr>
                <w:sz w:val="1"/>
                <w:szCs w:val="1"/>
                <w:color w:val="auto"/>
              </w:rPr>
            </w:pPr>
          </w:p>
        </w:tc>
      </w:tr>
      <w:tr>
        <w:trPr>
          <w:trHeight w:val="265"/>
        </w:trPr>
        <w:tc>
          <w:tcPr>
            <w:tcW w:w="56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Accounts payable and accrued liabilities</w:t>
            </w:r>
          </w:p>
        </w:tc>
        <w:tc>
          <w:tcPr>
            <w:tcW w:w="1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(37,960)</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(30,982)</w:t>
            </w:r>
          </w:p>
        </w:tc>
        <w:tc>
          <w:tcPr>
            <w:tcW w:w="1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(6,978)</w:t>
            </w:r>
          </w:p>
        </w:tc>
        <w:tc>
          <w:tcPr>
            <w:tcW w:w="100" w:type="dxa"/>
            <w:vAlign w:val="bottom"/>
          </w:tcPr>
          <w:p>
            <w:pPr>
              <w:spacing w:after="0"/>
              <w:rPr>
                <w:sz w:val="23"/>
                <w:szCs w:val="23"/>
                <w:color w:val="auto"/>
              </w:rPr>
            </w:pPr>
          </w:p>
        </w:tc>
        <w:tc>
          <w:tcPr>
            <w:tcW w:w="100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20"/>
                <w:szCs w:val="20"/>
                <w:color w:val="auto"/>
              </w:rPr>
              <w:t>23%</w:t>
            </w:r>
          </w:p>
        </w:tc>
        <w:tc>
          <w:tcPr>
            <w:tcW w:w="0" w:type="dxa"/>
            <w:vAlign w:val="bottom"/>
          </w:tcPr>
          <w:p>
            <w:pPr>
              <w:spacing w:after="0"/>
              <w:rPr>
                <w:sz w:val="1"/>
                <w:szCs w:val="1"/>
                <w:color w:val="auto"/>
              </w:rPr>
            </w:pPr>
          </w:p>
        </w:tc>
      </w:tr>
      <w:tr>
        <w:trPr>
          <w:trHeight w:val="248"/>
        </w:trPr>
        <w:tc>
          <w:tcPr>
            <w:tcW w:w="5620" w:type="dxa"/>
            <w:vAlign w:val="bottom"/>
          </w:tcPr>
          <w:p>
            <w:pPr>
              <w:spacing w:after="0"/>
              <w:rPr>
                <w:sz w:val="20"/>
                <w:szCs w:val="20"/>
                <w:color w:val="auto"/>
              </w:rPr>
            </w:pPr>
            <w:r>
              <w:rPr>
                <w:rFonts w:ascii="Times New Roman" w:cs="Times New Roman" w:eastAsia="Times New Roman" w:hAnsi="Times New Roman"/>
                <w:sz w:val="20"/>
                <w:szCs w:val="20"/>
                <w:color w:val="auto"/>
              </w:rPr>
              <w:t>Net cash used in operating activities</w:t>
            </w: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(81,792)</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(61,612)</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(20,180)</w:t>
            </w:r>
          </w:p>
        </w:tc>
        <w:tc>
          <w:tcPr>
            <w:tcW w:w="100" w:type="dxa"/>
            <w:vAlign w:val="bottom"/>
          </w:tcPr>
          <w:p>
            <w:pPr>
              <w:spacing w:after="0"/>
              <w:rPr>
                <w:sz w:val="21"/>
                <w:szCs w:val="21"/>
                <w:color w:val="auto"/>
              </w:rPr>
            </w:pPr>
          </w:p>
        </w:tc>
        <w:tc>
          <w:tcPr>
            <w:tcW w:w="100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20"/>
                <w:szCs w:val="20"/>
                <w:color w:val="auto"/>
              </w:rPr>
              <w:t>33%</w:t>
            </w: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Cash provided by (used in) investing activities:</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56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Investment in capital and intangible assets</w:t>
            </w:r>
          </w:p>
        </w:tc>
        <w:tc>
          <w:tcPr>
            <w:tcW w:w="1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(26,586)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(19,539)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(7,047)</w:t>
            </w:r>
          </w:p>
        </w:tc>
        <w:tc>
          <w:tcPr>
            <w:tcW w:w="100" w:type="dxa"/>
            <w:vAlign w:val="bottom"/>
          </w:tcPr>
          <w:p>
            <w:pPr>
              <w:spacing w:after="0"/>
              <w:rPr>
                <w:sz w:val="22"/>
                <w:szCs w:val="22"/>
                <w:color w:val="auto"/>
              </w:rPr>
            </w:pPr>
          </w:p>
        </w:tc>
        <w:tc>
          <w:tcPr>
            <w:tcW w:w="1000" w:type="dxa"/>
            <w:vAlign w:val="bottom"/>
          </w:tcPr>
          <w:p>
            <w:pPr>
              <w:jc w:val="right"/>
              <w:ind w:right="58"/>
              <w:spacing w:after="0"/>
              <w:rPr>
                <w:sz w:val="20"/>
                <w:szCs w:val="20"/>
                <w:color w:val="auto"/>
              </w:rPr>
            </w:pPr>
            <w:r>
              <w:rPr>
                <w:rFonts w:ascii="Times New Roman" w:cs="Times New Roman" w:eastAsia="Times New Roman" w:hAnsi="Times New Roman"/>
                <w:sz w:val="20"/>
                <w:szCs w:val="20"/>
                <w:color w:val="auto"/>
              </w:rPr>
              <w:t>36%</w:t>
            </w:r>
          </w:p>
        </w:tc>
        <w:tc>
          <w:tcPr>
            <w:tcW w:w="0" w:type="dxa"/>
            <w:vAlign w:val="bottom"/>
          </w:tcPr>
          <w:p>
            <w:pPr>
              <w:spacing w:after="0"/>
              <w:rPr>
                <w:sz w:val="1"/>
                <w:szCs w:val="1"/>
                <w:color w:val="auto"/>
              </w:rPr>
            </w:pPr>
          </w:p>
        </w:tc>
      </w:tr>
      <w:tr>
        <w:trPr>
          <w:trHeight w:val="254"/>
        </w:trPr>
        <w:tc>
          <w:tcPr>
            <w:tcW w:w="56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Proceeds from disposal of capital and intangible assets</w:t>
            </w:r>
          </w:p>
        </w:tc>
        <w:tc>
          <w:tcPr>
            <w:tcW w:w="180" w:type="dxa"/>
            <w:vAlign w:val="bottom"/>
          </w:tcPr>
          <w:p>
            <w:pPr>
              <w:spacing w:after="0"/>
              <w:rPr>
                <w:sz w:val="22"/>
                <w:szCs w:val="22"/>
                <w:color w:val="auto"/>
              </w:rPr>
            </w:pPr>
          </w:p>
        </w:tc>
        <w:tc>
          <w:tcPr>
            <w:tcW w:w="1420" w:type="dxa"/>
            <w:vAlign w:val="bottom"/>
          </w:tcPr>
          <w:p>
            <w:pPr>
              <w:jc w:val="right"/>
              <w:ind w:right="18"/>
              <w:spacing w:after="0"/>
              <w:rPr>
                <w:sz w:val="20"/>
                <w:szCs w:val="20"/>
                <w:color w:val="auto"/>
              </w:rPr>
            </w:pPr>
            <w:r>
              <w:rPr>
                <w:rFonts w:ascii="Times New Roman" w:cs="Times New Roman" w:eastAsia="Times New Roman" w:hAnsi="Times New Roman"/>
                <w:sz w:val="20"/>
                <w:szCs w:val="20"/>
                <w:color w:val="auto"/>
              </w:rPr>
              <w:t>833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(333)</w:t>
            </w: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0" w:type="dxa"/>
            <w:vAlign w:val="bottom"/>
          </w:tcPr>
          <w:p>
            <w:pPr>
              <w:spacing w:after="0"/>
              <w:rPr>
                <w:sz w:val="1"/>
                <w:szCs w:val="1"/>
                <w:color w:val="auto"/>
              </w:rPr>
            </w:pPr>
          </w:p>
        </w:tc>
      </w:tr>
      <w:tr>
        <w:trPr>
          <w:trHeight w:val="254"/>
        </w:trPr>
        <w:tc>
          <w:tcPr>
            <w:tcW w:w="56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(Purchase) disposal of marketable securities, net</w:t>
            </w:r>
          </w:p>
        </w:tc>
        <w:tc>
          <w:tcPr>
            <w:tcW w:w="1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(16,276)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162,292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(178,568)</w:t>
            </w: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w:t>
            </w:r>
          </w:p>
        </w:tc>
        <w:tc>
          <w:tcPr>
            <w:tcW w:w="0" w:type="dxa"/>
            <w:vAlign w:val="bottom"/>
          </w:tcPr>
          <w:p>
            <w:pPr>
              <w:spacing w:after="0"/>
              <w:rPr>
                <w:sz w:val="1"/>
                <w:szCs w:val="1"/>
                <w:color w:val="auto"/>
              </w:rPr>
            </w:pPr>
          </w:p>
        </w:tc>
      </w:tr>
      <w:tr>
        <w:trPr>
          <w:trHeight w:val="265"/>
        </w:trPr>
        <w:tc>
          <w:tcPr>
            <w:tcW w:w="56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Business acquisitions, net of cash acquired</w:t>
            </w:r>
          </w:p>
        </w:tc>
        <w:tc>
          <w:tcPr>
            <w:tcW w:w="1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(18,210)</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(60,626)</w:t>
            </w:r>
          </w:p>
        </w:tc>
        <w:tc>
          <w:tcPr>
            <w:tcW w:w="1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42,416</w:t>
            </w:r>
          </w:p>
        </w:tc>
        <w:tc>
          <w:tcPr>
            <w:tcW w:w="100" w:type="dxa"/>
            <w:vAlign w:val="bottom"/>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w:t>
            </w:r>
          </w:p>
        </w:tc>
        <w:tc>
          <w:tcPr>
            <w:tcW w:w="0" w:type="dxa"/>
            <w:vAlign w:val="bottom"/>
          </w:tcPr>
          <w:p>
            <w:pPr>
              <w:spacing w:after="0"/>
              <w:rPr>
                <w:sz w:val="1"/>
                <w:szCs w:val="1"/>
                <w:color w:val="auto"/>
              </w:rPr>
            </w:pPr>
          </w:p>
        </w:tc>
      </w:tr>
      <w:tr>
        <w:trPr>
          <w:trHeight w:val="248"/>
        </w:trPr>
        <w:tc>
          <w:tcPr>
            <w:tcW w:w="5620" w:type="dxa"/>
            <w:vAlign w:val="bottom"/>
          </w:tcPr>
          <w:p>
            <w:pPr>
              <w:spacing w:after="0"/>
              <w:rPr>
                <w:sz w:val="20"/>
                <w:szCs w:val="20"/>
                <w:color w:val="auto"/>
              </w:rPr>
            </w:pPr>
            <w:r>
              <w:rPr>
                <w:rFonts w:ascii="Times New Roman" w:cs="Times New Roman" w:eastAsia="Times New Roman" w:hAnsi="Times New Roman"/>
                <w:sz w:val="20"/>
                <w:szCs w:val="20"/>
                <w:color w:val="auto"/>
              </w:rPr>
              <w:t>Net cash (used in) provided by investing activities</w:t>
            </w: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(60,239)</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83,293</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(143,532)</w:t>
            </w:r>
          </w:p>
        </w:tc>
        <w:tc>
          <w:tcPr>
            <w:tcW w:w="100" w:type="dxa"/>
            <w:vAlign w:val="bottom"/>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(172)%</w:t>
            </w: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Cash provided by (used in) financing activities:</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56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Share capital issued, net of cash issuance costs</w:t>
            </w:r>
          </w:p>
        </w:tc>
        <w:tc>
          <w:tcPr>
            <w:tcW w:w="180" w:type="dxa"/>
            <w:vAlign w:val="bottom"/>
          </w:tcPr>
          <w:p>
            <w:pPr>
              <w:spacing w:after="0"/>
              <w:rPr>
                <w:sz w:val="22"/>
                <w:szCs w:val="22"/>
                <w:color w:val="auto"/>
              </w:rPr>
            </w:pPr>
          </w:p>
        </w:tc>
        <w:tc>
          <w:tcPr>
            <w:tcW w:w="1420" w:type="dxa"/>
            <w:vAlign w:val="bottom"/>
          </w:tcPr>
          <w:p>
            <w:pPr>
              <w:jc w:val="right"/>
              <w:ind w:right="18"/>
              <w:spacing w:after="0"/>
              <w:rPr>
                <w:sz w:val="20"/>
                <w:szCs w:val="20"/>
                <w:color w:val="auto"/>
              </w:rPr>
            </w:pPr>
            <w:r>
              <w:rPr>
                <w:rFonts w:ascii="Times New Roman" w:cs="Times New Roman" w:eastAsia="Times New Roman" w:hAnsi="Times New Roman"/>
                <w:sz w:val="20"/>
                <w:szCs w:val="20"/>
                <w:color w:val="auto"/>
              </w:rPr>
              <w:t>139,738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139,738</w:t>
            </w:r>
          </w:p>
        </w:tc>
        <w:tc>
          <w:tcPr>
            <w:tcW w:w="100" w:type="dxa"/>
            <w:vAlign w:val="bottom"/>
          </w:tcPr>
          <w:p>
            <w:pPr>
              <w:spacing w:after="0"/>
              <w:rPr>
                <w:sz w:val="22"/>
                <w:szCs w:val="22"/>
                <w:color w:val="auto"/>
              </w:rPr>
            </w:pPr>
          </w:p>
        </w:tc>
        <w:tc>
          <w:tcPr>
            <w:tcW w:w="1000" w:type="dxa"/>
            <w:vAlign w:val="bottom"/>
          </w:tcPr>
          <w:p>
            <w:pPr>
              <w:jc w:val="right"/>
              <w:ind w:right="238"/>
              <w:spacing w:after="0"/>
              <w:rPr>
                <w:sz w:val="20"/>
                <w:szCs w:val="20"/>
                <w:color w:val="auto"/>
              </w:rPr>
            </w:pPr>
            <w:r>
              <w:rPr>
                <w:rFonts w:ascii="Times New Roman" w:cs="Times New Roman" w:eastAsia="Times New Roman" w:hAnsi="Times New Roman"/>
                <w:sz w:val="20"/>
                <w:szCs w:val="20"/>
                <w:color w:val="auto"/>
              </w:rPr>
              <w:t>NM</w:t>
            </w:r>
          </w:p>
        </w:tc>
        <w:tc>
          <w:tcPr>
            <w:tcW w:w="0" w:type="dxa"/>
            <w:vAlign w:val="bottom"/>
          </w:tcPr>
          <w:p>
            <w:pPr>
              <w:spacing w:after="0"/>
              <w:rPr>
                <w:sz w:val="1"/>
                <w:szCs w:val="1"/>
                <w:color w:val="auto"/>
              </w:rPr>
            </w:pPr>
          </w:p>
        </w:tc>
      </w:tr>
      <w:tr>
        <w:trPr>
          <w:trHeight w:val="254"/>
        </w:trPr>
        <w:tc>
          <w:tcPr>
            <w:tcW w:w="56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Proceeds from long-term debt</w:t>
            </w:r>
          </w:p>
        </w:tc>
        <w:tc>
          <w:tcPr>
            <w:tcW w:w="180" w:type="dxa"/>
            <w:vAlign w:val="bottom"/>
          </w:tcPr>
          <w:p>
            <w:pPr>
              <w:spacing w:after="0"/>
              <w:rPr>
                <w:sz w:val="22"/>
                <w:szCs w:val="22"/>
                <w:color w:val="auto"/>
              </w:rPr>
            </w:pPr>
          </w:p>
        </w:tc>
        <w:tc>
          <w:tcPr>
            <w:tcW w:w="1420" w:type="dxa"/>
            <w:vAlign w:val="bottom"/>
          </w:tcPr>
          <w:p>
            <w:pPr>
              <w:jc w:val="right"/>
              <w:ind w:right="18"/>
              <w:spacing w:after="0"/>
              <w:rPr>
                <w:sz w:val="20"/>
                <w:szCs w:val="20"/>
                <w:color w:val="auto"/>
              </w:rPr>
            </w:pPr>
            <w:r>
              <w:rPr>
                <w:rFonts w:ascii="Times New Roman" w:cs="Times New Roman" w:eastAsia="Times New Roman" w:hAnsi="Times New Roman"/>
                <w:sz w:val="20"/>
                <w:szCs w:val="20"/>
                <w:color w:val="auto"/>
              </w:rPr>
              <w:t>3,450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32,621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(29,171)</w:t>
            </w: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c>
          <w:tcPr>
            <w:tcW w:w="0" w:type="dxa"/>
            <w:vAlign w:val="bottom"/>
          </w:tcPr>
          <w:p>
            <w:pPr>
              <w:spacing w:after="0"/>
              <w:rPr>
                <w:sz w:val="1"/>
                <w:szCs w:val="1"/>
                <w:color w:val="auto"/>
              </w:rPr>
            </w:pPr>
          </w:p>
        </w:tc>
      </w:tr>
      <w:tr>
        <w:trPr>
          <w:trHeight w:val="254"/>
        </w:trPr>
        <w:tc>
          <w:tcPr>
            <w:tcW w:w="56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Repayment of long-term debt</w:t>
            </w:r>
          </w:p>
        </w:tc>
        <w:tc>
          <w:tcPr>
            <w:tcW w:w="1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(16,115)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(17,978)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1,863</w:t>
            </w: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0" w:type="dxa"/>
            <w:vAlign w:val="bottom"/>
          </w:tcPr>
          <w:p>
            <w:pPr>
              <w:spacing w:after="0"/>
              <w:rPr>
                <w:sz w:val="1"/>
                <w:szCs w:val="1"/>
                <w:color w:val="auto"/>
              </w:rPr>
            </w:pPr>
          </w:p>
        </w:tc>
      </w:tr>
      <w:tr>
        <w:trPr>
          <w:trHeight w:val="254"/>
        </w:trPr>
        <w:tc>
          <w:tcPr>
            <w:tcW w:w="56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Proceeds from convertible debt</w:t>
            </w:r>
          </w:p>
        </w:tc>
        <w:tc>
          <w:tcPr>
            <w:tcW w:w="180" w:type="dxa"/>
            <w:vAlign w:val="bottom"/>
          </w:tcPr>
          <w:p>
            <w:pPr>
              <w:spacing w:after="0"/>
              <w:rPr>
                <w:sz w:val="22"/>
                <w:szCs w:val="22"/>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21,553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(21,553)</w:t>
            </w: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0" w:type="dxa"/>
            <w:vAlign w:val="bottom"/>
          </w:tcPr>
          <w:p>
            <w:pPr>
              <w:spacing w:after="0"/>
              <w:rPr>
                <w:sz w:val="1"/>
                <w:szCs w:val="1"/>
                <w:color w:val="auto"/>
              </w:rPr>
            </w:pPr>
          </w:p>
        </w:tc>
      </w:tr>
      <w:tr>
        <w:trPr>
          <w:trHeight w:val="254"/>
        </w:trPr>
        <w:tc>
          <w:tcPr>
            <w:tcW w:w="56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Repayment of convertible debt</w:t>
            </w:r>
          </w:p>
        </w:tc>
        <w:tc>
          <w:tcPr>
            <w:tcW w:w="1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(107,330)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107,000</w:t>
            </w: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0" w:type="dxa"/>
            <w:vAlign w:val="bottom"/>
          </w:tcPr>
          <w:p>
            <w:pPr>
              <w:spacing w:after="0"/>
              <w:rPr>
                <w:sz w:val="1"/>
                <w:szCs w:val="1"/>
                <w:color w:val="auto"/>
              </w:rPr>
            </w:pPr>
          </w:p>
        </w:tc>
      </w:tr>
      <w:tr>
        <w:trPr>
          <w:trHeight w:val="254"/>
        </w:trPr>
        <w:tc>
          <w:tcPr>
            <w:tcW w:w="56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Repayment of lease liabilities</w:t>
            </w:r>
          </w:p>
        </w:tc>
        <w:tc>
          <w:tcPr>
            <w:tcW w:w="1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(2,586)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(2,771)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w:t>
            </w: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0" w:type="dxa"/>
            <w:vAlign w:val="bottom"/>
          </w:tcPr>
          <w:p>
            <w:pPr>
              <w:spacing w:after="0"/>
              <w:rPr>
                <w:sz w:val="1"/>
                <w:szCs w:val="1"/>
                <w:color w:val="auto"/>
              </w:rPr>
            </w:pPr>
          </w:p>
        </w:tc>
      </w:tr>
      <w:tr>
        <w:trPr>
          <w:trHeight w:val="265"/>
        </w:trPr>
        <w:tc>
          <w:tcPr>
            <w:tcW w:w="56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Net decrease in bank indebtedness</w:t>
            </w:r>
          </w:p>
        </w:tc>
        <w:tc>
          <w:tcPr>
            <w:tcW w:w="1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(7,293)</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(8,352)</w:t>
            </w:r>
          </w:p>
        </w:tc>
        <w:tc>
          <w:tcPr>
            <w:tcW w:w="1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1,059</w:t>
            </w:r>
          </w:p>
        </w:tc>
        <w:tc>
          <w:tcPr>
            <w:tcW w:w="100" w:type="dxa"/>
            <w:vAlign w:val="bottom"/>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0" w:type="dxa"/>
            <w:vAlign w:val="bottom"/>
          </w:tcPr>
          <w:p>
            <w:pPr>
              <w:spacing w:after="0"/>
              <w:rPr>
                <w:sz w:val="1"/>
                <w:szCs w:val="1"/>
                <w:color w:val="auto"/>
              </w:rPr>
            </w:pPr>
          </w:p>
        </w:tc>
      </w:tr>
      <w:tr>
        <w:trPr>
          <w:trHeight w:val="248"/>
        </w:trPr>
        <w:tc>
          <w:tcPr>
            <w:tcW w:w="5620" w:type="dxa"/>
            <w:vAlign w:val="bottom"/>
          </w:tcPr>
          <w:p>
            <w:pPr>
              <w:spacing w:after="0"/>
              <w:rPr>
                <w:sz w:val="20"/>
                <w:szCs w:val="20"/>
                <w:color w:val="auto"/>
              </w:rPr>
            </w:pPr>
            <w:r>
              <w:rPr>
                <w:rFonts w:ascii="Times New Roman" w:cs="Times New Roman" w:eastAsia="Times New Roman" w:hAnsi="Times New Roman"/>
                <w:sz w:val="20"/>
                <w:szCs w:val="20"/>
                <w:color w:val="auto"/>
              </w:rPr>
              <w:t>Net cash provided by (used in) financing activities</w:t>
            </w: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20"/>
                <w:szCs w:val="20"/>
                <w:color w:val="auto"/>
              </w:rPr>
              <w:t>116,864</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(82,257)</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199,121</w:t>
            </w:r>
          </w:p>
        </w:tc>
        <w:tc>
          <w:tcPr>
            <w:tcW w:w="100" w:type="dxa"/>
            <w:vAlign w:val="bottom"/>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(242)%</w:t>
            </w:r>
          </w:p>
        </w:tc>
        <w:tc>
          <w:tcPr>
            <w:tcW w:w="0" w:type="dxa"/>
            <w:vAlign w:val="bottom"/>
          </w:tcPr>
          <w:p>
            <w:pPr>
              <w:spacing w:after="0"/>
              <w:rPr>
                <w:sz w:val="1"/>
                <w:szCs w:val="1"/>
                <w:color w:val="auto"/>
              </w:rPr>
            </w:pPr>
          </w:p>
        </w:tc>
      </w:tr>
      <w:tr>
        <w:trPr>
          <w:trHeight w:val="247"/>
        </w:trPr>
        <w:tc>
          <w:tcPr>
            <w:tcW w:w="5620" w:type="dxa"/>
            <w:vAlign w:val="bottom"/>
          </w:tcPr>
          <w:p>
            <w:pPr>
              <w:spacing w:after="0"/>
              <w:rPr>
                <w:sz w:val="20"/>
                <w:szCs w:val="20"/>
                <w:color w:val="auto"/>
              </w:rPr>
            </w:pPr>
            <w:r>
              <w:rPr>
                <w:rFonts w:ascii="Times New Roman" w:cs="Times New Roman" w:eastAsia="Times New Roman" w:hAnsi="Times New Roman"/>
                <w:sz w:val="20"/>
                <w:szCs w:val="20"/>
                <w:color w:val="auto"/>
              </w:rPr>
              <w:t>Effect of foreign exchange on cash and cash equivalents</w:t>
            </w: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(3,217)</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197</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(3,414)</w:t>
            </w:r>
          </w:p>
        </w:tc>
        <w:tc>
          <w:tcPr>
            <w:tcW w:w="100" w:type="dxa"/>
            <w:vAlign w:val="bottom"/>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(1733)%</w:t>
            </w: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20"/>
                <w:szCs w:val="20"/>
                <w:color w:val="auto"/>
              </w:rPr>
              <w:t>Net decrease in cash and cash equivalents</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(28,384)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(60,379)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31,995</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0" w:type="dxa"/>
            <w:vAlign w:val="bottom"/>
          </w:tcPr>
          <w:p>
            <w:pPr>
              <w:spacing w:after="0"/>
              <w:rPr>
                <w:sz w:val="1"/>
                <w:szCs w:val="1"/>
                <w:color w:val="auto"/>
              </w:rPr>
            </w:pPr>
          </w:p>
        </w:tc>
      </w:tr>
      <w:tr>
        <w:trPr>
          <w:trHeight w:val="265"/>
        </w:trPr>
        <w:tc>
          <w:tcPr>
            <w:tcW w:w="5620" w:type="dxa"/>
            <w:vAlign w:val="bottom"/>
          </w:tcPr>
          <w:p>
            <w:pPr>
              <w:spacing w:after="0"/>
              <w:rPr>
                <w:sz w:val="20"/>
                <w:szCs w:val="20"/>
                <w:color w:val="auto"/>
              </w:rPr>
            </w:pPr>
            <w:r>
              <w:rPr>
                <w:rFonts w:ascii="Times New Roman" w:cs="Times New Roman" w:eastAsia="Times New Roman" w:hAnsi="Times New Roman"/>
                <w:sz w:val="20"/>
                <w:szCs w:val="20"/>
                <w:color w:val="auto"/>
              </w:rPr>
              <w:t>Cash and cash equivalents, beginning of period</w:t>
            </w:r>
          </w:p>
        </w:tc>
        <w:tc>
          <w:tcPr>
            <w:tcW w:w="1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20"/>
                <w:szCs w:val="20"/>
                <w:color w:val="auto"/>
              </w:rPr>
              <w:t>228,340</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206,632</w:t>
            </w:r>
          </w:p>
        </w:tc>
        <w:tc>
          <w:tcPr>
            <w:tcW w:w="1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21,708</w:t>
            </w:r>
          </w:p>
        </w:tc>
        <w:tc>
          <w:tcPr>
            <w:tcW w:w="100" w:type="dxa"/>
            <w:vAlign w:val="bottom"/>
          </w:tcPr>
          <w:p>
            <w:pPr>
              <w:spacing w:after="0"/>
              <w:rPr>
                <w:sz w:val="23"/>
                <w:szCs w:val="23"/>
                <w:color w:val="auto"/>
              </w:rPr>
            </w:pPr>
          </w:p>
        </w:tc>
        <w:tc>
          <w:tcPr>
            <w:tcW w:w="100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20"/>
                <w:szCs w:val="20"/>
                <w:color w:val="auto"/>
              </w:rPr>
              <w:t>11%</w:t>
            </w:r>
          </w:p>
        </w:tc>
        <w:tc>
          <w:tcPr>
            <w:tcW w:w="0" w:type="dxa"/>
            <w:vAlign w:val="bottom"/>
          </w:tcPr>
          <w:p>
            <w:pPr>
              <w:spacing w:after="0"/>
              <w:rPr>
                <w:sz w:val="1"/>
                <w:szCs w:val="1"/>
                <w:color w:val="auto"/>
              </w:rPr>
            </w:pPr>
          </w:p>
        </w:tc>
      </w:tr>
      <w:tr>
        <w:trPr>
          <w:trHeight w:val="248"/>
        </w:trPr>
        <w:tc>
          <w:tcPr>
            <w:tcW w:w="5620" w:type="dxa"/>
            <w:vAlign w:val="bottom"/>
          </w:tcPr>
          <w:p>
            <w:pPr>
              <w:spacing w:after="0"/>
              <w:rPr>
                <w:sz w:val="20"/>
                <w:szCs w:val="20"/>
                <w:color w:val="auto"/>
              </w:rPr>
            </w:pPr>
            <w:r>
              <w:rPr>
                <w:rFonts w:ascii="Times New Roman" w:cs="Times New Roman" w:eastAsia="Times New Roman" w:hAnsi="Times New Roman"/>
                <w:sz w:val="20"/>
                <w:szCs w:val="20"/>
                <w:color w:val="auto"/>
              </w:rPr>
              <w:t>Cash and cash equivalents, end of period</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4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20"/>
                <w:szCs w:val="20"/>
                <w:color w:val="auto"/>
              </w:rPr>
              <w:t>199,956</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146,253</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53,703</w:t>
            </w:r>
          </w:p>
        </w:tc>
        <w:tc>
          <w:tcPr>
            <w:tcW w:w="100" w:type="dxa"/>
            <w:vAlign w:val="bottom"/>
          </w:tcPr>
          <w:p>
            <w:pPr>
              <w:spacing w:after="0"/>
              <w:rPr>
                <w:sz w:val="21"/>
                <w:szCs w:val="21"/>
                <w:color w:val="auto"/>
              </w:rPr>
            </w:pPr>
          </w:p>
        </w:tc>
        <w:tc>
          <w:tcPr>
            <w:tcW w:w="100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20"/>
                <w:szCs w:val="20"/>
                <w:color w:val="auto"/>
              </w:rPr>
              <w:t>37%</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3340" w:type="dxa"/>
            <w:vAlign w:val="bottom"/>
            <w:gridSpan w:val="5"/>
          </w:tcPr>
          <w:p>
            <w:pPr>
              <w:spacing w:after="0"/>
              <w:rPr>
                <w:sz w:val="20"/>
                <w:szCs w:val="20"/>
                <w:color w:val="auto"/>
              </w:rPr>
            </w:pPr>
            <w:r>
              <w:rPr>
                <w:rFonts w:ascii="Times New Roman" w:cs="Times New Roman" w:eastAsia="Times New Roman" w:hAnsi="Times New Roman"/>
                <w:sz w:val="20"/>
                <w:szCs w:val="20"/>
                <w:b w:val="1"/>
                <w:bCs w:val="1"/>
                <w:color w:val="auto"/>
              </w:rPr>
              <w:t>Net Revenue by Operating Segment</w:t>
            </w: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80" w:type="dxa"/>
            <w:vAlign w:val="bottom"/>
            <w:gridSpan w:val="4"/>
          </w:tcPr>
          <w:p>
            <w:pPr>
              <w:jc w:val="center"/>
              <w:ind w:right="300"/>
              <w:spacing w:after="0" w:line="229" w:lineRule="exact"/>
              <w:rPr>
                <w:sz w:val="20"/>
                <w:szCs w:val="20"/>
                <w:color w:val="auto"/>
              </w:rPr>
            </w:pPr>
            <w:r>
              <w:rPr>
                <w:rFonts w:ascii="Times New Roman" w:cs="Times New Roman" w:eastAsia="Times New Roman" w:hAnsi="Times New Roman"/>
                <w:sz w:val="20"/>
                <w:szCs w:val="20"/>
                <w:b w:val="1"/>
                <w:bCs w:val="1"/>
                <w:color w:val="auto"/>
              </w:rPr>
              <w:t>For the three months</w:t>
            </w:r>
          </w:p>
        </w:tc>
        <w:tc>
          <w:tcPr>
            <w:tcW w:w="200" w:type="dxa"/>
            <w:vAlign w:val="bottom"/>
          </w:tcPr>
          <w:p>
            <w:pPr>
              <w:spacing w:after="0"/>
              <w:rPr>
                <w:sz w:val="19"/>
                <w:szCs w:val="19"/>
                <w:color w:val="auto"/>
              </w:rPr>
            </w:pPr>
          </w:p>
        </w:tc>
        <w:tc>
          <w:tcPr>
            <w:tcW w:w="2140" w:type="dxa"/>
            <w:vAlign w:val="bottom"/>
            <w:gridSpan w:val="4"/>
          </w:tcPr>
          <w:p>
            <w:pPr>
              <w:jc w:val="center"/>
              <w:ind w:right="280"/>
              <w:spacing w:after="0" w:line="229" w:lineRule="exact"/>
              <w:rPr>
                <w:sz w:val="20"/>
                <w:szCs w:val="20"/>
                <w:color w:val="auto"/>
              </w:rPr>
            </w:pPr>
            <w:r>
              <w:rPr>
                <w:rFonts w:ascii="Times New Roman" w:cs="Times New Roman" w:eastAsia="Times New Roman" w:hAnsi="Times New Roman"/>
                <w:sz w:val="20"/>
                <w:szCs w:val="20"/>
                <w:b w:val="1"/>
                <w:bCs w:val="1"/>
                <w:color w:val="auto"/>
              </w:rPr>
              <w:t>For the three months</w:t>
            </w:r>
          </w:p>
        </w:tc>
        <w:tc>
          <w:tcPr>
            <w:tcW w:w="220" w:type="dxa"/>
            <w:vAlign w:val="bottom"/>
          </w:tcPr>
          <w:p>
            <w:pPr>
              <w:spacing w:after="0"/>
              <w:rPr>
                <w:sz w:val="19"/>
                <w:szCs w:val="19"/>
                <w:color w:val="auto"/>
              </w:rPr>
            </w:pPr>
          </w:p>
        </w:tc>
        <w:tc>
          <w:tcPr>
            <w:tcW w:w="2120" w:type="dxa"/>
            <w:vAlign w:val="bottom"/>
            <w:gridSpan w:val="4"/>
          </w:tcPr>
          <w:p>
            <w:pPr>
              <w:jc w:val="center"/>
              <w:ind w:right="300"/>
              <w:spacing w:after="0" w:line="229" w:lineRule="exact"/>
              <w:rPr>
                <w:sz w:val="20"/>
                <w:szCs w:val="20"/>
                <w:color w:val="auto"/>
              </w:rPr>
            </w:pPr>
            <w:r>
              <w:rPr>
                <w:rFonts w:ascii="Times New Roman" w:cs="Times New Roman" w:eastAsia="Times New Roman" w:hAnsi="Times New Roman"/>
                <w:sz w:val="20"/>
                <w:szCs w:val="20"/>
                <w:b w:val="1"/>
                <w:bCs w:val="1"/>
                <w:color w:val="auto"/>
              </w:rPr>
              <w:t>For the nine</w:t>
            </w:r>
          </w:p>
        </w:tc>
        <w:tc>
          <w:tcPr>
            <w:tcW w:w="200" w:type="dxa"/>
            <w:vAlign w:val="bottom"/>
          </w:tcPr>
          <w:p>
            <w:pPr>
              <w:spacing w:after="0"/>
              <w:rPr>
                <w:sz w:val="19"/>
                <w:szCs w:val="19"/>
                <w:color w:val="auto"/>
              </w:rPr>
            </w:pPr>
          </w:p>
        </w:tc>
        <w:tc>
          <w:tcPr>
            <w:tcW w:w="2020" w:type="dxa"/>
            <w:vAlign w:val="bottom"/>
            <w:gridSpan w:val="3"/>
          </w:tcPr>
          <w:p>
            <w:pPr>
              <w:jc w:val="center"/>
              <w:ind w:right="98"/>
              <w:spacing w:after="0" w:line="229" w:lineRule="exact"/>
              <w:rPr>
                <w:sz w:val="20"/>
                <w:szCs w:val="20"/>
                <w:color w:val="auto"/>
              </w:rPr>
            </w:pPr>
            <w:r>
              <w:rPr>
                <w:rFonts w:ascii="Times New Roman" w:cs="Times New Roman" w:eastAsia="Times New Roman" w:hAnsi="Times New Roman"/>
                <w:sz w:val="20"/>
                <w:szCs w:val="20"/>
                <w:b w:val="1"/>
                <w:bCs w:val="1"/>
                <w:color w:val="auto"/>
              </w:rPr>
              <w:t>For the nine</w:t>
            </w:r>
          </w:p>
        </w:tc>
        <w:tc>
          <w:tcPr>
            <w:tcW w:w="0" w:type="dxa"/>
            <w:vAlign w:val="bottom"/>
          </w:tcPr>
          <w:p>
            <w:pPr>
              <w:spacing w:after="0"/>
              <w:rPr>
                <w:sz w:val="1"/>
                <w:szCs w:val="1"/>
                <w:color w:val="auto"/>
              </w:rPr>
            </w:pPr>
          </w:p>
        </w:tc>
      </w:tr>
      <w:tr>
        <w:trPr>
          <w:trHeight w:val="254"/>
        </w:trPr>
        <w:tc>
          <w:tcPr>
            <w:tcW w:w="18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gridSpan w:val="2"/>
          </w:tcPr>
          <w:p>
            <w:pPr>
              <w:jc w:val="center"/>
              <w:ind w:left="518"/>
              <w:spacing w:after="0"/>
              <w:rPr>
                <w:sz w:val="20"/>
                <w:szCs w:val="20"/>
                <w:color w:val="auto"/>
              </w:rPr>
            </w:pPr>
            <w:r>
              <w:rPr>
                <w:rFonts w:ascii="Times New Roman" w:cs="Times New Roman" w:eastAsia="Times New Roman" w:hAnsi="Times New Roman"/>
                <w:sz w:val="20"/>
                <w:szCs w:val="20"/>
                <w:b w:val="1"/>
                <w:bCs w:val="1"/>
                <w:color w:val="auto"/>
              </w:rPr>
              <w:t>ended</w:t>
            </w: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gridSpan w:val="2"/>
          </w:tcPr>
          <w:p>
            <w:pPr>
              <w:jc w:val="center"/>
              <w:ind w:left="498"/>
              <w:spacing w:after="0"/>
              <w:rPr>
                <w:sz w:val="20"/>
                <w:szCs w:val="20"/>
                <w:color w:val="auto"/>
              </w:rPr>
            </w:pPr>
            <w:r>
              <w:rPr>
                <w:rFonts w:ascii="Times New Roman" w:cs="Times New Roman" w:eastAsia="Times New Roman" w:hAnsi="Times New Roman"/>
                <w:sz w:val="20"/>
                <w:szCs w:val="20"/>
                <w:b w:val="1"/>
                <w:bCs w:val="1"/>
                <w:color w:val="auto"/>
              </w:rPr>
              <w:t>ended</w:t>
            </w: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120" w:type="dxa"/>
            <w:vAlign w:val="bottom"/>
            <w:gridSpan w:val="4"/>
          </w:tcPr>
          <w:p>
            <w:pPr>
              <w:jc w:val="center"/>
              <w:ind w:right="300"/>
              <w:spacing w:after="0"/>
              <w:rPr>
                <w:sz w:val="20"/>
                <w:szCs w:val="20"/>
                <w:color w:val="auto"/>
              </w:rPr>
            </w:pPr>
            <w:r>
              <w:rPr>
                <w:rFonts w:ascii="Times New Roman" w:cs="Times New Roman" w:eastAsia="Times New Roman" w:hAnsi="Times New Roman"/>
                <w:sz w:val="20"/>
                <w:szCs w:val="20"/>
                <w:b w:val="1"/>
                <w:bCs w:val="1"/>
                <w:color w:val="auto"/>
              </w:rPr>
              <w:t>months ended</w:t>
            </w:r>
          </w:p>
        </w:tc>
        <w:tc>
          <w:tcPr>
            <w:tcW w:w="200" w:type="dxa"/>
            <w:vAlign w:val="bottom"/>
          </w:tcPr>
          <w:p>
            <w:pPr>
              <w:spacing w:after="0"/>
              <w:rPr>
                <w:sz w:val="22"/>
                <w:szCs w:val="22"/>
                <w:color w:val="auto"/>
              </w:rPr>
            </w:pPr>
          </w:p>
        </w:tc>
        <w:tc>
          <w:tcPr>
            <w:tcW w:w="2020" w:type="dxa"/>
            <w:vAlign w:val="bottom"/>
            <w:gridSpan w:val="3"/>
          </w:tcPr>
          <w:p>
            <w:pPr>
              <w:jc w:val="center"/>
              <w:ind w:right="98"/>
              <w:spacing w:after="0"/>
              <w:rPr>
                <w:sz w:val="20"/>
                <w:szCs w:val="20"/>
                <w:color w:val="auto"/>
              </w:rPr>
            </w:pPr>
            <w:r>
              <w:rPr>
                <w:rFonts w:ascii="Times New Roman" w:cs="Times New Roman" w:eastAsia="Times New Roman" w:hAnsi="Times New Roman"/>
                <w:sz w:val="20"/>
                <w:szCs w:val="20"/>
                <w:b w:val="1"/>
                <w:bCs w:val="1"/>
                <w:color w:val="auto"/>
              </w:rPr>
              <w:t>months ended</w:t>
            </w:r>
          </w:p>
        </w:tc>
        <w:tc>
          <w:tcPr>
            <w:tcW w:w="0" w:type="dxa"/>
            <w:vAlign w:val="bottom"/>
          </w:tcPr>
          <w:p>
            <w:pPr>
              <w:spacing w:after="0"/>
              <w:rPr>
                <w:sz w:val="1"/>
                <w:szCs w:val="1"/>
                <w:color w:val="auto"/>
              </w:rPr>
            </w:pPr>
          </w:p>
        </w:tc>
      </w:tr>
      <w:tr>
        <w:trPr>
          <w:trHeight w:val="229"/>
        </w:trPr>
        <w:tc>
          <w:tcPr>
            <w:tcW w:w="19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(In thousands of</w:t>
            </w:r>
          </w:p>
        </w:tc>
        <w:tc>
          <w:tcPr>
            <w:tcW w:w="1420" w:type="dxa"/>
            <w:vAlign w:val="bottom"/>
            <w:gridSpan w:val="3"/>
            <w:vMerge w:val="restart"/>
          </w:tcPr>
          <w:p>
            <w:pPr>
              <w:ind w:left="80"/>
              <w:spacing w:after="0"/>
              <w:rPr>
                <w:sz w:val="20"/>
                <w:szCs w:val="20"/>
                <w:color w:val="auto"/>
              </w:rPr>
            </w:pPr>
            <w:r>
              <w:rPr>
                <w:rFonts w:ascii="Times New Roman" w:cs="Times New Roman" w:eastAsia="Times New Roman" w:hAnsi="Times New Roman"/>
                <w:sz w:val="20"/>
                <w:szCs w:val="20"/>
                <w:b w:val="1"/>
                <w:bCs w:val="1"/>
                <w:color w:val="auto"/>
              </w:rPr>
              <w:t>February 28,</w:t>
            </w:r>
          </w:p>
        </w:tc>
        <w:tc>
          <w:tcPr>
            <w:tcW w:w="920" w:type="dxa"/>
            <w:vAlign w:val="bottom"/>
            <w:gridSpan w:val="2"/>
          </w:tcPr>
          <w:p>
            <w:pPr>
              <w:jc w:val="center"/>
              <w:ind w:right="100"/>
              <w:spacing w:after="0" w:line="229" w:lineRule="exact"/>
              <w:rPr>
                <w:sz w:val="20"/>
                <w:szCs w:val="20"/>
                <w:color w:val="auto"/>
              </w:rPr>
            </w:pPr>
            <w:r>
              <w:rPr>
                <w:rFonts w:ascii="Times New Roman" w:cs="Times New Roman" w:eastAsia="Times New Roman" w:hAnsi="Times New Roman"/>
                <w:sz w:val="20"/>
                <w:szCs w:val="20"/>
                <w:b w:val="1"/>
                <w:bCs w:val="1"/>
                <w:color w:val="auto"/>
              </w:rPr>
              <w:t>% of</w:t>
            </w:r>
          </w:p>
        </w:tc>
        <w:tc>
          <w:tcPr>
            <w:tcW w:w="1440" w:type="dxa"/>
            <w:vAlign w:val="bottom"/>
            <w:gridSpan w:val="3"/>
            <w:vMerge w:val="restart"/>
          </w:tcPr>
          <w:p>
            <w:pPr>
              <w:ind w:left="120"/>
              <w:spacing w:after="0"/>
              <w:rPr>
                <w:sz w:val="20"/>
                <w:szCs w:val="20"/>
                <w:color w:val="auto"/>
              </w:rPr>
            </w:pPr>
            <w:r>
              <w:rPr>
                <w:rFonts w:ascii="Times New Roman" w:cs="Times New Roman" w:eastAsia="Times New Roman" w:hAnsi="Times New Roman"/>
                <w:sz w:val="20"/>
                <w:szCs w:val="20"/>
                <w:b w:val="1"/>
                <w:bCs w:val="1"/>
                <w:color w:val="auto"/>
              </w:rPr>
              <w:t>February 29,</w:t>
            </w:r>
          </w:p>
        </w:tc>
        <w:tc>
          <w:tcPr>
            <w:tcW w:w="900" w:type="dxa"/>
            <w:vAlign w:val="bottom"/>
            <w:gridSpan w:val="2"/>
          </w:tcPr>
          <w:p>
            <w:pPr>
              <w:jc w:val="center"/>
              <w:ind w:right="80"/>
              <w:spacing w:after="0" w:line="229" w:lineRule="exact"/>
              <w:rPr>
                <w:sz w:val="20"/>
                <w:szCs w:val="20"/>
                <w:color w:val="auto"/>
              </w:rPr>
            </w:pPr>
            <w:r>
              <w:rPr>
                <w:rFonts w:ascii="Times New Roman" w:cs="Times New Roman" w:eastAsia="Times New Roman" w:hAnsi="Times New Roman"/>
                <w:sz w:val="20"/>
                <w:szCs w:val="20"/>
                <w:b w:val="1"/>
                <w:bCs w:val="1"/>
                <w:color w:val="auto"/>
              </w:rPr>
              <w:t>% of</w:t>
            </w:r>
          </w:p>
        </w:tc>
        <w:tc>
          <w:tcPr>
            <w:tcW w:w="1440" w:type="dxa"/>
            <w:vAlign w:val="bottom"/>
            <w:gridSpan w:val="3"/>
            <w:vMerge w:val="restart"/>
          </w:tcPr>
          <w:p>
            <w:pPr>
              <w:ind w:left="120"/>
              <w:spacing w:after="0"/>
              <w:rPr>
                <w:sz w:val="20"/>
                <w:szCs w:val="20"/>
                <w:color w:val="auto"/>
              </w:rPr>
            </w:pPr>
            <w:r>
              <w:rPr>
                <w:rFonts w:ascii="Times New Roman" w:cs="Times New Roman" w:eastAsia="Times New Roman" w:hAnsi="Times New Roman"/>
                <w:sz w:val="20"/>
                <w:szCs w:val="20"/>
                <w:b w:val="1"/>
                <w:bCs w:val="1"/>
                <w:color w:val="auto"/>
              </w:rPr>
              <w:t>February 28,</w:t>
            </w:r>
          </w:p>
        </w:tc>
        <w:tc>
          <w:tcPr>
            <w:tcW w:w="900" w:type="dxa"/>
            <w:vAlign w:val="bottom"/>
            <w:gridSpan w:val="2"/>
          </w:tcPr>
          <w:p>
            <w:pPr>
              <w:jc w:val="center"/>
              <w:ind w:right="80"/>
              <w:spacing w:after="0" w:line="229" w:lineRule="exact"/>
              <w:rPr>
                <w:sz w:val="20"/>
                <w:szCs w:val="20"/>
                <w:color w:val="auto"/>
              </w:rPr>
            </w:pPr>
            <w:r>
              <w:rPr>
                <w:rFonts w:ascii="Times New Roman" w:cs="Times New Roman" w:eastAsia="Times New Roman" w:hAnsi="Times New Roman"/>
                <w:sz w:val="20"/>
                <w:szCs w:val="20"/>
                <w:b w:val="1"/>
                <w:bCs w:val="1"/>
                <w:color w:val="auto"/>
              </w:rPr>
              <w:t>% of</w:t>
            </w:r>
          </w:p>
        </w:tc>
        <w:tc>
          <w:tcPr>
            <w:tcW w:w="1400" w:type="dxa"/>
            <w:vAlign w:val="bottom"/>
            <w:gridSpan w:val="3"/>
            <w:vMerge w:val="restart"/>
          </w:tcPr>
          <w:p>
            <w:pPr>
              <w:ind w:left="100"/>
              <w:spacing w:after="0"/>
              <w:rPr>
                <w:sz w:val="20"/>
                <w:szCs w:val="20"/>
                <w:color w:val="auto"/>
              </w:rPr>
            </w:pPr>
            <w:r>
              <w:rPr>
                <w:rFonts w:ascii="Times New Roman" w:cs="Times New Roman" w:eastAsia="Times New Roman" w:hAnsi="Times New Roman"/>
                <w:sz w:val="20"/>
                <w:szCs w:val="20"/>
                <w:b w:val="1"/>
                <w:bCs w:val="1"/>
                <w:color w:val="auto"/>
              </w:rPr>
              <w:t>February 29,</w:t>
            </w:r>
          </w:p>
        </w:tc>
        <w:tc>
          <w:tcPr>
            <w:tcW w:w="820" w:type="dxa"/>
            <w:vAlign w:val="bottom"/>
          </w:tcPr>
          <w:p>
            <w:pPr>
              <w:jc w:val="center"/>
              <w:spacing w:after="0" w:line="229" w:lineRule="exact"/>
              <w:rPr>
                <w:sz w:val="20"/>
                <w:szCs w:val="20"/>
                <w:color w:val="auto"/>
              </w:rPr>
            </w:pPr>
            <w:r>
              <w:rPr>
                <w:rFonts w:ascii="Times New Roman" w:cs="Times New Roman" w:eastAsia="Times New Roman" w:hAnsi="Times New Roman"/>
                <w:sz w:val="20"/>
                <w:szCs w:val="20"/>
                <w:b w:val="1"/>
                <w:bCs w:val="1"/>
                <w:color w:val="auto"/>
              </w:rPr>
              <w:t>% of</w:t>
            </w:r>
          </w:p>
        </w:tc>
        <w:tc>
          <w:tcPr>
            <w:tcW w:w="0" w:type="dxa"/>
            <w:vAlign w:val="bottom"/>
          </w:tcPr>
          <w:p>
            <w:pPr>
              <w:spacing w:after="0"/>
              <w:rPr>
                <w:sz w:val="1"/>
                <w:szCs w:val="1"/>
                <w:color w:val="auto"/>
              </w:rPr>
            </w:pPr>
          </w:p>
        </w:tc>
      </w:tr>
      <w:tr>
        <w:trPr>
          <w:trHeight w:val="114"/>
        </w:trPr>
        <w:tc>
          <w:tcPr>
            <w:tcW w:w="1920" w:type="dxa"/>
            <w:vAlign w:val="bottom"/>
            <w:gridSpan w:val="2"/>
            <w:vMerge w:val="continue"/>
          </w:tcPr>
          <w:p>
            <w:pPr>
              <w:spacing w:after="0"/>
              <w:rPr>
                <w:sz w:val="9"/>
                <w:szCs w:val="9"/>
                <w:color w:val="auto"/>
              </w:rPr>
            </w:pPr>
          </w:p>
        </w:tc>
        <w:tc>
          <w:tcPr>
            <w:tcW w:w="1420" w:type="dxa"/>
            <w:vAlign w:val="bottom"/>
            <w:gridSpan w:val="3"/>
            <w:vMerge w:val="continue"/>
          </w:tcPr>
          <w:p>
            <w:pPr>
              <w:spacing w:after="0"/>
              <w:rPr>
                <w:sz w:val="9"/>
                <w:szCs w:val="9"/>
                <w:color w:val="auto"/>
              </w:rPr>
            </w:pPr>
          </w:p>
        </w:tc>
        <w:tc>
          <w:tcPr>
            <w:tcW w:w="920" w:type="dxa"/>
            <w:vAlign w:val="bottom"/>
            <w:gridSpan w:val="2"/>
            <w:vMerge w:val="restart"/>
          </w:tcPr>
          <w:p>
            <w:pPr>
              <w:jc w:val="center"/>
              <w:ind w:right="80"/>
              <w:spacing w:after="0" w:line="229" w:lineRule="exact"/>
              <w:rPr>
                <w:sz w:val="20"/>
                <w:szCs w:val="20"/>
                <w:color w:val="auto"/>
              </w:rPr>
            </w:pPr>
            <w:r>
              <w:rPr>
                <w:rFonts w:ascii="Times New Roman" w:cs="Times New Roman" w:eastAsia="Times New Roman" w:hAnsi="Times New Roman"/>
                <w:sz w:val="20"/>
                <w:szCs w:val="20"/>
                <w:b w:val="1"/>
                <w:bCs w:val="1"/>
                <w:color w:val="auto"/>
                <w:w w:val="96"/>
              </w:rPr>
              <w:t>Total</w:t>
            </w:r>
          </w:p>
        </w:tc>
        <w:tc>
          <w:tcPr>
            <w:tcW w:w="1440" w:type="dxa"/>
            <w:vAlign w:val="bottom"/>
            <w:gridSpan w:val="3"/>
            <w:vMerge w:val="continue"/>
          </w:tcPr>
          <w:p>
            <w:pPr>
              <w:spacing w:after="0"/>
              <w:rPr>
                <w:sz w:val="9"/>
                <w:szCs w:val="9"/>
                <w:color w:val="auto"/>
              </w:rPr>
            </w:pPr>
          </w:p>
        </w:tc>
        <w:tc>
          <w:tcPr>
            <w:tcW w:w="900" w:type="dxa"/>
            <w:vAlign w:val="bottom"/>
            <w:gridSpan w:val="2"/>
            <w:vMerge w:val="restart"/>
          </w:tcPr>
          <w:p>
            <w:pPr>
              <w:jc w:val="center"/>
              <w:ind w:right="60"/>
              <w:spacing w:after="0" w:line="229" w:lineRule="exact"/>
              <w:rPr>
                <w:sz w:val="20"/>
                <w:szCs w:val="20"/>
                <w:color w:val="auto"/>
              </w:rPr>
            </w:pPr>
            <w:r>
              <w:rPr>
                <w:rFonts w:ascii="Times New Roman" w:cs="Times New Roman" w:eastAsia="Times New Roman" w:hAnsi="Times New Roman"/>
                <w:sz w:val="20"/>
                <w:szCs w:val="20"/>
                <w:b w:val="1"/>
                <w:bCs w:val="1"/>
                <w:color w:val="auto"/>
                <w:w w:val="96"/>
              </w:rPr>
              <w:t>Total</w:t>
            </w:r>
          </w:p>
        </w:tc>
        <w:tc>
          <w:tcPr>
            <w:tcW w:w="1440" w:type="dxa"/>
            <w:vAlign w:val="bottom"/>
            <w:gridSpan w:val="3"/>
            <w:vMerge w:val="continue"/>
          </w:tcPr>
          <w:p>
            <w:pPr>
              <w:spacing w:after="0"/>
              <w:rPr>
                <w:sz w:val="9"/>
                <w:szCs w:val="9"/>
                <w:color w:val="auto"/>
              </w:rPr>
            </w:pPr>
          </w:p>
        </w:tc>
        <w:tc>
          <w:tcPr>
            <w:tcW w:w="900" w:type="dxa"/>
            <w:vAlign w:val="bottom"/>
            <w:gridSpan w:val="2"/>
            <w:vMerge w:val="restart"/>
          </w:tcPr>
          <w:p>
            <w:pPr>
              <w:jc w:val="center"/>
              <w:ind w:right="80"/>
              <w:spacing w:after="0" w:line="229" w:lineRule="exact"/>
              <w:rPr>
                <w:sz w:val="20"/>
                <w:szCs w:val="20"/>
                <w:color w:val="auto"/>
              </w:rPr>
            </w:pPr>
            <w:r>
              <w:rPr>
                <w:rFonts w:ascii="Times New Roman" w:cs="Times New Roman" w:eastAsia="Times New Roman" w:hAnsi="Times New Roman"/>
                <w:sz w:val="20"/>
                <w:szCs w:val="20"/>
                <w:b w:val="1"/>
                <w:bCs w:val="1"/>
                <w:color w:val="auto"/>
              </w:rPr>
              <w:t>Total</w:t>
            </w:r>
          </w:p>
        </w:tc>
        <w:tc>
          <w:tcPr>
            <w:tcW w:w="1400" w:type="dxa"/>
            <w:vAlign w:val="bottom"/>
            <w:gridSpan w:val="3"/>
            <w:vMerge w:val="continue"/>
          </w:tcPr>
          <w:p>
            <w:pPr>
              <w:spacing w:after="0"/>
              <w:rPr>
                <w:sz w:val="9"/>
                <w:szCs w:val="9"/>
                <w:color w:val="auto"/>
              </w:rPr>
            </w:pPr>
          </w:p>
        </w:tc>
        <w:tc>
          <w:tcPr>
            <w:tcW w:w="820" w:type="dxa"/>
            <w:vAlign w:val="bottom"/>
            <w:vMerge w:val="restart"/>
          </w:tcPr>
          <w:p>
            <w:pPr>
              <w:jc w:val="center"/>
              <w:spacing w:after="0" w:line="229" w:lineRule="exact"/>
              <w:rPr>
                <w:sz w:val="20"/>
                <w:szCs w:val="20"/>
                <w:color w:val="auto"/>
              </w:rPr>
            </w:pPr>
            <w:r>
              <w:rPr>
                <w:rFonts w:ascii="Times New Roman" w:cs="Times New Roman" w:eastAsia="Times New Roman" w:hAnsi="Times New Roman"/>
                <w:sz w:val="20"/>
                <w:szCs w:val="20"/>
                <w:b w:val="1"/>
                <w:bCs w:val="1"/>
                <w:color w:val="auto"/>
              </w:rPr>
              <w:t>Total</w:t>
            </w:r>
          </w:p>
        </w:tc>
        <w:tc>
          <w:tcPr>
            <w:tcW w:w="0" w:type="dxa"/>
            <w:vAlign w:val="bottom"/>
          </w:tcPr>
          <w:p>
            <w:pPr>
              <w:spacing w:after="0"/>
              <w:rPr>
                <w:sz w:val="1"/>
                <w:szCs w:val="1"/>
                <w:color w:val="auto"/>
              </w:rPr>
            </w:pPr>
          </w:p>
        </w:tc>
      </w:tr>
      <w:tr>
        <w:trPr>
          <w:trHeight w:val="114"/>
        </w:trPr>
        <w:tc>
          <w:tcPr>
            <w:tcW w:w="19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U.S. dollars)</w:t>
            </w:r>
          </w:p>
        </w:tc>
        <w:tc>
          <w:tcPr>
            <w:tcW w:w="160" w:type="dxa"/>
            <w:vAlign w:val="bottom"/>
          </w:tcPr>
          <w:p>
            <w:pPr>
              <w:spacing w:after="0"/>
              <w:rPr>
                <w:sz w:val="9"/>
                <w:szCs w:val="9"/>
                <w:color w:val="auto"/>
              </w:rPr>
            </w:pPr>
          </w:p>
        </w:tc>
        <w:tc>
          <w:tcPr>
            <w:tcW w:w="1180" w:type="dxa"/>
            <w:vAlign w:val="bottom"/>
            <w:vMerge w:val="restart"/>
          </w:tcPr>
          <w:p>
            <w:pPr>
              <w:jc w:val="right"/>
              <w:ind w:right="378"/>
              <w:spacing w:after="0"/>
              <w:rPr>
                <w:sz w:val="20"/>
                <w:szCs w:val="20"/>
                <w:color w:val="auto"/>
              </w:rPr>
            </w:pPr>
            <w:r>
              <w:rPr>
                <w:rFonts w:ascii="Times New Roman" w:cs="Times New Roman" w:eastAsia="Times New Roman" w:hAnsi="Times New Roman"/>
                <w:sz w:val="20"/>
                <w:szCs w:val="20"/>
                <w:b w:val="1"/>
                <w:bCs w:val="1"/>
                <w:color w:val="auto"/>
              </w:rPr>
              <w:t>2025</w:t>
            </w:r>
          </w:p>
        </w:tc>
        <w:tc>
          <w:tcPr>
            <w:tcW w:w="8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vMerge w:val="restart"/>
          </w:tcPr>
          <w:p>
            <w:pPr>
              <w:jc w:val="right"/>
              <w:ind w:right="378"/>
              <w:spacing w:after="0"/>
              <w:rPr>
                <w:sz w:val="20"/>
                <w:szCs w:val="20"/>
                <w:color w:val="auto"/>
              </w:rPr>
            </w:pPr>
            <w:r>
              <w:rPr>
                <w:rFonts w:ascii="Times New Roman" w:cs="Times New Roman" w:eastAsia="Times New Roman" w:hAnsi="Times New Roman"/>
                <w:sz w:val="20"/>
                <w:szCs w:val="20"/>
                <w:b w:val="1"/>
                <w:bCs w:val="1"/>
                <w:color w:val="auto"/>
              </w:rPr>
              <w:t>2024</w:t>
            </w:r>
          </w:p>
        </w:tc>
        <w:tc>
          <w:tcPr>
            <w:tcW w:w="8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vMerge w:val="restart"/>
          </w:tcPr>
          <w:p>
            <w:pPr>
              <w:jc w:val="right"/>
              <w:ind w:right="378"/>
              <w:spacing w:after="0"/>
              <w:rPr>
                <w:sz w:val="20"/>
                <w:szCs w:val="20"/>
                <w:color w:val="auto"/>
              </w:rPr>
            </w:pPr>
            <w:r>
              <w:rPr>
                <w:rFonts w:ascii="Times New Roman" w:cs="Times New Roman" w:eastAsia="Times New Roman" w:hAnsi="Times New Roman"/>
                <w:sz w:val="20"/>
                <w:szCs w:val="20"/>
                <w:b w:val="1"/>
                <w:bCs w:val="1"/>
                <w:color w:val="auto"/>
              </w:rPr>
              <w:t>2025</w:t>
            </w:r>
          </w:p>
        </w:tc>
        <w:tc>
          <w:tcPr>
            <w:tcW w:w="8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vMerge w:val="restart"/>
          </w:tcPr>
          <w:p>
            <w:pPr>
              <w:jc w:val="right"/>
              <w:ind w:right="378"/>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9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Revenue</w:t>
            </w:r>
          </w:p>
        </w:tc>
        <w:tc>
          <w:tcPr>
            <w:tcW w:w="20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Revenue</w:t>
            </w:r>
          </w:p>
        </w:tc>
        <w:tc>
          <w:tcPr>
            <w:tcW w:w="22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Revenue</w:t>
            </w:r>
          </w:p>
        </w:tc>
        <w:tc>
          <w:tcPr>
            <w:tcW w:w="20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rPr>
              <w:t>Revenue</w:t>
            </w:r>
          </w:p>
        </w:tc>
        <w:tc>
          <w:tcPr>
            <w:tcW w:w="0" w:type="dxa"/>
            <w:vAlign w:val="bottom"/>
          </w:tcPr>
          <w:p>
            <w:pPr>
              <w:spacing w:after="0"/>
              <w:rPr>
                <w:sz w:val="1"/>
                <w:szCs w:val="1"/>
                <w:color w:val="auto"/>
              </w:rPr>
            </w:pPr>
          </w:p>
        </w:tc>
      </w:tr>
      <w:tr>
        <w:trPr>
          <w:trHeight w:val="115"/>
        </w:trPr>
        <w:tc>
          <w:tcPr>
            <w:tcW w:w="18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Beverage business</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5"/>
        </w:trPr>
        <w:tc>
          <w:tcPr>
            <w:tcW w:w="1880" w:type="dxa"/>
            <w:vAlign w:val="bottom"/>
            <w:vMerge w:val="continue"/>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20"/>
                <w:szCs w:val="20"/>
                <w:color w:val="auto"/>
              </w:rPr>
              <w:t>55,921</w:t>
            </w:r>
          </w:p>
        </w:tc>
        <w:tc>
          <w:tcPr>
            <w:tcW w:w="80" w:type="dxa"/>
            <w:vAlign w:val="bottom"/>
          </w:tcPr>
          <w:p>
            <w:pPr>
              <w:spacing w:after="0"/>
              <w:rPr>
                <w:sz w:val="20"/>
                <w:szCs w:val="20"/>
                <w:color w:val="auto"/>
              </w:rPr>
            </w:pPr>
          </w:p>
        </w:tc>
        <w:tc>
          <w:tcPr>
            <w:tcW w:w="840" w:type="dxa"/>
            <w:vAlign w:val="bottom"/>
            <w:tcBorders>
              <w:top w:val="single" w:sz="8" w:color="auto"/>
            </w:tcBorders>
          </w:tcPr>
          <w:p>
            <w:pPr>
              <w:jc w:val="right"/>
              <w:ind w:right="98"/>
              <w:spacing w:after="0"/>
              <w:rPr>
                <w:sz w:val="20"/>
                <w:szCs w:val="20"/>
                <w:color w:val="auto"/>
              </w:rPr>
            </w:pPr>
            <w:r>
              <w:rPr>
                <w:rFonts w:ascii="Times New Roman" w:cs="Times New Roman" w:eastAsia="Times New Roman" w:hAnsi="Times New Roman"/>
                <w:sz w:val="20"/>
                <w:szCs w:val="20"/>
                <w:color w:val="auto"/>
              </w:rPr>
              <w:t>30%</w:t>
            </w:r>
          </w:p>
        </w:tc>
        <w:tc>
          <w:tcPr>
            <w:tcW w:w="8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20"/>
                <w:szCs w:val="20"/>
                <w:color w:val="auto"/>
              </w:rPr>
              <w:t>54,688</w:t>
            </w:r>
          </w:p>
        </w:tc>
        <w:tc>
          <w:tcPr>
            <w:tcW w:w="80" w:type="dxa"/>
            <w:vAlign w:val="bottom"/>
          </w:tcPr>
          <w:p>
            <w:pPr>
              <w:spacing w:after="0"/>
              <w:rPr>
                <w:sz w:val="20"/>
                <w:szCs w:val="20"/>
                <w:color w:val="auto"/>
              </w:rPr>
            </w:pPr>
          </w:p>
        </w:tc>
        <w:tc>
          <w:tcPr>
            <w:tcW w:w="820" w:type="dxa"/>
            <w:vAlign w:val="bottom"/>
            <w:tcBorders>
              <w:top w:val="single" w:sz="8" w:color="auto"/>
            </w:tcBorders>
          </w:tcPr>
          <w:p>
            <w:pPr>
              <w:jc w:val="right"/>
              <w:ind w:right="98"/>
              <w:spacing w:after="0"/>
              <w:rPr>
                <w:sz w:val="20"/>
                <w:szCs w:val="20"/>
                <w:color w:val="auto"/>
              </w:rPr>
            </w:pPr>
            <w:r>
              <w:rPr>
                <w:rFonts w:ascii="Times New Roman" w:cs="Times New Roman" w:eastAsia="Times New Roman" w:hAnsi="Times New Roman"/>
                <w:sz w:val="20"/>
                <w:szCs w:val="20"/>
                <w:color w:val="auto"/>
              </w:rPr>
              <w:t>29%</w:t>
            </w:r>
          </w:p>
        </w:tc>
        <w:tc>
          <w:tcPr>
            <w:tcW w:w="80" w:type="dxa"/>
            <w:vAlign w:val="bottom"/>
          </w:tcPr>
          <w:p>
            <w:pPr>
              <w:spacing w:after="0"/>
              <w:rPr>
                <w:sz w:val="20"/>
                <w:szCs w:val="20"/>
                <w:color w:val="auto"/>
              </w:rPr>
            </w:pP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20"/>
                <w:szCs w:val="20"/>
                <w:color w:val="auto"/>
              </w:rPr>
              <w:t>174,974</w:t>
            </w:r>
          </w:p>
        </w:tc>
        <w:tc>
          <w:tcPr>
            <w:tcW w:w="80" w:type="dxa"/>
            <w:vAlign w:val="bottom"/>
          </w:tcPr>
          <w:p>
            <w:pPr>
              <w:spacing w:after="0"/>
              <w:rPr>
                <w:sz w:val="20"/>
                <w:szCs w:val="20"/>
                <w:color w:val="auto"/>
              </w:rPr>
            </w:pPr>
          </w:p>
        </w:tc>
        <w:tc>
          <w:tcPr>
            <w:tcW w:w="820" w:type="dxa"/>
            <w:vAlign w:val="bottom"/>
            <w:tcBorders>
              <w:top w:val="single" w:sz="8" w:color="auto"/>
            </w:tcBorders>
          </w:tcPr>
          <w:p>
            <w:pPr>
              <w:jc w:val="right"/>
              <w:ind w:right="98"/>
              <w:spacing w:after="0"/>
              <w:rPr>
                <w:sz w:val="20"/>
                <w:szCs w:val="20"/>
                <w:color w:val="auto"/>
              </w:rPr>
            </w:pPr>
            <w:r>
              <w:rPr>
                <w:rFonts w:ascii="Times New Roman" w:cs="Times New Roman" w:eastAsia="Times New Roman" w:hAnsi="Times New Roman"/>
                <w:sz w:val="20"/>
                <w:szCs w:val="20"/>
                <w:color w:val="auto"/>
              </w:rPr>
              <w:t>29%</w:t>
            </w:r>
          </w:p>
        </w:tc>
        <w:tc>
          <w:tcPr>
            <w:tcW w:w="8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20"/>
                <w:szCs w:val="20"/>
                <w:color w:val="auto"/>
              </w:rPr>
              <w:t>125,355</w:t>
            </w:r>
          </w:p>
        </w:tc>
        <w:tc>
          <w:tcPr>
            <w:tcW w:w="60" w:type="dxa"/>
            <w:vAlign w:val="bottom"/>
          </w:tcPr>
          <w:p>
            <w:pPr>
              <w:spacing w:after="0"/>
              <w:rPr>
                <w:sz w:val="20"/>
                <w:szCs w:val="20"/>
                <w:color w:val="auto"/>
              </w:rPr>
            </w:pPr>
          </w:p>
        </w:tc>
        <w:tc>
          <w:tcPr>
            <w:tcW w:w="820" w:type="dxa"/>
            <w:vAlign w:val="bottom"/>
            <w:tcBorders>
              <w:top w:val="single" w:sz="8" w:color="auto"/>
            </w:tcBorders>
          </w:tcPr>
          <w:p>
            <w:pPr>
              <w:jc w:val="right"/>
              <w:ind w:right="98"/>
              <w:spacing w:after="0"/>
              <w:rPr>
                <w:sz w:val="20"/>
                <w:szCs w:val="20"/>
                <w:color w:val="auto"/>
              </w:rPr>
            </w:pPr>
            <w:r>
              <w:rPr>
                <w:rFonts w:ascii="Times New Roman" w:cs="Times New Roman" w:eastAsia="Times New Roman" w:hAnsi="Times New Roman"/>
                <w:sz w:val="20"/>
                <w:szCs w:val="20"/>
                <w:color w:val="auto"/>
              </w:rPr>
              <w:t>22%</w:t>
            </w:r>
          </w:p>
        </w:tc>
        <w:tc>
          <w:tcPr>
            <w:tcW w:w="0" w:type="dxa"/>
            <w:vAlign w:val="bottom"/>
          </w:tcPr>
          <w:p>
            <w:pPr>
              <w:spacing w:after="0"/>
              <w:rPr>
                <w:sz w:val="1"/>
                <w:szCs w:val="1"/>
                <w:color w:val="auto"/>
              </w:rPr>
            </w:pPr>
          </w:p>
        </w:tc>
      </w:tr>
      <w:tr>
        <w:trPr>
          <w:trHeight w:val="254"/>
        </w:trPr>
        <w:tc>
          <w:tcPr>
            <w:tcW w:w="1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Cannabis business</w:t>
            </w:r>
          </w:p>
        </w:tc>
        <w:tc>
          <w:tcPr>
            <w:tcW w:w="160" w:type="dxa"/>
            <w:vAlign w:val="bottom"/>
          </w:tcPr>
          <w:p>
            <w:pPr>
              <w:spacing w:after="0"/>
              <w:rPr>
                <w:sz w:val="22"/>
                <w:szCs w:val="22"/>
                <w:color w:val="auto"/>
              </w:rPr>
            </w:pPr>
          </w:p>
        </w:tc>
        <w:tc>
          <w:tcPr>
            <w:tcW w:w="1180" w:type="dxa"/>
            <w:vAlign w:val="bottom"/>
          </w:tcPr>
          <w:p>
            <w:pPr>
              <w:jc w:val="right"/>
              <w:ind w:right="38"/>
              <w:spacing w:after="0"/>
              <w:rPr>
                <w:sz w:val="20"/>
                <w:szCs w:val="20"/>
                <w:color w:val="auto"/>
              </w:rPr>
            </w:pPr>
            <w:r>
              <w:rPr>
                <w:rFonts w:ascii="Times New Roman" w:cs="Times New Roman" w:eastAsia="Times New Roman" w:hAnsi="Times New Roman"/>
                <w:sz w:val="20"/>
                <w:szCs w:val="20"/>
                <w:color w:val="auto"/>
              </w:rPr>
              <w:t>54,274</w:t>
            </w:r>
          </w:p>
        </w:tc>
        <w:tc>
          <w:tcPr>
            <w:tcW w:w="80" w:type="dxa"/>
            <w:vAlign w:val="bottom"/>
          </w:tcPr>
          <w:p>
            <w:pPr>
              <w:spacing w:after="0"/>
              <w:rPr>
                <w:sz w:val="22"/>
                <w:szCs w:val="22"/>
                <w:color w:val="auto"/>
              </w:rPr>
            </w:pPr>
          </w:p>
        </w:tc>
        <w:tc>
          <w:tcPr>
            <w:tcW w:w="840" w:type="dxa"/>
            <w:vAlign w:val="bottom"/>
          </w:tcPr>
          <w:p>
            <w:pPr>
              <w:jc w:val="right"/>
              <w:ind w:right="98"/>
              <w:spacing w:after="0"/>
              <w:rPr>
                <w:sz w:val="20"/>
                <w:szCs w:val="20"/>
                <w:color w:val="auto"/>
              </w:rPr>
            </w:pPr>
            <w:r>
              <w:rPr>
                <w:rFonts w:ascii="Times New Roman" w:cs="Times New Roman" w:eastAsia="Times New Roman" w:hAnsi="Times New Roman"/>
                <w:sz w:val="20"/>
                <w:szCs w:val="20"/>
                <w:color w:val="auto"/>
              </w:rPr>
              <w:t>29%</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38"/>
              <w:spacing w:after="0"/>
              <w:rPr>
                <w:sz w:val="20"/>
                <w:szCs w:val="20"/>
                <w:color w:val="auto"/>
              </w:rPr>
            </w:pPr>
            <w:r>
              <w:rPr>
                <w:rFonts w:ascii="Times New Roman" w:cs="Times New Roman" w:eastAsia="Times New Roman" w:hAnsi="Times New Roman"/>
                <w:sz w:val="20"/>
                <w:szCs w:val="20"/>
                <w:color w:val="auto"/>
              </w:rPr>
              <w:t>63,432</w:t>
            </w:r>
          </w:p>
        </w:tc>
        <w:tc>
          <w:tcPr>
            <w:tcW w:w="80" w:type="dxa"/>
            <w:vAlign w:val="bottom"/>
          </w:tcPr>
          <w:p>
            <w:pPr>
              <w:spacing w:after="0"/>
              <w:rPr>
                <w:sz w:val="22"/>
                <w:szCs w:val="22"/>
                <w:color w:val="auto"/>
              </w:rPr>
            </w:pPr>
          </w:p>
        </w:tc>
        <w:tc>
          <w:tcPr>
            <w:tcW w:w="820" w:type="dxa"/>
            <w:vAlign w:val="bottom"/>
          </w:tcPr>
          <w:p>
            <w:pPr>
              <w:jc w:val="right"/>
              <w:ind w:right="98"/>
              <w:spacing w:after="0"/>
              <w:rPr>
                <w:sz w:val="20"/>
                <w:szCs w:val="20"/>
                <w:color w:val="auto"/>
              </w:rPr>
            </w:pPr>
            <w:r>
              <w:rPr>
                <w:rFonts w:ascii="Times New Roman" w:cs="Times New Roman" w:eastAsia="Times New Roman" w:hAnsi="Times New Roman"/>
                <w:sz w:val="20"/>
                <w:szCs w:val="20"/>
                <w:color w:val="auto"/>
              </w:rPr>
              <w:t>34%</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38"/>
              <w:spacing w:after="0"/>
              <w:rPr>
                <w:sz w:val="20"/>
                <w:szCs w:val="20"/>
                <w:color w:val="auto"/>
              </w:rPr>
            </w:pPr>
            <w:r>
              <w:rPr>
                <w:rFonts w:ascii="Times New Roman" w:cs="Times New Roman" w:eastAsia="Times New Roman" w:hAnsi="Times New Roman"/>
                <w:sz w:val="20"/>
                <w:szCs w:val="20"/>
                <w:color w:val="auto"/>
              </w:rPr>
              <w:t>181,175</w:t>
            </w:r>
          </w:p>
        </w:tc>
        <w:tc>
          <w:tcPr>
            <w:tcW w:w="80" w:type="dxa"/>
            <w:vAlign w:val="bottom"/>
          </w:tcPr>
          <w:p>
            <w:pPr>
              <w:spacing w:after="0"/>
              <w:rPr>
                <w:sz w:val="22"/>
                <w:szCs w:val="22"/>
                <w:color w:val="auto"/>
              </w:rPr>
            </w:pPr>
          </w:p>
        </w:tc>
        <w:tc>
          <w:tcPr>
            <w:tcW w:w="820" w:type="dxa"/>
            <w:vAlign w:val="bottom"/>
          </w:tcPr>
          <w:p>
            <w:pPr>
              <w:jc w:val="right"/>
              <w:ind w:right="98"/>
              <w:spacing w:after="0"/>
              <w:rPr>
                <w:sz w:val="20"/>
                <w:szCs w:val="20"/>
                <w:color w:val="auto"/>
              </w:rPr>
            </w:pPr>
            <w:r>
              <w:rPr>
                <w:rFonts w:ascii="Times New Roman" w:cs="Times New Roman" w:eastAsia="Times New Roman" w:hAnsi="Times New Roman"/>
                <w:sz w:val="20"/>
                <w:szCs w:val="20"/>
                <w:color w:val="auto"/>
              </w:rPr>
              <w:t>31%</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ind w:right="38"/>
              <w:spacing w:after="0"/>
              <w:rPr>
                <w:sz w:val="20"/>
                <w:szCs w:val="20"/>
                <w:color w:val="auto"/>
              </w:rPr>
            </w:pPr>
            <w:r>
              <w:rPr>
                <w:rFonts w:ascii="Times New Roman" w:cs="Times New Roman" w:eastAsia="Times New Roman" w:hAnsi="Times New Roman"/>
                <w:sz w:val="20"/>
                <w:szCs w:val="20"/>
                <w:color w:val="auto"/>
              </w:rPr>
              <w:t>200,879</w:t>
            </w:r>
          </w:p>
        </w:tc>
        <w:tc>
          <w:tcPr>
            <w:tcW w:w="60" w:type="dxa"/>
            <w:vAlign w:val="bottom"/>
          </w:tcPr>
          <w:p>
            <w:pPr>
              <w:spacing w:after="0"/>
              <w:rPr>
                <w:sz w:val="22"/>
                <w:szCs w:val="22"/>
                <w:color w:val="auto"/>
              </w:rPr>
            </w:pPr>
          </w:p>
        </w:tc>
        <w:tc>
          <w:tcPr>
            <w:tcW w:w="820" w:type="dxa"/>
            <w:vAlign w:val="bottom"/>
          </w:tcPr>
          <w:p>
            <w:pPr>
              <w:jc w:val="right"/>
              <w:ind w:right="98"/>
              <w:spacing w:after="0"/>
              <w:rPr>
                <w:sz w:val="20"/>
                <w:szCs w:val="20"/>
                <w:color w:val="auto"/>
              </w:rPr>
            </w:pPr>
            <w:r>
              <w:rPr>
                <w:rFonts w:ascii="Times New Roman" w:cs="Times New Roman" w:eastAsia="Times New Roman" w:hAnsi="Times New Roman"/>
                <w:sz w:val="20"/>
                <w:szCs w:val="20"/>
                <w:color w:val="auto"/>
              </w:rPr>
              <w:t>36%</w:t>
            </w:r>
          </w:p>
        </w:tc>
        <w:tc>
          <w:tcPr>
            <w:tcW w:w="0" w:type="dxa"/>
            <w:vAlign w:val="bottom"/>
          </w:tcPr>
          <w:p>
            <w:pPr>
              <w:spacing w:after="0"/>
              <w:rPr>
                <w:sz w:val="1"/>
                <w:szCs w:val="1"/>
                <w:color w:val="auto"/>
              </w:rPr>
            </w:pPr>
          </w:p>
        </w:tc>
      </w:tr>
      <w:tr>
        <w:trPr>
          <w:trHeight w:val="254"/>
        </w:trPr>
        <w:tc>
          <w:tcPr>
            <w:tcW w:w="1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Distribution business</w:t>
            </w:r>
          </w:p>
        </w:tc>
        <w:tc>
          <w:tcPr>
            <w:tcW w:w="160" w:type="dxa"/>
            <w:vAlign w:val="bottom"/>
          </w:tcPr>
          <w:p>
            <w:pPr>
              <w:spacing w:after="0"/>
              <w:rPr>
                <w:sz w:val="22"/>
                <w:szCs w:val="22"/>
                <w:color w:val="auto"/>
              </w:rPr>
            </w:pPr>
          </w:p>
        </w:tc>
        <w:tc>
          <w:tcPr>
            <w:tcW w:w="1180" w:type="dxa"/>
            <w:vAlign w:val="bottom"/>
          </w:tcPr>
          <w:p>
            <w:pPr>
              <w:jc w:val="right"/>
              <w:ind w:right="38"/>
              <w:spacing w:after="0"/>
              <w:rPr>
                <w:sz w:val="20"/>
                <w:szCs w:val="20"/>
                <w:color w:val="auto"/>
              </w:rPr>
            </w:pPr>
            <w:r>
              <w:rPr>
                <w:rFonts w:ascii="Times New Roman" w:cs="Times New Roman" w:eastAsia="Times New Roman" w:hAnsi="Times New Roman"/>
                <w:sz w:val="20"/>
                <w:szCs w:val="20"/>
                <w:color w:val="auto"/>
              </w:rPr>
              <w:t>61,493</w:t>
            </w:r>
          </w:p>
        </w:tc>
        <w:tc>
          <w:tcPr>
            <w:tcW w:w="80" w:type="dxa"/>
            <w:vAlign w:val="bottom"/>
          </w:tcPr>
          <w:p>
            <w:pPr>
              <w:spacing w:after="0"/>
              <w:rPr>
                <w:sz w:val="22"/>
                <w:szCs w:val="22"/>
                <w:color w:val="auto"/>
              </w:rPr>
            </w:pPr>
          </w:p>
        </w:tc>
        <w:tc>
          <w:tcPr>
            <w:tcW w:w="840" w:type="dxa"/>
            <w:vAlign w:val="bottom"/>
          </w:tcPr>
          <w:p>
            <w:pPr>
              <w:jc w:val="right"/>
              <w:ind w:right="98"/>
              <w:spacing w:after="0"/>
              <w:rPr>
                <w:sz w:val="20"/>
                <w:szCs w:val="20"/>
                <w:color w:val="auto"/>
              </w:rPr>
            </w:pPr>
            <w:r>
              <w:rPr>
                <w:rFonts w:ascii="Times New Roman" w:cs="Times New Roman" w:eastAsia="Times New Roman" w:hAnsi="Times New Roman"/>
                <w:sz w:val="20"/>
                <w:szCs w:val="20"/>
                <w:color w:val="auto"/>
              </w:rPr>
              <w:t>33%</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38"/>
              <w:spacing w:after="0"/>
              <w:rPr>
                <w:sz w:val="20"/>
                <w:szCs w:val="20"/>
                <w:color w:val="auto"/>
              </w:rPr>
            </w:pPr>
            <w:r>
              <w:rPr>
                <w:rFonts w:ascii="Times New Roman" w:cs="Times New Roman" w:eastAsia="Times New Roman" w:hAnsi="Times New Roman"/>
                <w:sz w:val="20"/>
                <w:szCs w:val="20"/>
                <w:color w:val="auto"/>
              </w:rPr>
              <w:t>56,794</w:t>
            </w:r>
          </w:p>
        </w:tc>
        <w:tc>
          <w:tcPr>
            <w:tcW w:w="80" w:type="dxa"/>
            <w:vAlign w:val="bottom"/>
          </w:tcPr>
          <w:p>
            <w:pPr>
              <w:spacing w:after="0"/>
              <w:rPr>
                <w:sz w:val="22"/>
                <w:szCs w:val="22"/>
                <w:color w:val="auto"/>
              </w:rPr>
            </w:pPr>
          </w:p>
        </w:tc>
        <w:tc>
          <w:tcPr>
            <w:tcW w:w="820" w:type="dxa"/>
            <w:vAlign w:val="bottom"/>
          </w:tcPr>
          <w:p>
            <w:pPr>
              <w:jc w:val="right"/>
              <w:ind w:right="98"/>
              <w:spacing w:after="0"/>
              <w:rPr>
                <w:sz w:val="20"/>
                <w:szCs w:val="20"/>
                <w:color w:val="auto"/>
              </w:rPr>
            </w:pPr>
            <w:r>
              <w:rPr>
                <w:rFonts w:ascii="Times New Roman" w:cs="Times New Roman" w:eastAsia="Times New Roman" w:hAnsi="Times New Roman"/>
                <w:sz w:val="20"/>
                <w:szCs w:val="20"/>
                <w:color w:val="auto"/>
              </w:rPr>
              <w:t>30%</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38"/>
              <w:spacing w:after="0"/>
              <w:rPr>
                <w:sz w:val="20"/>
                <w:szCs w:val="20"/>
                <w:color w:val="auto"/>
              </w:rPr>
            </w:pPr>
            <w:r>
              <w:rPr>
                <w:rFonts w:ascii="Times New Roman" w:cs="Times New Roman" w:eastAsia="Times New Roman" w:hAnsi="Times New Roman"/>
                <w:sz w:val="20"/>
                <w:szCs w:val="20"/>
                <w:color w:val="auto"/>
              </w:rPr>
              <w:t>197,175</w:t>
            </w:r>
          </w:p>
        </w:tc>
        <w:tc>
          <w:tcPr>
            <w:tcW w:w="80" w:type="dxa"/>
            <w:vAlign w:val="bottom"/>
          </w:tcPr>
          <w:p>
            <w:pPr>
              <w:spacing w:after="0"/>
              <w:rPr>
                <w:sz w:val="22"/>
                <w:szCs w:val="22"/>
                <w:color w:val="auto"/>
              </w:rPr>
            </w:pPr>
          </w:p>
        </w:tc>
        <w:tc>
          <w:tcPr>
            <w:tcW w:w="820" w:type="dxa"/>
            <w:vAlign w:val="bottom"/>
          </w:tcPr>
          <w:p>
            <w:pPr>
              <w:jc w:val="right"/>
              <w:ind w:right="98"/>
              <w:spacing w:after="0"/>
              <w:rPr>
                <w:sz w:val="20"/>
                <w:szCs w:val="20"/>
                <w:color w:val="auto"/>
              </w:rPr>
            </w:pPr>
            <w:r>
              <w:rPr>
                <w:rFonts w:ascii="Times New Roman" w:cs="Times New Roman" w:eastAsia="Times New Roman" w:hAnsi="Times New Roman"/>
                <w:sz w:val="20"/>
                <w:szCs w:val="20"/>
                <w:color w:val="auto"/>
              </w:rPr>
              <w:t>33%</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ind w:right="38"/>
              <w:spacing w:after="0"/>
              <w:rPr>
                <w:sz w:val="20"/>
                <w:szCs w:val="20"/>
                <w:color w:val="auto"/>
              </w:rPr>
            </w:pPr>
            <w:r>
              <w:rPr>
                <w:rFonts w:ascii="Times New Roman" w:cs="Times New Roman" w:eastAsia="Times New Roman" w:hAnsi="Times New Roman"/>
                <w:sz w:val="20"/>
                <w:szCs w:val="20"/>
                <w:color w:val="auto"/>
              </w:rPr>
              <w:t>193,174</w:t>
            </w:r>
          </w:p>
        </w:tc>
        <w:tc>
          <w:tcPr>
            <w:tcW w:w="60" w:type="dxa"/>
            <w:vAlign w:val="bottom"/>
          </w:tcPr>
          <w:p>
            <w:pPr>
              <w:spacing w:after="0"/>
              <w:rPr>
                <w:sz w:val="22"/>
                <w:szCs w:val="22"/>
                <w:color w:val="auto"/>
              </w:rPr>
            </w:pPr>
          </w:p>
        </w:tc>
        <w:tc>
          <w:tcPr>
            <w:tcW w:w="820" w:type="dxa"/>
            <w:vAlign w:val="bottom"/>
          </w:tcPr>
          <w:p>
            <w:pPr>
              <w:jc w:val="right"/>
              <w:ind w:right="98"/>
              <w:spacing w:after="0"/>
              <w:rPr>
                <w:sz w:val="20"/>
                <w:szCs w:val="20"/>
                <w:color w:val="auto"/>
              </w:rPr>
            </w:pPr>
            <w:r>
              <w:rPr>
                <w:rFonts w:ascii="Times New Roman" w:cs="Times New Roman" w:eastAsia="Times New Roman" w:hAnsi="Times New Roman"/>
                <w:sz w:val="20"/>
                <w:szCs w:val="20"/>
                <w:color w:val="auto"/>
              </w:rPr>
              <w:t>35%</w:t>
            </w:r>
          </w:p>
        </w:tc>
        <w:tc>
          <w:tcPr>
            <w:tcW w:w="0" w:type="dxa"/>
            <w:vAlign w:val="bottom"/>
          </w:tcPr>
          <w:p>
            <w:pPr>
              <w:spacing w:after="0"/>
              <w:rPr>
                <w:sz w:val="1"/>
                <w:szCs w:val="1"/>
                <w:color w:val="auto"/>
              </w:rPr>
            </w:pPr>
          </w:p>
        </w:tc>
      </w:tr>
      <w:tr>
        <w:trPr>
          <w:trHeight w:val="266"/>
        </w:trPr>
        <w:tc>
          <w:tcPr>
            <w:tcW w:w="1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Wellness business</w:t>
            </w:r>
          </w:p>
        </w:tc>
        <w:tc>
          <w:tcPr>
            <w:tcW w:w="160" w:type="dxa"/>
            <w:vAlign w:val="bottom"/>
          </w:tcPr>
          <w:p>
            <w:pPr>
              <w:spacing w:after="0"/>
              <w:rPr>
                <w:sz w:val="23"/>
                <w:szCs w:val="23"/>
                <w:color w:val="auto"/>
              </w:rPr>
            </w:pPr>
          </w:p>
        </w:tc>
        <w:tc>
          <w:tcPr>
            <w:tcW w:w="1180" w:type="dxa"/>
            <w:vAlign w:val="bottom"/>
          </w:tcPr>
          <w:p>
            <w:pPr>
              <w:jc w:val="right"/>
              <w:ind w:right="38"/>
              <w:spacing w:after="0"/>
              <w:rPr>
                <w:sz w:val="20"/>
                <w:szCs w:val="20"/>
                <w:color w:val="auto"/>
              </w:rPr>
            </w:pPr>
            <w:r>
              <w:rPr>
                <w:rFonts w:ascii="Times New Roman" w:cs="Times New Roman" w:eastAsia="Times New Roman" w:hAnsi="Times New Roman"/>
                <w:sz w:val="20"/>
                <w:szCs w:val="20"/>
                <w:color w:val="auto"/>
              </w:rPr>
              <w:t>14,092</w:t>
            </w:r>
          </w:p>
        </w:tc>
        <w:tc>
          <w:tcPr>
            <w:tcW w:w="80" w:type="dxa"/>
            <w:vAlign w:val="bottom"/>
          </w:tcPr>
          <w:p>
            <w:pPr>
              <w:spacing w:after="0"/>
              <w:rPr>
                <w:sz w:val="23"/>
                <w:szCs w:val="23"/>
                <w:color w:val="auto"/>
              </w:rPr>
            </w:pPr>
          </w:p>
        </w:tc>
        <w:tc>
          <w:tcPr>
            <w:tcW w:w="840" w:type="dxa"/>
            <w:vAlign w:val="bottom"/>
          </w:tcPr>
          <w:p>
            <w:pPr>
              <w:jc w:val="right"/>
              <w:ind w:right="98"/>
              <w:spacing w:after="0"/>
              <w:rPr>
                <w:sz w:val="20"/>
                <w:szCs w:val="20"/>
                <w:color w:val="auto"/>
              </w:rPr>
            </w:pPr>
            <w:r>
              <w:rPr>
                <w:rFonts w:ascii="Times New Roman" w:cs="Times New Roman" w:eastAsia="Times New Roman" w:hAnsi="Times New Roman"/>
                <w:sz w:val="20"/>
                <w:szCs w:val="20"/>
                <w:color w:val="auto"/>
              </w:rPr>
              <w:t>8%</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38"/>
              <w:spacing w:after="0"/>
              <w:rPr>
                <w:sz w:val="20"/>
                <w:szCs w:val="20"/>
                <w:color w:val="auto"/>
              </w:rPr>
            </w:pPr>
            <w:r>
              <w:rPr>
                <w:rFonts w:ascii="Times New Roman" w:cs="Times New Roman" w:eastAsia="Times New Roman" w:hAnsi="Times New Roman"/>
                <w:sz w:val="20"/>
                <w:szCs w:val="20"/>
                <w:color w:val="auto"/>
              </w:rPr>
              <w:t>13,426</w:t>
            </w:r>
          </w:p>
        </w:tc>
        <w:tc>
          <w:tcPr>
            <w:tcW w:w="80" w:type="dxa"/>
            <w:vAlign w:val="bottom"/>
          </w:tcPr>
          <w:p>
            <w:pPr>
              <w:spacing w:after="0"/>
              <w:rPr>
                <w:sz w:val="23"/>
                <w:szCs w:val="23"/>
                <w:color w:val="auto"/>
              </w:rPr>
            </w:pPr>
          </w:p>
        </w:tc>
        <w:tc>
          <w:tcPr>
            <w:tcW w:w="820" w:type="dxa"/>
            <w:vAlign w:val="bottom"/>
          </w:tcPr>
          <w:p>
            <w:pPr>
              <w:jc w:val="right"/>
              <w:ind w:right="98"/>
              <w:spacing w:after="0"/>
              <w:rPr>
                <w:sz w:val="20"/>
                <w:szCs w:val="20"/>
                <w:color w:val="auto"/>
              </w:rPr>
            </w:pPr>
            <w:r>
              <w:rPr>
                <w:rFonts w:ascii="Times New Roman" w:cs="Times New Roman" w:eastAsia="Times New Roman" w:hAnsi="Times New Roman"/>
                <w:sz w:val="20"/>
                <w:szCs w:val="20"/>
                <w:color w:val="auto"/>
              </w:rPr>
              <w:t>7%</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38"/>
              <w:spacing w:after="0"/>
              <w:rPr>
                <w:sz w:val="20"/>
                <w:szCs w:val="20"/>
                <w:color w:val="auto"/>
              </w:rPr>
            </w:pPr>
            <w:r>
              <w:rPr>
                <w:rFonts w:ascii="Times New Roman" w:cs="Times New Roman" w:eastAsia="Times New Roman" w:hAnsi="Times New Roman"/>
                <w:sz w:val="20"/>
                <w:szCs w:val="20"/>
                <w:color w:val="auto"/>
              </w:rPr>
              <w:t>43,450</w:t>
            </w:r>
          </w:p>
        </w:tc>
        <w:tc>
          <w:tcPr>
            <w:tcW w:w="80" w:type="dxa"/>
            <w:vAlign w:val="bottom"/>
          </w:tcPr>
          <w:p>
            <w:pPr>
              <w:spacing w:after="0"/>
              <w:rPr>
                <w:sz w:val="23"/>
                <w:szCs w:val="23"/>
                <w:color w:val="auto"/>
              </w:rPr>
            </w:pPr>
          </w:p>
        </w:tc>
        <w:tc>
          <w:tcPr>
            <w:tcW w:w="820" w:type="dxa"/>
            <w:vAlign w:val="bottom"/>
          </w:tcPr>
          <w:p>
            <w:pPr>
              <w:jc w:val="right"/>
              <w:ind w:right="98"/>
              <w:spacing w:after="0"/>
              <w:rPr>
                <w:sz w:val="20"/>
                <w:szCs w:val="20"/>
                <w:color w:val="auto"/>
              </w:rPr>
            </w:pPr>
            <w:r>
              <w:rPr>
                <w:rFonts w:ascii="Times New Roman" w:cs="Times New Roman" w:eastAsia="Times New Roman" w:hAnsi="Times New Roman"/>
                <w:sz w:val="20"/>
                <w:szCs w:val="20"/>
                <w:color w:val="auto"/>
              </w:rPr>
              <w:t>7%</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38"/>
              <w:spacing w:after="0"/>
              <w:rPr>
                <w:sz w:val="20"/>
                <w:szCs w:val="20"/>
                <w:color w:val="auto"/>
              </w:rPr>
            </w:pPr>
            <w:r>
              <w:rPr>
                <w:rFonts w:ascii="Times New Roman" w:cs="Times New Roman" w:eastAsia="Times New Roman" w:hAnsi="Times New Roman"/>
                <w:sz w:val="20"/>
                <w:szCs w:val="20"/>
                <w:color w:val="auto"/>
              </w:rPr>
              <w:t>39,652</w:t>
            </w:r>
          </w:p>
        </w:tc>
        <w:tc>
          <w:tcPr>
            <w:tcW w:w="60" w:type="dxa"/>
            <w:vAlign w:val="bottom"/>
          </w:tcPr>
          <w:p>
            <w:pPr>
              <w:spacing w:after="0"/>
              <w:rPr>
                <w:sz w:val="23"/>
                <w:szCs w:val="23"/>
                <w:color w:val="auto"/>
              </w:rPr>
            </w:pPr>
          </w:p>
        </w:tc>
        <w:tc>
          <w:tcPr>
            <w:tcW w:w="820" w:type="dxa"/>
            <w:vAlign w:val="bottom"/>
          </w:tcPr>
          <w:p>
            <w:pPr>
              <w:jc w:val="right"/>
              <w:ind w:right="98"/>
              <w:spacing w:after="0"/>
              <w:rPr>
                <w:sz w:val="20"/>
                <w:szCs w:val="20"/>
                <w:color w:val="auto"/>
              </w:rPr>
            </w:pPr>
            <w:r>
              <w:rPr>
                <w:rFonts w:ascii="Times New Roman" w:cs="Times New Roman" w:eastAsia="Times New Roman" w:hAnsi="Times New Roman"/>
                <w:sz w:val="20"/>
                <w:szCs w:val="20"/>
                <w:color w:val="auto"/>
              </w:rPr>
              <w:t>7%</w:t>
            </w:r>
          </w:p>
        </w:tc>
        <w:tc>
          <w:tcPr>
            <w:tcW w:w="0" w:type="dxa"/>
            <w:vAlign w:val="bottom"/>
          </w:tcPr>
          <w:p>
            <w:pPr>
              <w:spacing w:after="0"/>
              <w:rPr>
                <w:sz w:val="1"/>
                <w:szCs w:val="1"/>
                <w:color w:val="auto"/>
              </w:rPr>
            </w:pPr>
          </w:p>
        </w:tc>
      </w:tr>
      <w:tr>
        <w:trPr>
          <w:trHeight w:val="248"/>
        </w:trPr>
        <w:tc>
          <w:tcPr>
            <w:tcW w:w="1880" w:type="dxa"/>
            <w:vAlign w:val="bottom"/>
          </w:tcPr>
          <w:p>
            <w:pPr>
              <w:spacing w:after="0"/>
              <w:rPr>
                <w:sz w:val="20"/>
                <w:szCs w:val="20"/>
                <w:color w:val="auto"/>
              </w:rPr>
            </w:pPr>
            <w:r>
              <w:rPr>
                <w:rFonts w:ascii="Times New Roman" w:cs="Times New Roman" w:eastAsia="Times New Roman" w:hAnsi="Times New Roman"/>
                <w:sz w:val="20"/>
                <w:szCs w:val="20"/>
                <w:color w:val="auto"/>
              </w:rPr>
              <w:t>Total net revenue</w:t>
            </w:r>
          </w:p>
        </w:tc>
        <w:tc>
          <w:tcPr>
            <w:tcW w:w="4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20"/>
                <w:szCs w:val="20"/>
                <w:color w:val="auto"/>
              </w:rPr>
              <w:t>185,780</w:t>
            </w:r>
          </w:p>
        </w:tc>
        <w:tc>
          <w:tcPr>
            <w:tcW w:w="80" w:type="dxa"/>
            <w:vAlign w:val="bottom"/>
          </w:tcPr>
          <w:p>
            <w:pPr>
              <w:spacing w:after="0"/>
              <w:rPr>
                <w:sz w:val="21"/>
                <w:szCs w:val="21"/>
                <w:color w:val="auto"/>
              </w:rPr>
            </w:pPr>
          </w:p>
        </w:tc>
        <w:tc>
          <w:tcPr>
            <w:tcW w:w="8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20"/>
                <w:szCs w:val="20"/>
                <w:color w:val="auto"/>
              </w:rPr>
              <w:t>100%</w:t>
            </w:r>
          </w:p>
        </w:tc>
        <w:tc>
          <w:tcPr>
            <w:tcW w:w="8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20"/>
                <w:szCs w:val="20"/>
                <w:color w:val="auto"/>
              </w:rPr>
              <w:t>188,340</w:t>
            </w:r>
          </w:p>
        </w:tc>
        <w:tc>
          <w:tcPr>
            <w:tcW w:w="80" w:type="dxa"/>
            <w:vAlign w:val="bottom"/>
          </w:tcPr>
          <w:p>
            <w:pPr>
              <w:spacing w:after="0"/>
              <w:rPr>
                <w:sz w:val="21"/>
                <w:szCs w:val="21"/>
                <w:color w:val="auto"/>
              </w:rPr>
            </w:pPr>
          </w:p>
        </w:tc>
        <w:tc>
          <w:tcPr>
            <w:tcW w:w="82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20"/>
                <w:szCs w:val="20"/>
                <w:color w:val="auto"/>
              </w:rPr>
              <w:t>100%</w:t>
            </w:r>
          </w:p>
        </w:tc>
        <w:tc>
          <w:tcPr>
            <w:tcW w:w="8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20"/>
                <w:szCs w:val="20"/>
                <w:color w:val="auto"/>
              </w:rPr>
              <w:t>596,774</w:t>
            </w:r>
          </w:p>
        </w:tc>
        <w:tc>
          <w:tcPr>
            <w:tcW w:w="80" w:type="dxa"/>
            <w:vAlign w:val="bottom"/>
          </w:tcPr>
          <w:p>
            <w:pPr>
              <w:spacing w:after="0"/>
              <w:rPr>
                <w:sz w:val="21"/>
                <w:szCs w:val="21"/>
                <w:color w:val="auto"/>
              </w:rPr>
            </w:pPr>
          </w:p>
        </w:tc>
        <w:tc>
          <w:tcPr>
            <w:tcW w:w="82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20"/>
                <w:szCs w:val="20"/>
                <w:color w:val="auto"/>
              </w:rPr>
              <w:t>100%</w:t>
            </w:r>
          </w:p>
        </w:tc>
        <w:tc>
          <w:tcPr>
            <w:tcW w:w="8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20"/>
                <w:szCs w:val="20"/>
                <w:color w:val="auto"/>
              </w:rPr>
              <w:t>559,060</w:t>
            </w:r>
          </w:p>
        </w:tc>
        <w:tc>
          <w:tcPr>
            <w:tcW w:w="60" w:type="dxa"/>
            <w:vAlign w:val="bottom"/>
          </w:tcPr>
          <w:p>
            <w:pPr>
              <w:spacing w:after="0"/>
              <w:rPr>
                <w:sz w:val="21"/>
                <w:szCs w:val="21"/>
                <w:color w:val="auto"/>
              </w:rPr>
            </w:pPr>
          </w:p>
        </w:tc>
        <w:tc>
          <w:tcPr>
            <w:tcW w:w="82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20"/>
                <w:szCs w:val="20"/>
                <w:color w:val="auto"/>
              </w:rPr>
              <w:t>100%</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1380" w:type="dxa"/>
            <w:vAlign w:val="bottom"/>
            <w:tcBorders>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3340" w:type="dxa"/>
            <w:vAlign w:val="bottom"/>
            <w:gridSpan w:val="5"/>
          </w:tcPr>
          <w:p>
            <w:pPr>
              <w:spacing w:after="0"/>
              <w:rPr>
                <w:sz w:val="20"/>
                <w:szCs w:val="20"/>
                <w:color w:val="auto"/>
              </w:rPr>
            </w:pPr>
            <w:r>
              <w:rPr>
                <w:rFonts w:ascii="Times New Roman" w:cs="Times New Roman" w:eastAsia="Times New Roman" w:hAnsi="Times New Roman"/>
                <w:sz w:val="20"/>
                <w:szCs w:val="20"/>
                <w:b w:val="1"/>
                <w:bCs w:val="1"/>
                <w:color w:val="auto"/>
              </w:rPr>
              <w:t>Net Revenue by Operating Segment</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19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in Constant Currency</w:t>
            </w: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8"/>
        </w:trPr>
        <w:tc>
          <w:tcPr>
            <w:tcW w:w="1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80" w:type="dxa"/>
            <w:vAlign w:val="bottom"/>
            <w:gridSpan w:val="4"/>
          </w:tcPr>
          <w:p>
            <w:pPr>
              <w:jc w:val="center"/>
              <w:ind w:right="300"/>
              <w:spacing w:after="0"/>
              <w:rPr>
                <w:sz w:val="20"/>
                <w:szCs w:val="20"/>
                <w:color w:val="auto"/>
              </w:rPr>
            </w:pPr>
            <w:r>
              <w:rPr>
                <w:rFonts w:ascii="Times New Roman" w:cs="Times New Roman" w:eastAsia="Times New Roman" w:hAnsi="Times New Roman"/>
                <w:sz w:val="20"/>
                <w:szCs w:val="20"/>
                <w:b w:val="1"/>
                <w:bCs w:val="1"/>
                <w:color w:val="auto"/>
              </w:rPr>
              <w:t>For the three months</w:t>
            </w:r>
          </w:p>
        </w:tc>
        <w:tc>
          <w:tcPr>
            <w:tcW w:w="200" w:type="dxa"/>
            <w:vAlign w:val="bottom"/>
          </w:tcPr>
          <w:p>
            <w:pPr>
              <w:spacing w:after="0"/>
              <w:rPr>
                <w:sz w:val="24"/>
                <w:szCs w:val="24"/>
                <w:color w:val="auto"/>
              </w:rPr>
            </w:pPr>
          </w:p>
        </w:tc>
        <w:tc>
          <w:tcPr>
            <w:tcW w:w="2140" w:type="dxa"/>
            <w:vAlign w:val="bottom"/>
            <w:gridSpan w:val="4"/>
          </w:tcPr>
          <w:p>
            <w:pPr>
              <w:jc w:val="center"/>
              <w:ind w:right="280"/>
              <w:spacing w:after="0"/>
              <w:rPr>
                <w:sz w:val="20"/>
                <w:szCs w:val="20"/>
                <w:color w:val="auto"/>
              </w:rPr>
            </w:pPr>
            <w:r>
              <w:rPr>
                <w:rFonts w:ascii="Times New Roman" w:cs="Times New Roman" w:eastAsia="Times New Roman" w:hAnsi="Times New Roman"/>
                <w:sz w:val="20"/>
                <w:szCs w:val="20"/>
                <w:b w:val="1"/>
                <w:bCs w:val="1"/>
                <w:color w:val="auto"/>
              </w:rPr>
              <w:t>For the three months</w:t>
            </w:r>
          </w:p>
        </w:tc>
        <w:tc>
          <w:tcPr>
            <w:tcW w:w="220" w:type="dxa"/>
            <w:vAlign w:val="bottom"/>
          </w:tcPr>
          <w:p>
            <w:pPr>
              <w:spacing w:after="0"/>
              <w:rPr>
                <w:sz w:val="24"/>
                <w:szCs w:val="24"/>
                <w:color w:val="auto"/>
              </w:rPr>
            </w:pPr>
          </w:p>
        </w:tc>
        <w:tc>
          <w:tcPr>
            <w:tcW w:w="2120" w:type="dxa"/>
            <w:vAlign w:val="bottom"/>
            <w:gridSpan w:val="4"/>
          </w:tcPr>
          <w:p>
            <w:pPr>
              <w:jc w:val="center"/>
              <w:ind w:right="280"/>
              <w:spacing w:after="0"/>
              <w:rPr>
                <w:sz w:val="20"/>
                <w:szCs w:val="20"/>
                <w:color w:val="auto"/>
              </w:rPr>
            </w:pPr>
            <w:r>
              <w:rPr>
                <w:rFonts w:ascii="Times New Roman" w:cs="Times New Roman" w:eastAsia="Times New Roman" w:hAnsi="Times New Roman"/>
                <w:sz w:val="20"/>
                <w:szCs w:val="20"/>
                <w:b w:val="1"/>
                <w:bCs w:val="1"/>
                <w:color w:val="auto"/>
              </w:rPr>
              <w:t>For the nine months</w:t>
            </w:r>
          </w:p>
        </w:tc>
        <w:tc>
          <w:tcPr>
            <w:tcW w:w="200" w:type="dxa"/>
            <w:vAlign w:val="bottom"/>
          </w:tcPr>
          <w:p>
            <w:pPr>
              <w:spacing w:after="0"/>
              <w:rPr>
                <w:sz w:val="24"/>
                <w:szCs w:val="24"/>
                <w:color w:val="auto"/>
              </w:rPr>
            </w:pPr>
          </w:p>
        </w:tc>
        <w:tc>
          <w:tcPr>
            <w:tcW w:w="2020" w:type="dxa"/>
            <w:vAlign w:val="bottom"/>
            <w:gridSpan w:val="3"/>
          </w:tcPr>
          <w:p>
            <w:pPr>
              <w:jc w:val="center"/>
              <w:ind w:right="118"/>
              <w:spacing w:after="0"/>
              <w:rPr>
                <w:sz w:val="20"/>
                <w:szCs w:val="20"/>
                <w:color w:val="auto"/>
              </w:rPr>
            </w:pPr>
            <w:r>
              <w:rPr>
                <w:rFonts w:ascii="Times New Roman" w:cs="Times New Roman" w:eastAsia="Times New Roman" w:hAnsi="Times New Roman"/>
                <w:sz w:val="20"/>
                <w:szCs w:val="20"/>
                <w:b w:val="1"/>
                <w:bCs w:val="1"/>
                <w:color w:val="auto"/>
              </w:rPr>
              <w:t>For the nine months</w:t>
            </w:r>
          </w:p>
        </w:tc>
        <w:tc>
          <w:tcPr>
            <w:tcW w:w="0" w:type="dxa"/>
            <w:vAlign w:val="bottom"/>
          </w:tcPr>
          <w:p>
            <w:pPr>
              <w:spacing w:after="0"/>
              <w:rPr>
                <w:sz w:val="1"/>
                <w:szCs w:val="1"/>
                <w:color w:val="auto"/>
              </w:rPr>
            </w:pPr>
          </w:p>
        </w:tc>
      </w:tr>
      <w:tr>
        <w:trPr>
          <w:trHeight w:val="269"/>
        </w:trPr>
        <w:tc>
          <w:tcPr>
            <w:tcW w:w="18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gridSpan w:val="2"/>
          </w:tcPr>
          <w:p>
            <w:pPr>
              <w:jc w:val="center"/>
              <w:ind w:left="518"/>
              <w:spacing w:after="0"/>
              <w:rPr>
                <w:sz w:val="20"/>
                <w:szCs w:val="20"/>
                <w:color w:val="auto"/>
              </w:rPr>
            </w:pPr>
            <w:r>
              <w:rPr>
                <w:rFonts w:ascii="Times New Roman" w:cs="Times New Roman" w:eastAsia="Times New Roman" w:hAnsi="Times New Roman"/>
                <w:sz w:val="20"/>
                <w:szCs w:val="20"/>
                <w:b w:val="1"/>
                <w:bCs w:val="1"/>
                <w:color w:val="auto"/>
              </w:rPr>
              <w:t>ended</w:t>
            </w: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gridSpan w:val="2"/>
          </w:tcPr>
          <w:p>
            <w:pPr>
              <w:jc w:val="center"/>
              <w:ind w:left="498"/>
              <w:spacing w:after="0"/>
              <w:rPr>
                <w:sz w:val="20"/>
                <w:szCs w:val="20"/>
                <w:color w:val="auto"/>
              </w:rPr>
            </w:pPr>
            <w:r>
              <w:rPr>
                <w:rFonts w:ascii="Times New Roman" w:cs="Times New Roman" w:eastAsia="Times New Roman" w:hAnsi="Times New Roman"/>
                <w:sz w:val="20"/>
                <w:szCs w:val="20"/>
                <w:b w:val="1"/>
                <w:bCs w:val="1"/>
                <w:color w:val="auto"/>
              </w:rPr>
              <w:t>ended</w:t>
            </w: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gridSpan w:val="2"/>
          </w:tcPr>
          <w:p>
            <w:pPr>
              <w:jc w:val="center"/>
              <w:ind w:left="518"/>
              <w:spacing w:after="0"/>
              <w:rPr>
                <w:sz w:val="20"/>
                <w:szCs w:val="20"/>
                <w:color w:val="auto"/>
              </w:rPr>
            </w:pPr>
            <w:r>
              <w:rPr>
                <w:rFonts w:ascii="Times New Roman" w:cs="Times New Roman" w:eastAsia="Times New Roman" w:hAnsi="Times New Roman"/>
                <w:sz w:val="20"/>
                <w:szCs w:val="20"/>
                <w:b w:val="1"/>
                <w:bCs w:val="1"/>
                <w:color w:val="auto"/>
              </w:rPr>
              <w:t>ended</w:t>
            </w: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gridSpan w:val="2"/>
          </w:tcPr>
          <w:p>
            <w:pPr>
              <w:jc w:val="center"/>
              <w:ind w:left="498"/>
              <w:spacing w:after="0"/>
              <w:rPr>
                <w:sz w:val="20"/>
                <w:szCs w:val="20"/>
                <w:color w:val="auto"/>
              </w:rPr>
            </w:pPr>
            <w:r>
              <w:rPr>
                <w:rFonts w:ascii="Times New Roman" w:cs="Times New Roman" w:eastAsia="Times New Roman" w:hAnsi="Times New Roman"/>
                <w:sz w:val="20"/>
                <w:szCs w:val="20"/>
                <w:b w:val="1"/>
                <w:bCs w:val="1"/>
                <w:color w:val="auto"/>
              </w:rPr>
              <w:t>ended</w:t>
            </w: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110" w:right="33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80" w:type="dxa"/>
            <w:vAlign w:val="bottom"/>
          </w:tcPr>
          <w:p>
            <w:pPr>
              <w:spacing w:after="0"/>
              <w:rPr>
                <w:sz w:val="19"/>
                <w:szCs w:val="19"/>
                <w:color w:val="auto"/>
              </w:rPr>
            </w:pPr>
          </w:p>
        </w:tc>
        <w:tc>
          <w:tcPr>
            <w:tcW w:w="1460" w:type="dxa"/>
            <w:vAlign w:val="bottom"/>
            <w:gridSpan w:val="3"/>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February 28,</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3"/>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February 29,</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3"/>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February 28,</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gridSpan w:val="3"/>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February 29,</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1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jc w:val="center"/>
              <w:ind w:right="98"/>
              <w:spacing w:after="0"/>
              <w:rPr>
                <w:sz w:val="20"/>
                <w:szCs w:val="20"/>
                <w:color w:val="auto"/>
              </w:rPr>
            </w:pPr>
            <w:r>
              <w:rPr>
                <w:rFonts w:ascii="Times New Roman" w:cs="Times New Roman" w:eastAsia="Times New Roman" w:hAnsi="Times New Roman"/>
                <w:sz w:val="20"/>
                <w:szCs w:val="20"/>
                <w:b w:val="1"/>
                <w:bCs w:val="1"/>
                <w:color w:val="auto"/>
              </w:rPr>
              <w:t>2025</w:t>
            </w: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center"/>
              <w:ind w:right="98"/>
              <w:spacing w:after="0"/>
              <w:rPr>
                <w:sz w:val="20"/>
                <w:szCs w:val="20"/>
                <w:color w:val="auto"/>
              </w:rPr>
            </w:pPr>
            <w:r>
              <w:rPr>
                <w:rFonts w:ascii="Times New Roman" w:cs="Times New Roman" w:eastAsia="Times New Roman" w:hAnsi="Times New Roman"/>
                <w:sz w:val="20"/>
                <w:szCs w:val="20"/>
                <w:b w:val="1"/>
                <w:bCs w:val="1"/>
                <w:color w:val="auto"/>
                <w:w w:val="99"/>
              </w:rPr>
              <w:t>2024</w:t>
            </w: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center"/>
              <w:ind w:right="138"/>
              <w:spacing w:after="0"/>
              <w:rPr>
                <w:sz w:val="20"/>
                <w:szCs w:val="20"/>
                <w:color w:val="auto"/>
              </w:rPr>
            </w:pPr>
            <w:r>
              <w:rPr>
                <w:rFonts w:ascii="Times New Roman" w:cs="Times New Roman" w:eastAsia="Times New Roman" w:hAnsi="Times New Roman"/>
                <w:sz w:val="20"/>
                <w:szCs w:val="20"/>
                <w:b w:val="1"/>
                <w:bCs w:val="1"/>
                <w:color w:val="auto"/>
                <w:w w:val="99"/>
              </w:rPr>
              <w:t>2025</w:t>
            </w: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center"/>
              <w:ind w:right="138"/>
              <w:spacing w:after="0"/>
              <w:rPr>
                <w:sz w:val="20"/>
                <w:szCs w:val="20"/>
                <w:color w:val="auto"/>
              </w:rPr>
            </w:pPr>
            <w:r>
              <w:rPr>
                <w:rFonts w:ascii="Times New Roman" w:cs="Times New Roman" w:eastAsia="Times New Roman" w:hAnsi="Times New Roman"/>
                <w:sz w:val="20"/>
                <w:szCs w:val="20"/>
                <w:b w:val="1"/>
                <w:bCs w:val="1"/>
                <w:color w:val="auto"/>
                <w:w w:val="99"/>
              </w:rPr>
              <w:t>2024</w:t>
            </w: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8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(In thousands of</w:t>
            </w:r>
          </w:p>
        </w:tc>
        <w:tc>
          <w:tcPr>
            <w:tcW w:w="1460" w:type="dxa"/>
            <w:vAlign w:val="bottom"/>
            <w:gridSpan w:val="3"/>
          </w:tcPr>
          <w:p>
            <w:pPr>
              <w:jc w:val="center"/>
              <w:ind w:right="100"/>
              <w:spacing w:after="0" w:line="229" w:lineRule="exact"/>
              <w:rPr>
                <w:sz w:val="20"/>
                <w:szCs w:val="20"/>
                <w:color w:val="auto"/>
              </w:rPr>
            </w:pPr>
            <w:r>
              <w:rPr>
                <w:rFonts w:ascii="Times New Roman" w:cs="Times New Roman" w:eastAsia="Times New Roman" w:hAnsi="Times New Roman"/>
                <w:sz w:val="20"/>
                <w:szCs w:val="20"/>
                <w:b w:val="1"/>
                <w:bCs w:val="1"/>
                <w:color w:val="auto"/>
              </w:rPr>
              <w:t>as reported in</w:t>
            </w:r>
          </w:p>
        </w:tc>
        <w:tc>
          <w:tcPr>
            <w:tcW w:w="920" w:type="dxa"/>
            <w:vAlign w:val="bottom"/>
            <w:gridSpan w:val="2"/>
          </w:tcPr>
          <w:p>
            <w:pPr>
              <w:jc w:val="center"/>
              <w:ind w:right="100"/>
              <w:spacing w:after="0" w:line="229" w:lineRule="exact"/>
              <w:rPr>
                <w:sz w:val="20"/>
                <w:szCs w:val="20"/>
                <w:color w:val="auto"/>
              </w:rPr>
            </w:pPr>
            <w:r>
              <w:rPr>
                <w:rFonts w:ascii="Times New Roman" w:cs="Times New Roman" w:eastAsia="Times New Roman" w:hAnsi="Times New Roman"/>
                <w:sz w:val="20"/>
                <w:szCs w:val="20"/>
                <w:b w:val="1"/>
                <w:bCs w:val="1"/>
                <w:color w:val="auto"/>
              </w:rPr>
              <w:t>% of</w:t>
            </w:r>
          </w:p>
        </w:tc>
        <w:tc>
          <w:tcPr>
            <w:tcW w:w="1440" w:type="dxa"/>
            <w:vAlign w:val="bottom"/>
            <w:gridSpan w:val="3"/>
          </w:tcPr>
          <w:p>
            <w:pPr>
              <w:jc w:val="center"/>
              <w:ind w:right="80"/>
              <w:spacing w:after="0" w:line="229" w:lineRule="exact"/>
              <w:rPr>
                <w:sz w:val="20"/>
                <w:szCs w:val="20"/>
                <w:color w:val="auto"/>
              </w:rPr>
            </w:pPr>
            <w:r>
              <w:rPr>
                <w:rFonts w:ascii="Times New Roman" w:cs="Times New Roman" w:eastAsia="Times New Roman" w:hAnsi="Times New Roman"/>
                <w:sz w:val="20"/>
                <w:szCs w:val="20"/>
                <w:b w:val="1"/>
                <w:bCs w:val="1"/>
                <w:color w:val="auto"/>
              </w:rPr>
              <w:t>as reported in</w:t>
            </w:r>
          </w:p>
        </w:tc>
        <w:tc>
          <w:tcPr>
            <w:tcW w:w="900" w:type="dxa"/>
            <w:vAlign w:val="bottom"/>
            <w:gridSpan w:val="2"/>
          </w:tcPr>
          <w:p>
            <w:pPr>
              <w:jc w:val="center"/>
              <w:ind w:right="80"/>
              <w:spacing w:after="0" w:line="229" w:lineRule="exact"/>
              <w:rPr>
                <w:sz w:val="20"/>
                <w:szCs w:val="20"/>
                <w:color w:val="auto"/>
              </w:rPr>
            </w:pPr>
            <w:r>
              <w:rPr>
                <w:rFonts w:ascii="Times New Roman" w:cs="Times New Roman" w:eastAsia="Times New Roman" w:hAnsi="Times New Roman"/>
                <w:sz w:val="20"/>
                <w:szCs w:val="20"/>
                <w:b w:val="1"/>
                <w:bCs w:val="1"/>
                <w:color w:val="auto"/>
              </w:rPr>
              <w:t>% of</w:t>
            </w:r>
          </w:p>
        </w:tc>
        <w:tc>
          <w:tcPr>
            <w:tcW w:w="1440" w:type="dxa"/>
            <w:vAlign w:val="bottom"/>
            <w:gridSpan w:val="3"/>
          </w:tcPr>
          <w:p>
            <w:pPr>
              <w:jc w:val="center"/>
              <w:ind w:right="80"/>
              <w:spacing w:after="0" w:line="229" w:lineRule="exact"/>
              <w:rPr>
                <w:sz w:val="20"/>
                <w:szCs w:val="20"/>
                <w:color w:val="auto"/>
              </w:rPr>
            </w:pPr>
            <w:r>
              <w:rPr>
                <w:rFonts w:ascii="Times New Roman" w:cs="Times New Roman" w:eastAsia="Times New Roman" w:hAnsi="Times New Roman"/>
                <w:sz w:val="20"/>
                <w:szCs w:val="20"/>
                <w:b w:val="1"/>
                <w:bCs w:val="1"/>
                <w:color w:val="auto"/>
              </w:rPr>
              <w:t>as reported in</w:t>
            </w:r>
          </w:p>
        </w:tc>
        <w:tc>
          <w:tcPr>
            <w:tcW w:w="900" w:type="dxa"/>
            <w:vAlign w:val="bottom"/>
            <w:gridSpan w:val="2"/>
          </w:tcPr>
          <w:p>
            <w:pPr>
              <w:jc w:val="center"/>
              <w:ind w:right="80"/>
              <w:spacing w:after="0" w:line="229" w:lineRule="exact"/>
              <w:rPr>
                <w:sz w:val="20"/>
                <w:szCs w:val="20"/>
                <w:color w:val="auto"/>
              </w:rPr>
            </w:pPr>
            <w:r>
              <w:rPr>
                <w:rFonts w:ascii="Times New Roman" w:cs="Times New Roman" w:eastAsia="Times New Roman" w:hAnsi="Times New Roman"/>
                <w:sz w:val="20"/>
                <w:szCs w:val="20"/>
                <w:b w:val="1"/>
                <w:bCs w:val="1"/>
                <w:color w:val="auto"/>
              </w:rPr>
              <w:t>% of</w:t>
            </w:r>
          </w:p>
        </w:tc>
        <w:tc>
          <w:tcPr>
            <w:tcW w:w="1400" w:type="dxa"/>
            <w:vAlign w:val="bottom"/>
            <w:gridSpan w:val="3"/>
          </w:tcPr>
          <w:p>
            <w:pPr>
              <w:jc w:val="center"/>
              <w:ind w:right="80"/>
              <w:spacing w:after="0" w:line="229" w:lineRule="exact"/>
              <w:rPr>
                <w:sz w:val="20"/>
                <w:szCs w:val="20"/>
                <w:color w:val="auto"/>
              </w:rPr>
            </w:pPr>
            <w:r>
              <w:rPr>
                <w:rFonts w:ascii="Times New Roman" w:cs="Times New Roman" w:eastAsia="Times New Roman" w:hAnsi="Times New Roman"/>
                <w:sz w:val="20"/>
                <w:szCs w:val="20"/>
                <w:b w:val="1"/>
                <w:bCs w:val="1"/>
                <w:color w:val="auto"/>
              </w:rPr>
              <w:t>as reported in</w:t>
            </w:r>
          </w:p>
        </w:tc>
        <w:tc>
          <w:tcPr>
            <w:tcW w:w="820" w:type="dxa"/>
            <w:vAlign w:val="bottom"/>
          </w:tcPr>
          <w:p>
            <w:pPr>
              <w:jc w:val="center"/>
              <w:spacing w:after="0" w:line="229" w:lineRule="exact"/>
              <w:rPr>
                <w:sz w:val="20"/>
                <w:szCs w:val="20"/>
                <w:color w:val="auto"/>
              </w:rPr>
            </w:pPr>
            <w:r>
              <w:rPr>
                <w:rFonts w:ascii="Times New Roman" w:cs="Times New Roman" w:eastAsia="Times New Roman" w:hAnsi="Times New Roman"/>
                <w:sz w:val="20"/>
                <w:szCs w:val="20"/>
                <w:b w:val="1"/>
                <w:bCs w:val="1"/>
                <w:color w:val="auto"/>
              </w:rPr>
              <w:t>% of</w:t>
            </w:r>
          </w:p>
        </w:tc>
        <w:tc>
          <w:tcPr>
            <w:tcW w:w="0" w:type="dxa"/>
            <w:vAlign w:val="bottom"/>
          </w:tcPr>
          <w:p>
            <w:pPr>
              <w:spacing w:after="0"/>
              <w:rPr>
                <w:sz w:val="1"/>
                <w:szCs w:val="1"/>
                <w:color w:val="auto"/>
              </w:rPr>
            </w:pPr>
          </w:p>
        </w:tc>
      </w:tr>
      <w:tr>
        <w:trPr>
          <w:trHeight w:val="114"/>
        </w:trPr>
        <w:tc>
          <w:tcPr>
            <w:tcW w:w="18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gridSpan w:val="2"/>
            <w:vMerge w:val="restart"/>
          </w:tcPr>
          <w:p>
            <w:pPr>
              <w:jc w:val="center"/>
              <w:ind w:right="280"/>
              <w:spacing w:after="0" w:line="229" w:lineRule="exact"/>
              <w:rPr>
                <w:sz w:val="20"/>
                <w:szCs w:val="20"/>
                <w:color w:val="auto"/>
              </w:rPr>
            </w:pPr>
            <w:r>
              <w:rPr>
                <w:rFonts w:ascii="Times New Roman" w:cs="Times New Roman" w:eastAsia="Times New Roman" w:hAnsi="Times New Roman"/>
                <w:sz w:val="20"/>
                <w:szCs w:val="20"/>
                <w:b w:val="1"/>
                <w:bCs w:val="1"/>
                <w:color w:val="auto"/>
              </w:rPr>
              <w:t>constant</w:t>
            </w:r>
          </w:p>
        </w:tc>
        <w:tc>
          <w:tcPr>
            <w:tcW w:w="920" w:type="dxa"/>
            <w:vAlign w:val="bottom"/>
            <w:gridSpan w:val="2"/>
            <w:vMerge w:val="restart"/>
          </w:tcPr>
          <w:p>
            <w:pPr>
              <w:jc w:val="center"/>
              <w:ind w:right="80"/>
              <w:spacing w:after="0" w:line="229" w:lineRule="exact"/>
              <w:rPr>
                <w:sz w:val="20"/>
                <w:szCs w:val="20"/>
                <w:color w:val="auto"/>
              </w:rPr>
            </w:pPr>
            <w:r>
              <w:rPr>
                <w:rFonts w:ascii="Times New Roman" w:cs="Times New Roman" w:eastAsia="Times New Roman" w:hAnsi="Times New Roman"/>
                <w:sz w:val="20"/>
                <w:szCs w:val="20"/>
                <w:b w:val="1"/>
                <w:bCs w:val="1"/>
                <w:color w:val="auto"/>
                <w:w w:val="96"/>
              </w:rPr>
              <w:t>Total</w:t>
            </w:r>
          </w:p>
        </w:tc>
        <w:tc>
          <w:tcPr>
            <w:tcW w:w="200" w:type="dxa"/>
            <w:vAlign w:val="bottom"/>
          </w:tcPr>
          <w:p>
            <w:pPr>
              <w:spacing w:after="0"/>
              <w:rPr>
                <w:sz w:val="9"/>
                <w:szCs w:val="9"/>
                <w:color w:val="auto"/>
              </w:rPr>
            </w:pPr>
          </w:p>
        </w:tc>
        <w:tc>
          <w:tcPr>
            <w:tcW w:w="1240" w:type="dxa"/>
            <w:vAlign w:val="bottom"/>
            <w:gridSpan w:val="2"/>
            <w:vMerge w:val="restart"/>
          </w:tcPr>
          <w:p>
            <w:pPr>
              <w:jc w:val="center"/>
              <w:ind w:right="300"/>
              <w:spacing w:after="0" w:line="229" w:lineRule="exact"/>
              <w:rPr>
                <w:sz w:val="20"/>
                <w:szCs w:val="20"/>
                <w:color w:val="auto"/>
              </w:rPr>
            </w:pPr>
            <w:r>
              <w:rPr>
                <w:rFonts w:ascii="Times New Roman" w:cs="Times New Roman" w:eastAsia="Times New Roman" w:hAnsi="Times New Roman"/>
                <w:sz w:val="20"/>
                <w:szCs w:val="20"/>
                <w:b w:val="1"/>
                <w:bCs w:val="1"/>
                <w:color w:val="auto"/>
              </w:rPr>
              <w:t>constant</w:t>
            </w:r>
          </w:p>
        </w:tc>
        <w:tc>
          <w:tcPr>
            <w:tcW w:w="900" w:type="dxa"/>
            <w:vAlign w:val="bottom"/>
            <w:gridSpan w:val="2"/>
            <w:vMerge w:val="restart"/>
          </w:tcPr>
          <w:p>
            <w:pPr>
              <w:jc w:val="center"/>
              <w:ind w:right="60"/>
              <w:spacing w:after="0" w:line="229" w:lineRule="exact"/>
              <w:rPr>
                <w:sz w:val="20"/>
                <w:szCs w:val="20"/>
                <w:color w:val="auto"/>
              </w:rPr>
            </w:pPr>
            <w:r>
              <w:rPr>
                <w:rFonts w:ascii="Times New Roman" w:cs="Times New Roman" w:eastAsia="Times New Roman" w:hAnsi="Times New Roman"/>
                <w:sz w:val="20"/>
                <w:szCs w:val="20"/>
                <w:b w:val="1"/>
                <w:bCs w:val="1"/>
                <w:color w:val="auto"/>
                <w:w w:val="96"/>
              </w:rPr>
              <w:t>Total</w:t>
            </w:r>
          </w:p>
        </w:tc>
        <w:tc>
          <w:tcPr>
            <w:tcW w:w="240" w:type="dxa"/>
            <w:vAlign w:val="bottom"/>
          </w:tcPr>
          <w:p>
            <w:pPr>
              <w:spacing w:after="0"/>
              <w:rPr>
                <w:sz w:val="9"/>
                <w:szCs w:val="9"/>
                <w:color w:val="auto"/>
              </w:rPr>
            </w:pPr>
          </w:p>
        </w:tc>
        <w:tc>
          <w:tcPr>
            <w:tcW w:w="1200" w:type="dxa"/>
            <w:vAlign w:val="bottom"/>
            <w:gridSpan w:val="2"/>
            <w:vMerge w:val="restart"/>
          </w:tcPr>
          <w:p>
            <w:pPr>
              <w:jc w:val="center"/>
              <w:ind w:right="320"/>
              <w:spacing w:after="0" w:line="229" w:lineRule="exact"/>
              <w:rPr>
                <w:sz w:val="20"/>
                <w:szCs w:val="20"/>
                <w:color w:val="auto"/>
              </w:rPr>
            </w:pPr>
            <w:r>
              <w:rPr>
                <w:rFonts w:ascii="Times New Roman" w:cs="Times New Roman" w:eastAsia="Times New Roman" w:hAnsi="Times New Roman"/>
                <w:sz w:val="20"/>
                <w:szCs w:val="20"/>
                <w:b w:val="1"/>
                <w:bCs w:val="1"/>
                <w:color w:val="auto"/>
                <w:w w:val="99"/>
              </w:rPr>
              <w:t>constant</w:t>
            </w:r>
          </w:p>
        </w:tc>
        <w:tc>
          <w:tcPr>
            <w:tcW w:w="900" w:type="dxa"/>
            <w:vAlign w:val="bottom"/>
            <w:gridSpan w:val="2"/>
            <w:vMerge w:val="restart"/>
          </w:tcPr>
          <w:p>
            <w:pPr>
              <w:jc w:val="center"/>
              <w:ind w:right="80"/>
              <w:spacing w:after="0" w:line="229" w:lineRule="exact"/>
              <w:rPr>
                <w:sz w:val="20"/>
                <w:szCs w:val="20"/>
                <w:color w:val="auto"/>
              </w:rPr>
            </w:pPr>
            <w:r>
              <w:rPr>
                <w:rFonts w:ascii="Times New Roman" w:cs="Times New Roman" w:eastAsia="Times New Roman" w:hAnsi="Times New Roman"/>
                <w:sz w:val="20"/>
                <w:szCs w:val="20"/>
                <w:b w:val="1"/>
                <w:bCs w:val="1"/>
                <w:color w:val="auto"/>
              </w:rPr>
              <w:t>Total</w:t>
            </w:r>
          </w:p>
        </w:tc>
        <w:tc>
          <w:tcPr>
            <w:tcW w:w="220" w:type="dxa"/>
            <w:vAlign w:val="bottom"/>
          </w:tcPr>
          <w:p>
            <w:pPr>
              <w:spacing w:after="0"/>
              <w:rPr>
                <w:sz w:val="9"/>
                <w:szCs w:val="9"/>
                <w:color w:val="auto"/>
              </w:rPr>
            </w:pPr>
          </w:p>
        </w:tc>
        <w:tc>
          <w:tcPr>
            <w:tcW w:w="1180" w:type="dxa"/>
            <w:vAlign w:val="bottom"/>
            <w:gridSpan w:val="2"/>
            <w:vMerge w:val="restart"/>
          </w:tcPr>
          <w:p>
            <w:pPr>
              <w:jc w:val="center"/>
              <w:ind w:right="280"/>
              <w:spacing w:after="0" w:line="229" w:lineRule="exact"/>
              <w:rPr>
                <w:sz w:val="20"/>
                <w:szCs w:val="20"/>
                <w:color w:val="auto"/>
              </w:rPr>
            </w:pPr>
            <w:r>
              <w:rPr>
                <w:rFonts w:ascii="Times New Roman" w:cs="Times New Roman" w:eastAsia="Times New Roman" w:hAnsi="Times New Roman"/>
                <w:sz w:val="20"/>
                <w:szCs w:val="20"/>
                <w:b w:val="1"/>
                <w:bCs w:val="1"/>
                <w:color w:val="auto"/>
              </w:rPr>
              <w:t>constant</w:t>
            </w:r>
          </w:p>
        </w:tc>
        <w:tc>
          <w:tcPr>
            <w:tcW w:w="820" w:type="dxa"/>
            <w:vAlign w:val="bottom"/>
            <w:vMerge w:val="restart"/>
          </w:tcPr>
          <w:p>
            <w:pPr>
              <w:jc w:val="center"/>
              <w:spacing w:after="0" w:line="229" w:lineRule="exact"/>
              <w:rPr>
                <w:sz w:val="20"/>
                <w:szCs w:val="20"/>
                <w:color w:val="auto"/>
              </w:rPr>
            </w:pPr>
            <w:r>
              <w:rPr>
                <w:rFonts w:ascii="Times New Roman" w:cs="Times New Roman" w:eastAsia="Times New Roman" w:hAnsi="Times New Roman"/>
                <w:sz w:val="20"/>
                <w:szCs w:val="20"/>
                <w:b w:val="1"/>
                <w:bCs w:val="1"/>
                <w:color w:val="auto"/>
              </w:rPr>
              <w:t>Total</w:t>
            </w:r>
          </w:p>
        </w:tc>
        <w:tc>
          <w:tcPr>
            <w:tcW w:w="0" w:type="dxa"/>
            <w:vAlign w:val="bottom"/>
          </w:tcPr>
          <w:p>
            <w:pPr>
              <w:spacing w:after="0"/>
              <w:rPr>
                <w:sz w:val="1"/>
                <w:szCs w:val="1"/>
                <w:color w:val="auto"/>
              </w:rPr>
            </w:pPr>
          </w:p>
        </w:tc>
      </w:tr>
      <w:tr>
        <w:trPr>
          <w:trHeight w:val="114"/>
        </w:trPr>
        <w:tc>
          <w:tcPr>
            <w:tcW w:w="18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U.S. dollars)</w:t>
            </w:r>
          </w:p>
        </w:tc>
        <w:tc>
          <w:tcPr>
            <w:tcW w:w="2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8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20"/>
                <w:szCs w:val="20"/>
                <w:b w:val="1"/>
                <w:bCs w:val="1"/>
                <w:color w:val="auto"/>
              </w:rPr>
              <w:t>currency</w:t>
            </w:r>
          </w:p>
        </w:tc>
        <w:tc>
          <w:tcPr>
            <w:tcW w:w="9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Revenue</w:t>
            </w:r>
          </w:p>
        </w:tc>
        <w:tc>
          <w:tcPr>
            <w:tcW w:w="200" w:type="dxa"/>
            <w:vAlign w:val="bottom"/>
          </w:tcPr>
          <w:p>
            <w:pPr>
              <w:spacing w:after="0"/>
              <w:rPr>
                <w:sz w:val="13"/>
                <w:szCs w:val="13"/>
                <w:color w:val="auto"/>
              </w:rPr>
            </w:pPr>
          </w:p>
        </w:tc>
        <w:tc>
          <w:tcPr>
            <w:tcW w:w="12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20"/>
                <w:szCs w:val="20"/>
                <w:b w:val="1"/>
                <w:bCs w:val="1"/>
                <w:color w:val="auto"/>
              </w:rPr>
              <w:t>currency</w:t>
            </w:r>
          </w:p>
        </w:tc>
        <w:tc>
          <w:tcPr>
            <w:tcW w:w="9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Revenue</w:t>
            </w:r>
          </w:p>
        </w:tc>
        <w:tc>
          <w:tcPr>
            <w:tcW w:w="240" w:type="dxa"/>
            <w:vAlign w:val="bottom"/>
          </w:tcPr>
          <w:p>
            <w:pPr>
              <w:spacing w:after="0"/>
              <w:rPr>
                <w:sz w:val="13"/>
                <w:szCs w:val="13"/>
                <w:color w:val="auto"/>
              </w:rPr>
            </w:pPr>
          </w:p>
        </w:tc>
        <w:tc>
          <w:tcPr>
            <w:tcW w:w="12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20"/>
                <w:szCs w:val="20"/>
                <w:b w:val="1"/>
                <w:bCs w:val="1"/>
                <w:color w:val="auto"/>
                <w:w w:val="99"/>
              </w:rPr>
              <w:t>currency</w:t>
            </w:r>
          </w:p>
        </w:tc>
        <w:tc>
          <w:tcPr>
            <w:tcW w:w="9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Revenue</w:t>
            </w:r>
          </w:p>
        </w:tc>
        <w:tc>
          <w:tcPr>
            <w:tcW w:w="220" w:type="dxa"/>
            <w:vAlign w:val="bottom"/>
          </w:tcPr>
          <w:p>
            <w:pPr>
              <w:spacing w:after="0"/>
              <w:rPr>
                <w:sz w:val="13"/>
                <w:szCs w:val="13"/>
                <w:color w:val="auto"/>
              </w:rPr>
            </w:pPr>
          </w:p>
        </w:tc>
        <w:tc>
          <w:tcPr>
            <w:tcW w:w="11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20"/>
                <w:szCs w:val="20"/>
                <w:b w:val="1"/>
                <w:bCs w:val="1"/>
                <w:color w:val="auto"/>
              </w:rPr>
              <w:t>currency</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rPr>
              <w:t>Revenue</w:t>
            </w:r>
          </w:p>
        </w:tc>
        <w:tc>
          <w:tcPr>
            <w:tcW w:w="0" w:type="dxa"/>
            <w:vAlign w:val="bottom"/>
          </w:tcPr>
          <w:p>
            <w:pPr>
              <w:spacing w:after="0"/>
              <w:rPr>
                <w:sz w:val="1"/>
                <w:szCs w:val="1"/>
                <w:color w:val="auto"/>
              </w:rPr>
            </w:pPr>
          </w:p>
        </w:tc>
      </w:tr>
      <w:tr>
        <w:trPr>
          <w:trHeight w:val="115"/>
        </w:trPr>
        <w:tc>
          <w:tcPr>
            <w:tcW w:w="18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Beverage business</w:t>
            </w:r>
          </w:p>
        </w:tc>
        <w:tc>
          <w:tcPr>
            <w:tcW w:w="20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5"/>
        </w:trPr>
        <w:tc>
          <w:tcPr>
            <w:tcW w:w="1880" w:type="dxa"/>
            <w:vAlign w:val="bottom"/>
            <w:vMerge w:val="continue"/>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20"/>
                <w:szCs w:val="20"/>
                <w:color w:val="auto"/>
              </w:rPr>
              <w:t>55,921</w:t>
            </w:r>
          </w:p>
        </w:tc>
        <w:tc>
          <w:tcPr>
            <w:tcW w:w="80" w:type="dxa"/>
            <w:vAlign w:val="bottom"/>
          </w:tcPr>
          <w:p>
            <w:pPr>
              <w:spacing w:after="0"/>
              <w:rPr>
                <w:sz w:val="20"/>
                <w:szCs w:val="20"/>
                <w:color w:val="auto"/>
              </w:rPr>
            </w:pPr>
          </w:p>
        </w:tc>
        <w:tc>
          <w:tcPr>
            <w:tcW w:w="840" w:type="dxa"/>
            <w:vAlign w:val="bottom"/>
            <w:tcBorders>
              <w:top w:val="single" w:sz="8" w:color="auto"/>
            </w:tcBorders>
          </w:tcPr>
          <w:p>
            <w:pPr>
              <w:jc w:val="right"/>
              <w:ind w:right="98"/>
              <w:spacing w:after="0"/>
              <w:rPr>
                <w:sz w:val="20"/>
                <w:szCs w:val="20"/>
                <w:color w:val="auto"/>
              </w:rPr>
            </w:pPr>
            <w:r>
              <w:rPr>
                <w:rFonts w:ascii="Times New Roman" w:cs="Times New Roman" w:eastAsia="Times New Roman" w:hAnsi="Times New Roman"/>
                <w:sz w:val="20"/>
                <w:szCs w:val="20"/>
                <w:color w:val="auto"/>
              </w:rPr>
              <w:t>29%</w:t>
            </w:r>
          </w:p>
        </w:tc>
        <w:tc>
          <w:tcPr>
            <w:tcW w:w="8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20"/>
                <w:szCs w:val="20"/>
                <w:color w:val="auto"/>
              </w:rPr>
              <w:t>54,688</w:t>
            </w:r>
          </w:p>
        </w:tc>
        <w:tc>
          <w:tcPr>
            <w:tcW w:w="80" w:type="dxa"/>
            <w:vAlign w:val="bottom"/>
          </w:tcPr>
          <w:p>
            <w:pPr>
              <w:spacing w:after="0"/>
              <w:rPr>
                <w:sz w:val="20"/>
                <w:szCs w:val="20"/>
                <w:color w:val="auto"/>
              </w:rPr>
            </w:pPr>
          </w:p>
        </w:tc>
        <w:tc>
          <w:tcPr>
            <w:tcW w:w="820" w:type="dxa"/>
            <w:vAlign w:val="bottom"/>
            <w:tcBorders>
              <w:top w:val="single" w:sz="8" w:color="auto"/>
            </w:tcBorders>
          </w:tcPr>
          <w:p>
            <w:pPr>
              <w:jc w:val="right"/>
              <w:ind w:right="98"/>
              <w:spacing w:after="0"/>
              <w:rPr>
                <w:sz w:val="20"/>
                <w:szCs w:val="20"/>
                <w:color w:val="auto"/>
              </w:rPr>
            </w:pPr>
            <w:r>
              <w:rPr>
                <w:rFonts w:ascii="Times New Roman" w:cs="Times New Roman" w:eastAsia="Times New Roman" w:hAnsi="Times New Roman"/>
                <w:sz w:val="20"/>
                <w:szCs w:val="20"/>
                <w:color w:val="auto"/>
              </w:rPr>
              <w:t>29%</w:t>
            </w:r>
          </w:p>
        </w:tc>
        <w:tc>
          <w:tcPr>
            <w:tcW w:w="80" w:type="dxa"/>
            <w:vAlign w:val="bottom"/>
          </w:tcPr>
          <w:p>
            <w:pPr>
              <w:spacing w:after="0"/>
              <w:rPr>
                <w:sz w:val="20"/>
                <w:szCs w:val="20"/>
                <w:color w:val="auto"/>
              </w:rPr>
            </w:pP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20"/>
                <w:szCs w:val="20"/>
                <w:color w:val="auto"/>
              </w:rPr>
              <w:t>174,974</w:t>
            </w:r>
          </w:p>
        </w:tc>
        <w:tc>
          <w:tcPr>
            <w:tcW w:w="80" w:type="dxa"/>
            <w:vAlign w:val="bottom"/>
          </w:tcPr>
          <w:p>
            <w:pPr>
              <w:spacing w:after="0"/>
              <w:rPr>
                <w:sz w:val="20"/>
                <w:szCs w:val="20"/>
                <w:color w:val="auto"/>
              </w:rPr>
            </w:pPr>
          </w:p>
        </w:tc>
        <w:tc>
          <w:tcPr>
            <w:tcW w:w="820" w:type="dxa"/>
            <w:vAlign w:val="bottom"/>
            <w:tcBorders>
              <w:top w:val="single" w:sz="8" w:color="auto"/>
            </w:tcBorders>
          </w:tcPr>
          <w:p>
            <w:pPr>
              <w:jc w:val="right"/>
              <w:ind w:right="98"/>
              <w:spacing w:after="0"/>
              <w:rPr>
                <w:sz w:val="20"/>
                <w:szCs w:val="20"/>
                <w:color w:val="auto"/>
              </w:rPr>
            </w:pPr>
            <w:r>
              <w:rPr>
                <w:rFonts w:ascii="Times New Roman" w:cs="Times New Roman" w:eastAsia="Times New Roman" w:hAnsi="Times New Roman"/>
                <w:sz w:val="20"/>
                <w:szCs w:val="20"/>
                <w:color w:val="auto"/>
              </w:rPr>
              <w:t>29%</w:t>
            </w:r>
          </w:p>
        </w:tc>
        <w:tc>
          <w:tcPr>
            <w:tcW w:w="80" w:type="dxa"/>
            <w:vAlign w:val="bottom"/>
          </w:tcPr>
          <w:p>
            <w:pPr>
              <w:spacing w:after="0"/>
              <w:rPr>
                <w:sz w:val="20"/>
                <w:szCs w:val="20"/>
                <w:color w:val="auto"/>
              </w:rPr>
            </w:pP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20"/>
                <w:szCs w:val="20"/>
                <w:color w:val="auto"/>
              </w:rPr>
              <w:t>125,355</w:t>
            </w:r>
          </w:p>
        </w:tc>
        <w:tc>
          <w:tcPr>
            <w:tcW w:w="60" w:type="dxa"/>
            <w:vAlign w:val="bottom"/>
          </w:tcPr>
          <w:p>
            <w:pPr>
              <w:spacing w:after="0"/>
              <w:rPr>
                <w:sz w:val="20"/>
                <w:szCs w:val="20"/>
                <w:color w:val="auto"/>
              </w:rPr>
            </w:pPr>
          </w:p>
        </w:tc>
        <w:tc>
          <w:tcPr>
            <w:tcW w:w="820" w:type="dxa"/>
            <w:vAlign w:val="bottom"/>
            <w:tcBorders>
              <w:top w:val="single" w:sz="8" w:color="auto"/>
            </w:tcBorders>
          </w:tcPr>
          <w:p>
            <w:pPr>
              <w:jc w:val="right"/>
              <w:ind w:right="98"/>
              <w:spacing w:after="0"/>
              <w:rPr>
                <w:sz w:val="20"/>
                <w:szCs w:val="20"/>
                <w:color w:val="auto"/>
              </w:rPr>
            </w:pPr>
            <w:r>
              <w:rPr>
                <w:rFonts w:ascii="Times New Roman" w:cs="Times New Roman" w:eastAsia="Times New Roman" w:hAnsi="Times New Roman"/>
                <w:sz w:val="20"/>
                <w:szCs w:val="20"/>
                <w:color w:val="auto"/>
              </w:rPr>
              <w:t>22%</w:t>
            </w:r>
          </w:p>
        </w:tc>
        <w:tc>
          <w:tcPr>
            <w:tcW w:w="0" w:type="dxa"/>
            <w:vAlign w:val="bottom"/>
          </w:tcPr>
          <w:p>
            <w:pPr>
              <w:spacing w:after="0"/>
              <w:rPr>
                <w:sz w:val="1"/>
                <w:szCs w:val="1"/>
                <w:color w:val="auto"/>
              </w:rPr>
            </w:pPr>
          </w:p>
        </w:tc>
      </w:tr>
      <w:tr>
        <w:trPr>
          <w:trHeight w:val="254"/>
        </w:trPr>
        <w:tc>
          <w:tcPr>
            <w:tcW w:w="1880" w:type="dxa"/>
            <w:vAlign w:val="bottom"/>
          </w:tcPr>
          <w:p>
            <w:pPr>
              <w:spacing w:after="0"/>
              <w:rPr>
                <w:sz w:val="20"/>
                <w:szCs w:val="20"/>
                <w:color w:val="auto"/>
              </w:rPr>
            </w:pPr>
            <w:r>
              <w:rPr>
                <w:rFonts w:ascii="Times New Roman" w:cs="Times New Roman" w:eastAsia="Times New Roman" w:hAnsi="Times New Roman"/>
                <w:sz w:val="20"/>
                <w:szCs w:val="20"/>
                <w:color w:val="auto"/>
              </w:rPr>
              <w:t>Cannabis business</w:t>
            </w:r>
          </w:p>
        </w:tc>
        <w:tc>
          <w:tcPr>
            <w:tcW w:w="200" w:type="dxa"/>
            <w:vAlign w:val="bottom"/>
          </w:tcPr>
          <w:p>
            <w:pPr>
              <w:spacing w:after="0"/>
              <w:rPr>
                <w:sz w:val="22"/>
                <w:szCs w:val="22"/>
                <w:color w:val="auto"/>
              </w:rPr>
            </w:pPr>
          </w:p>
        </w:tc>
        <w:tc>
          <w:tcPr>
            <w:tcW w:w="1180" w:type="dxa"/>
            <w:vAlign w:val="bottom"/>
          </w:tcPr>
          <w:p>
            <w:pPr>
              <w:jc w:val="right"/>
              <w:ind w:right="38"/>
              <w:spacing w:after="0"/>
              <w:rPr>
                <w:sz w:val="20"/>
                <w:szCs w:val="20"/>
                <w:color w:val="auto"/>
              </w:rPr>
            </w:pPr>
            <w:r>
              <w:rPr>
                <w:rFonts w:ascii="Times New Roman" w:cs="Times New Roman" w:eastAsia="Times New Roman" w:hAnsi="Times New Roman"/>
                <w:sz w:val="20"/>
                <w:szCs w:val="20"/>
                <w:color w:val="auto"/>
              </w:rPr>
              <w:t>57,475</w:t>
            </w:r>
          </w:p>
        </w:tc>
        <w:tc>
          <w:tcPr>
            <w:tcW w:w="80" w:type="dxa"/>
            <w:vAlign w:val="bottom"/>
          </w:tcPr>
          <w:p>
            <w:pPr>
              <w:spacing w:after="0"/>
              <w:rPr>
                <w:sz w:val="22"/>
                <w:szCs w:val="22"/>
                <w:color w:val="auto"/>
              </w:rPr>
            </w:pPr>
          </w:p>
        </w:tc>
        <w:tc>
          <w:tcPr>
            <w:tcW w:w="840" w:type="dxa"/>
            <w:vAlign w:val="bottom"/>
          </w:tcPr>
          <w:p>
            <w:pPr>
              <w:jc w:val="right"/>
              <w:ind w:right="98"/>
              <w:spacing w:after="0"/>
              <w:rPr>
                <w:sz w:val="20"/>
                <w:szCs w:val="20"/>
                <w:color w:val="auto"/>
              </w:rPr>
            </w:pPr>
            <w:r>
              <w:rPr>
                <w:rFonts w:ascii="Times New Roman" w:cs="Times New Roman" w:eastAsia="Times New Roman" w:hAnsi="Times New Roman"/>
                <w:sz w:val="20"/>
                <w:szCs w:val="20"/>
                <w:color w:val="auto"/>
              </w:rPr>
              <w:t>30%</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38"/>
              <w:spacing w:after="0"/>
              <w:rPr>
                <w:sz w:val="20"/>
                <w:szCs w:val="20"/>
                <w:color w:val="auto"/>
              </w:rPr>
            </w:pPr>
            <w:r>
              <w:rPr>
                <w:rFonts w:ascii="Times New Roman" w:cs="Times New Roman" w:eastAsia="Times New Roman" w:hAnsi="Times New Roman"/>
                <w:sz w:val="20"/>
                <w:szCs w:val="20"/>
                <w:color w:val="auto"/>
              </w:rPr>
              <w:t>63,432</w:t>
            </w:r>
          </w:p>
        </w:tc>
        <w:tc>
          <w:tcPr>
            <w:tcW w:w="80" w:type="dxa"/>
            <w:vAlign w:val="bottom"/>
          </w:tcPr>
          <w:p>
            <w:pPr>
              <w:spacing w:after="0"/>
              <w:rPr>
                <w:sz w:val="22"/>
                <w:szCs w:val="22"/>
                <w:color w:val="auto"/>
              </w:rPr>
            </w:pPr>
          </w:p>
        </w:tc>
        <w:tc>
          <w:tcPr>
            <w:tcW w:w="820" w:type="dxa"/>
            <w:vAlign w:val="bottom"/>
          </w:tcPr>
          <w:p>
            <w:pPr>
              <w:jc w:val="right"/>
              <w:ind w:right="98"/>
              <w:spacing w:after="0"/>
              <w:rPr>
                <w:sz w:val="20"/>
                <w:szCs w:val="20"/>
                <w:color w:val="auto"/>
              </w:rPr>
            </w:pPr>
            <w:r>
              <w:rPr>
                <w:rFonts w:ascii="Times New Roman" w:cs="Times New Roman" w:eastAsia="Times New Roman" w:hAnsi="Times New Roman"/>
                <w:sz w:val="20"/>
                <w:szCs w:val="20"/>
                <w:color w:val="auto"/>
              </w:rPr>
              <w:t>34%</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38"/>
              <w:spacing w:after="0"/>
              <w:rPr>
                <w:sz w:val="20"/>
                <w:szCs w:val="20"/>
                <w:color w:val="auto"/>
              </w:rPr>
            </w:pPr>
            <w:r>
              <w:rPr>
                <w:rFonts w:ascii="Times New Roman" w:cs="Times New Roman" w:eastAsia="Times New Roman" w:hAnsi="Times New Roman"/>
                <w:sz w:val="20"/>
                <w:szCs w:val="20"/>
                <w:color w:val="auto"/>
              </w:rPr>
              <w:t>186,120</w:t>
            </w:r>
          </w:p>
        </w:tc>
        <w:tc>
          <w:tcPr>
            <w:tcW w:w="80" w:type="dxa"/>
            <w:vAlign w:val="bottom"/>
          </w:tcPr>
          <w:p>
            <w:pPr>
              <w:spacing w:after="0"/>
              <w:rPr>
                <w:sz w:val="22"/>
                <w:szCs w:val="22"/>
                <w:color w:val="auto"/>
              </w:rPr>
            </w:pPr>
          </w:p>
        </w:tc>
        <w:tc>
          <w:tcPr>
            <w:tcW w:w="820" w:type="dxa"/>
            <w:vAlign w:val="bottom"/>
          </w:tcPr>
          <w:p>
            <w:pPr>
              <w:jc w:val="right"/>
              <w:ind w:right="98"/>
              <w:spacing w:after="0"/>
              <w:rPr>
                <w:sz w:val="20"/>
                <w:szCs w:val="20"/>
                <w:color w:val="auto"/>
              </w:rPr>
            </w:pPr>
            <w:r>
              <w:rPr>
                <w:rFonts w:ascii="Times New Roman" w:cs="Times New Roman" w:eastAsia="Times New Roman" w:hAnsi="Times New Roman"/>
                <w:sz w:val="20"/>
                <w:szCs w:val="20"/>
                <w:color w:val="auto"/>
              </w:rPr>
              <w:t>31%</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ind w:right="38"/>
              <w:spacing w:after="0"/>
              <w:rPr>
                <w:sz w:val="20"/>
                <w:szCs w:val="20"/>
                <w:color w:val="auto"/>
              </w:rPr>
            </w:pPr>
            <w:r>
              <w:rPr>
                <w:rFonts w:ascii="Times New Roman" w:cs="Times New Roman" w:eastAsia="Times New Roman" w:hAnsi="Times New Roman"/>
                <w:sz w:val="20"/>
                <w:szCs w:val="20"/>
                <w:color w:val="auto"/>
              </w:rPr>
              <w:t>200,879</w:t>
            </w:r>
          </w:p>
        </w:tc>
        <w:tc>
          <w:tcPr>
            <w:tcW w:w="60" w:type="dxa"/>
            <w:vAlign w:val="bottom"/>
          </w:tcPr>
          <w:p>
            <w:pPr>
              <w:spacing w:after="0"/>
              <w:rPr>
                <w:sz w:val="22"/>
                <w:szCs w:val="22"/>
                <w:color w:val="auto"/>
              </w:rPr>
            </w:pPr>
          </w:p>
        </w:tc>
        <w:tc>
          <w:tcPr>
            <w:tcW w:w="820" w:type="dxa"/>
            <w:vAlign w:val="bottom"/>
          </w:tcPr>
          <w:p>
            <w:pPr>
              <w:jc w:val="right"/>
              <w:ind w:right="98"/>
              <w:spacing w:after="0"/>
              <w:rPr>
                <w:sz w:val="20"/>
                <w:szCs w:val="20"/>
                <w:color w:val="auto"/>
              </w:rPr>
            </w:pPr>
            <w:r>
              <w:rPr>
                <w:rFonts w:ascii="Times New Roman" w:cs="Times New Roman" w:eastAsia="Times New Roman" w:hAnsi="Times New Roman"/>
                <w:sz w:val="20"/>
                <w:szCs w:val="20"/>
                <w:color w:val="auto"/>
              </w:rPr>
              <w:t>36%</w:t>
            </w:r>
          </w:p>
        </w:tc>
        <w:tc>
          <w:tcPr>
            <w:tcW w:w="0" w:type="dxa"/>
            <w:vAlign w:val="bottom"/>
          </w:tcPr>
          <w:p>
            <w:pPr>
              <w:spacing w:after="0"/>
              <w:rPr>
                <w:sz w:val="1"/>
                <w:szCs w:val="1"/>
                <w:color w:val="auto"/>
              </w:rPr>
            </w:pPr>
          </w:p>
        </w:tc>
      </w:tr>
      <w:tr>
        <w:trPr>
          <w:trHeight w:val="254"/>
        </w:trPr>
        <w:tc>
          <w:tcPr>
            <w:tcW w:w="1880" w:type="dxa"/>
            <w:vAlign w:val="bottom"/>
          </w:tcPr>
          <w:p>
            <w:pPr>
              <w:spacing w:after="0"/>
              <w:rPr>
                <w:sz w:val="20"/>
                <w:szCs w:val="20"/>
                <w:color w:val="auto"/>
              </w:rPr>
            </w:pPr>
            <w:r>
              <w:rPr>
                <w:rFonts w:ascii="Times New Roman" w:cs="Times New Roman" w:eastAsia="Times New Roman" w:hAnsi="Times New Roman"/>
                <w:sz w:val="20"/>
                <w:szCs w:val="20"/>
                <w:color w:val="auto"/>
              </w:rPr>
              <w:t>Distribution business</w:t>
            </w:r>
          </w:p>
        </w:tc>
        <w:tc>
          <w:tcPr>
            <w:tcW w:w="200" w:type="dxa"/>
            <w:vAlign w:val="bottom"/>
          </w:tcPr>
          <w:p>
            <w:pPr>
              <w:spacing w:after="0"/>
              <w:rPr>
                <w:sz w:val="22"/>
                <w:szCs w:val="22"/>
                <w:color w:val="auto"/>
              </w:rPr>
            </w:pPr>
          </w:p>
        </w:tc>
        <w:tc>
          <w:tcPr>
            <w:tcW w:w="1180" w:type="dxa"/>
            <w:vAlign w:val="bottom"/>
          </w:tcPr>
          <w:p>
            <w:pPr>
              <w:jc w:val="right"/>
              <w:ind w:right="38"/>
              <w:spacing w:after="0"/>
              <w:rPr>
                <w:sz w:val="20"/>
                <w:szCs w:val="20"/>
                <w:color w:val="auto"/>
              </w:rPr>
            </w:pPr>
            <w:r>
              <w:rPr>
                <w:rFonts w:ascii="Times New Roman" w:cs="Times New Roman" w:eastAsia="Times New Roman" w:hAnsi="Times New Roman"/>
                <w:sz w:val="20"/>
                <w:szCs w:val="20"/>
                <w:color w:val="auto"/>
              </w:rPr>
              <w:t>65,054</w:t>
            </w:r>
          </w:p>
        </w:tc>
        <w:tc>
          <w:tcPr>
            <w:tcW w:w="80" w:type="dxa"/>
            <w:vAlign w:val="bottom"/>
          </w:tcPr>
          <w:p>
            <w:pPr>
              <w:spacing w:after="0"/>
              <w:rPr>
                <w:sz w:val="22"/>
                <w:szCs w:val="22"/>
                <w:color w:val="auto"/>
              </w:rPr>
            </w:pPr>
          </w:p>
        </w:tc>
        <w:tc>
          <w:tcPr>
            <w:tcW w:w="840" w:type="dxa"/>
            <w:vAlign w:val="bottom"/>
          </w:tcPr>
          <w:p>
            <w:pPr>
              <w:jc w:val="right"/>
              <w:ind w:right="98"/>
              <w:spacing w:after="0"/>
              <w:rPr>
                <w:sz w:val="20"/>
                <w:szCs w:val="20"/>
                <w:color w:val="auto"/>
              </w:rPr>
            </w:pPr>
            <w:r>
              <w:rPr>
                <w:rFonts w:ascii="Times New Roman" w:cs="Times New Roman" w:eastAsia="Times New Roman" w:hAnsi="Times New Roman"/>
                <w:sz w:val="20"/>
                <w:szCs w:val="20"/>
                <w:color w:val="auto"/>
              </w:rPr>
              <w:t>33%</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38"/>
              <w:spacing w:after="0"/>
              <w:rPr>
                <w:sz w:val="20"/>
                <w:szCs w:val="20"/>
                <w:color w:val="auto"/>
              </w:rPr>
            </w:pPr>
            <w:r>
              <w:rPr>
                <w:rFonts w:ascii="Times New Roman" w:cs="Times New Roman" w:eastAsia="Times New Roman" w:hAnsi="Times New Roman"/>
                <w:sz w:val="20"/>
                <w:szCs w:val="20"/>
                <w:color w:val="auto"/>
              </w:rPr>
              <w:t>56,794</w:t>
            </w:r>
          </w:p>
        </w:tc>
        <w:tc>
          <w:tcPr>
            <w:tcW w:w="80" w:type="dxa"/>
            <w:vAlign w:val="bottom"/>
          </w:tcPr>
          <w:p>
            <w:pPr>
              <w:spacing w:after="0"/>
              <w:rPr>
                <w:sz w:val="22"/>
                <w:szCs w:val="22"/>
                <w:color w:val="auto"/>
              </w:rPr>
            </w:pPr>
          </w:p>
        </w:tc>
        <w:tc>
          <w:tcPr>
            <w:tcW w:w="820" w:type="dxa"/>
            <w:vAlign w:val="bottom"/>
          </w:tcPr>
          <w:p>
            <w:pPr>
              <w:jc w:val="right"/>
              <w:ind w:right="98"/>
              <w:spacing w:after="0"/>
              <w:rPr>
                <w:sz w:val="20"/>
                <w:szCs w:val="20"/>
                <w:color w:val="auto"/>
              </w:rPr>
            </w:pPr>
            <w:r>
              <w:rPr>
                <w:rFonts w:ascii="Times New Roman" w:cs="Times New Roman" w:eastAsia="Times New Roman" w:hAnsi="Times New Roman"/>
                <w:sz w:val="20"/>
                <w:szCs w:val="20"/>
                <w:color w:val="auto"/>
              </w:rPr>
              <w:t>30%</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38"/>
              <w:spacing w:after="0"/>
              <w:rPr>
                <w:sz w:val="20"/>
                <w:szCs w:val="20"/>
                <w:color w:val="auto"/>
              </w:rPr>
            </w:pPr>
            <w:r>
              <w:rPr>
                <w:rFonts w:ascii="Times New Roman" w:cs="Times New Roman" w:eastAsia="Times New Roman" w:hAnsi="Times New Roman"/>
                <w:sz w:val="20"/>
                <w:szCs w:val="20"/>
                <w:color w:val="auto"/>
              </w:rPr>
              <w:t>204,861</w:t>
            </w:r>
          </w:p>
        </w:tc>
        <w:tc>
          <w:tcPr>
            <w:tcW w:w="80" w:type="dxa"/>
            <w:vAlign w:val="bottom"/>
          </w:tcPr>
          <w:p>
            <w:pPr>
              <w:spacing w:after="0"/>
              <w:rPr>
                <w:sz w:val="22"/>
                <w:szCs w:val="22"/>
                <w:color w:val="auto"/>
              </w:rPr>
            </w:pPr>
          </w:p>
        </w:tc>
        <w:tc>
          <w:tcPr>
            <w:tcW w:w="820" w:type="dxa"/>
            <w:vAlign w:val="bottom"/>
          </w:tcPr>
          <w:p>
            <w:pPr>
              <w:jc w:val="right"/>
              <w:ind w:right="98"/>
              <w:spacing w:after="0"/>
              <w:rPr>
                <w:sz w:val="20"/>
                <w:szCs w:val="20"/>
                <w:color w:val="auto"/>
              </w:rPr>
            </w:pPr>
            <w:r>
              <w:rPr>
                <w:rFonts w:ascii="Times New Roman" w:cs="Times New Roman" w:eastAsia="Times New Roman" w:hAnsi="Times New Roman"/>
                <w:sz w:val="20"/>
                <w:szCs w:val="20"/>
                <w:color w:val="auto"/>
              </w:rPr>
              <w:t>33%</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ind w:right="38"/>
              <w:spacing w:after="0"/>
              <w:rPr>
                <w:sz w:val="20"/>
                <w:szCs w:val="20"/>
                <w:color w:val="auto"/>
              </w:rPr>
            </w:pPr>
            <w:r>
              <w:rPr>
                <w:rFonts w:ascii="Times New Roman" w:cs="Times New Roman" w:eastAsia="Times New Roman" w:hAnsi="Times New Roman"/>
                <w:sz w:val="20"/>
                <w:szCs w:val="20"/>
                <w:color w:val="auto"/>
              </w:rPr>
              <w:t>193,174</w:t>
            </w:r>
          </w:p>
        </w:tc>
        <w:tc>
          <w:tcPr>
            <w:tcW w:w="60" w:type="dxa"/>
            <w:vAlign w:val="bottom"/>
          </w:tcPr>
          <w:p>
            <w:pPr>
              <w:spacing w:after="0"/>
              <w:rPr>
                <w:sz w:val="22"/>
                <w:szCs w:val="22"/>
                <w:color w:val="auto"/>
              </w:rPr>
            </w:pPr>
          </w:p>
        </w:tc>
        <w:tc>
          <w:tcPr>
            <w:tcW w:w="820" w:type="dxa"/>
            <w:vAlign w:val="bottom"/>
          </w:tcPr>
          <w:p>
            <w:pPr>
              <w:jc w:val="right"/>
              <w:ind w:right="98"/>
              <w:spacing w:after="0"/>
              <w:rPr>
                <w:sz w:val="20"/>
                <w:szCs w:val="20"/>
                <w:color w:val="auto"/>
              </w:rPr>
            </w:pPr>
            <w:r>
              <w:rPr>
                <w:rFonts w:ascii="Times New Roman" w:cs="Times New Roman" w:eastAsia="Times New Roman" w:hAnsi="Times New Roman"/>
                <w:sz w:val="20"/>
                <w:szCs w:val="20"/>
                <w:color w:val="auto"/>
              </w:rPr>
              <w:t>35%</w:t>
            </w:r>
          </w:p>
        </w:tc>
        <w:tc>
          <w:tcPr>
            <w:tcW w:w="0" w:type="dxa"/>
            <w:vAlign w:val="bottom"/>
          </w:tcPr>
          <w:p>
            <w:pPr>
              <w:spacing w:after="0"/>
              <w:rPr>
                <w:sz w:val="1"/>
                <w:szCs w:val="1"/>
                <w:color w:val="auto"/>
              </w:rPr>
            </w:pPr>
          </w:p>
        </w:tc>
      </w:tr>
      <w:tr>
        <w:trPr>
          <w:trHeight w:val="265"/>
        </w:trPr>
        <w:tc>
          <w:tcPr>
            <w:tcW w:w="1880" w:type="dxa"/>
            <w:vAlign w:val="bottom"/>
          </w:tcPr>
          <w:p>
            <w:pPr>
              <w:spacing w:after="0"/>
              <w:rPr>
                <w:sz w:val="20"/>
                <w:szCs w:val="20"/>
                <w:color w:val="auto"/>
              </w:rPr>
            </w:pPr>
            <w:r>
              <w:rPr>
                <w:rFonts w:ascii="Times New Roman" w:cs="Times New Roman" w:eastAsia="Times New Roman" w:hAnsi="Times New Roman"/>
                <w:sz w:val="20"/>
                <w:szCs w:val="20"/>
                <w:color w:val="auto"/>
              </w:rPr>
              <w:t>Wellness business</w:t>
            </w:r>
          </w:p>
        </w:tc>
        <w:tc>
          <w:tcPr>
            <w:tcW w:w="2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20"/>
                <w:szCs w:val="20"/>
                <w:color w:val="auto"/>
              </w:rPr>
              <w:t>14,499</w:t>
            </w:r>
          </w:p>
        </w:tc>
        <w:tc>
          <w:tcPr>
            <w:tcW w:w="80" w:type="dxa"/>
            <w:vAlign w:val="bottom"/>
          </w:tcPr>
          <w:p>
            <w:pPr>
              <w:spacing w:after="0"/>
              <w:rPr>
                <w:sz w:val="23"/>
                <w:szCs w:val="23"/>
                <w:color w:val="auto"/>
              </w:rPr>
            </w:pPr>
          </w:p>
        </w:tc>
        <w:tc>
          <w:tcPr>
            <w:tcW w:w="84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20"/>
                <w:szCs w:val="20"/>
                <w:color w:val="auto"/>
              </w:rPr>
              <w:t>8%</w:t>
            </w:r>
          </w:p>
        </w:tc>
        <w:tc>
          <w:tcPr>
            <w:tcW w:w="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20"/>
                <w:szCs w:val="20"/>
                <w:color w:val="auto"/>
              </w:rPr>
              <w:t>13,426</w:t>
            </w:r>
          </w:p>
        </w:tc>
        <w:tc>
          <w:tcPr>
            <w:tcW w:w="80" w:type="dxa"/>
            <w:vAlign w:val="bottom"/>
          </w:tcPr>
          <w:p>
            <w:pPr>
              <w:spacing w:after="0"/>
              <w:rPr>
                <w:sz w:val="23"/>
                <w:szCs w:val="23"/>
                <w:color w:val="auto"/>
              </w:rPr>
            </w:pPr>
          </w:p>
        </w:tc>
        <w:tc>
          <w:tcPr>
            <w:tcW w:w="82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20"/>
                <w:szCs w:val="20"/>
                <w:color w:val="auto"/>
              </w:rPr>
              <w:t>7%</w:t>
            </w:r>
          </w:p>
        </w:tc>
        <w:tc>
          <w:tcPr>
            <w:tcW w:w="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20"/>
                <w:szCs w:val="20"/>
                <w:color w:val="auto"/>
              </w:rPr>
              <w:t>44,068</w:t>
            </w:r>
          </w:p>
        </w:tc>
        <w:tc>
          <w:tcPr>
            <w:tcW w:w="80" w:type="dxa"/>
            <w:vAlign w:val="bottom"/>
          </w:tcPr>
          <w:p>
            <w:pPr>
              <w:spacing w:after="0"/>
              <w:rPr>
                <w:sz w:val="23"/>
                <w:szCs w:val="23"/>
                <w:color w:val="auto"/>
              </w:rPr>
            </w:pPr>
          </w:p>
        </w:tc>
        <w:tc>
          <w:tcPr>
            <w:tcW w:w="82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20"/>
                <w:szCs w:val="20"/>
                <w:color w:val="auto"/>
              </w:rPr>
              <w:t>7%</w:t>
            </w:r>
          </w:p>
        </w:tc>
        <w:tc>
          <w:tcPr>
            <w:tcW w:w="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20"/>
                <w:szCs w:val="20"/>
                <w:color w:val="auto"/>
              </w:rPr>
              <w:t>39,652</w:t>
            </w:r>
          </w:p>
        </w:tc>
        <w:tc>
          <w:tcPr>
            <w:tcW w:w="60" w:type="dxa"/>
            <w:vAlign w:val="bottom"/>
          </w:tcPr>
          <w:p>
            <w:pPr>
              <w:spacing w:after="0"/>
              <w:rPr>
                <w:sz w:val="23"/>
                <w:szCs w:val="23"/>
                <w:color w:val="auto"/>
              </w:rPr>
            </w:pPr>
          </w:p>
        </w:tc>
        <w:tc>
          <w:tcPr>
            <w:tcW w:w="82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20"/>
                <w:szCs w:val="20"/>
                <w:color w:val="auto"/>
              </w:rPr>
              <w:t>7%</w:t>
            </w:r>
          </w:p>
        </w:tc>
        <w:tc>
          <w:tcPr>
            <w:tcW w:w="0" w:type="dxa"/>
            <w:vAlign w:val="bottom"/>
          </w:tcPr>
          <w:p>
            <w:pPr>
              <w:spacing w:after="0"/>
              <w:rPr>
                <w:sz w:val="1"/>
                <w:szCs w:val="1"/>
                <w:color w:val="auto"/>
              </w:rPr>
            </w:pPr>
          </w:p>
        </w:tc>
      </w:tr>
      <w:tr>
        <w:trPr>
          <w:trHeight w:val="248"/>
        </w:trPr>
        <w:tc>
          <w:tcPr>
            <w:tcW w:w="1880" w:type="dxa"/>
            <w:vAlign w:val="bottom"/>
          </w:tcPr>
          <w:p>
            <w:pPr>
              <w:spacing w:after="0"/>
              <w:rPr>
                <w:sz w:val="20"/>
                <w:szCs w:val="20"/>
                <w:color w:val="auto"/>
              </w:rPr>
            </w:pPr>
            <w:r>
              <w:rPr>
                <w:rFonts w:ascii="Times New Roman" w:cs="Times New Roman" w:eastAsia="Times New Roman" w:hAnsi="Times New Roman"/>
                <w:sz w:val="20"/>
                <w:szCs w:val="20"/>
                <w:color w:val="auto"/>
              </w:rPr>
              <w:t>Total net revenue</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20"/>
                <w:szCs w:val="20"/>
                <w:color w:val="auto"/>
              </w:rPr>
              <w:t>192,949</w:t>
            </w:r>
          </w:p>
        </w:tc>
        <w:tc>
          <w:tcPr>
            <w:tcW w:w="80" w:type="dxa"/>
            <w:vAlign w:val="bottom"/>
          </w:tcPr>
          <w:p>
            <w:pPr>
              <w:spacing w:after="0"/>
              <w:rPr>
                <w:sz w:val="21"/>
                <w:szCs w:val="21"/>
                <w:color w:val="auto"/>
              </w:rPr>
            </w:pPr>
          </w:p>
        </w:tc>
        <w:tc>
          <w:tcPr>
            <w:tcW w:w="84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20"/>
                <w:szCs w:val="20"/>
                <w:color w:val="auto"/>
              </w:rPr>
              <w:t>100%</w:t>
            </w:r>
          </w:p>
        </w:tc>
        <w:tc>
          <w:tcPr>
            <w:tcW w:w="8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20"/>
                <w:szCs w:val="20"/>
                <w:color w:val="auto"/>
              </w:rPr>
              <w:t>188,340</w:t>
            </w:r>
          </w:p>
        </w:tc>
        <w:tc>
          <w:tcPr>
            <w:tcW w:w="80" w:type="dxa"/>
            <w:vAlign w:val="bottom"/>
          </w:tcPr>
          <w:p>
            <w:pPr>
              <w:spacing w:after="0"/>
              <w:rPr>
                <w:sz w:val="21"/>
                <w:szCs w:val="21"/>
                <w:color w:val="auto"/>
              </w:rPr>
            </w:pPr>
          </w:p>
        </w:tc>
        <w:tc>
          <w:tcPr>
            <w:tcW w:w="82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20"/>
                <w:szCs w:val="20"/>
                <w:color w:val="auto"/>
              </w:rPr>
              <w:t>100%</w:t>
            </w:r>
          </w:p>
        </w:tc>
        <w:tc>
          <w:tcPr>
            <w:tcW w:w="80" w:type="dxa"/>
            <w:vAlign w:val="bottom"/>
          </w:tcPr>
          <w:p>
            <w:pPr>
              <w:spacing w:after="0"/>
              <w:rPr>
                <w:sz w:val="21"/>
                <w:szCs w:val="21"/>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20"/>
                <w:szCs w:val="20"/>
                <w:color w:val="auto"/>
              </w:rPr>
              <w:t>610,023</w:t>
            </w:r>
          </w:p>
        </w:tc>
        <w:tc>
          <w:tcPr>
            <w:tcW w:w="80" w:type="dxa"/>
            <w:vAlign w:val="bottom"/>
          </w:tcPr>
          <w:p>
            <w:pPr>
              <w:spacing w:after="0"/>
              <w:rPr>
                <w:sz w:val="21"/>
                <w:szCs w:val="21"/>
                <w:color w:val="auto"/>
              </w:rPr>
            </w:pPr>
          </w:p>
        </w:tc>
        <w:tc>
          <w:tcPr>
            <w:tcW w:w="82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20"/>
                <w:szCs w:val="20"/>
                <w:color w:val="auto"/>
              </w:rPr>
              <w:t>100%</w:t>
            </w:r>
          </w:p>
        </w:tc>
        <w:tc>
          <w:tcPr>
            <w:tcW w:w="80" w:type="dxa"/>
            <w:vAlign w:val="bottom"/>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20"/>
                <w:szCs w:val="20"/>
                <w:color w:val="auto"/>
              </w:rPr>
              <w:t>559,060</w:t>
            </w:r>
          </w:p>
        </w:tc>
        <w:tc>
          <w:tcPr>
            <w:tcW w:w="60" w:type="dxa"/>
            <w:vAlign w:val="bottom"/>
          </w:tcPr>
          <w:p>
            <w:pPr>
              <w:spacing w:after="0"/>
              <w:rPr>
                <w:sz w:val="21"/>
                <w:szCs w:val="21"/>
                <w:color w:val="auto"/>
              </w:rPr>
            </w:pPr>
          </w:p>
        </w:tc>
        <w:tc>
          <w:tcPr>
            <w:tcW w:w="82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20"/>
                <w:szCs w:val="20"/>
                <w:color w:val="auto"/>
              </w:rPr>
              <w:t>100%</w:t>
            </w:r>
          </w:p>
        </w:tc>
        <w:tc>
          <w:tcPr>
            <w:tcW w:w="0" w:type="dxa"/>
            <w:vAlign w:val="bottom"/>
          </w:tcPr>
          <w:p>
            <w:pPr>
              <w:spacing w:after="0"/>
              <w:rPr>
                <w:sz w:val="1"/>
                <w:szCs w:val="1"/>
                <w:color w:val="auto"/>
              </w:rPr>
            </w:pPr>
          </w:p>
        </w:tc>
      </w:tr>
      <w:tr>
        <w:trPr>
          <w:trHeight w:val="20"/>
        </w:trPr>
        <w:tc>
          <w:tcPr>
            <w:tcW w:w="18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Net Cannabis</w:t>
            </w: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18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880" w:type="dxa"/>
            <w:vAlign w:val="bottom"/>
          </w:tcPr>
          <w:p>
            <w:pPr>
              <w:spacing w:after="0" w:line="229" w:lineRule="exact"/>
              <w:rPr>
                <w:sz w:val="20"/>
                <w:szCs w:val="20"/>
                <w:color w:val="auto"/>
              </w:rPr>
            </w:pPr>
            <w:r>
              <w:rPr>
                <w:rFonts w:ascii="Times New Roman" w:cs="Times New Roman" w:eastAsia="Times New Roman" w:hAnsi="Times New Roman"/>
                <w:sz w:val="20"/>
                <w:szCs w:val="20"/>
                <w:b w:val="1"/>
                <w:bCs w:val="1"/>
                <w:color w:val="auto"/>
              </w:rPr>
              <w:t>Revenue by Market</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18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Channel</w:t>
            </w:r>
          </w:p>
        </w:tc>
        <w:tc>
          <w:tcPr>
            <w:tcW w:w="200" w:type="dxa"/>
            <w:vAlign w:val="bottom"/>
          </w:tcPr>
          <w:p>
            <w:pPr>
              <w:spacing w:after="0"/>
              <w:rPr>
                <w:sz w:val="23"/>
                <w:szCs w:val="23"/>
                <w:color w:val="auto"/>
              </w:rPr>
            </w:pPr>
          </w:p>
        </w:tc>
        <w:tc>
          <w:tcPr>
            <w:tcW w:w="2180" w:type="dxa"/>
            <w:vAlign w:val="bottom"/>
            <w:gridSpan w:val="4"/>
            <w:vMerge w:val="restart"/>
          </w:tcPr>
          <w:p>
            <w:pPr>
              <w:jc w:val="center"/>
              <w:ind w:right="300"/>
              <w:spacing w:after="0"/>
              <w:rPr>
                <w:sz w:val="20"/>
                <w:szCs w:val="20"/>
                <w:color w:val="auto"/>
              </w:rPr>
            </w:pPr>
            <w:r>
              <w:rPr>
                <w:rFonts w:ascii="Times New Roman" w:cs="Times New Roman" w:eastAsia="Times New Roman" w:hAnsi="Times New Roman"/>
                <w:sz w:val="20"/>
                <w:szCs w:val="20"/>
                <w:b w:val="1"/>
                <w:bCs w:val="1"/>
                <w:color w:val="auto"/>
              </w:rPr>
              <w:t>For the three months</w:t>
            </w:r>
          </w:p>
        </w:tc>
        <w:tc>
          <w:tcPr>
            <w:tcW w:w="200" w:type="dxa"/>
            <w:vAlign w:val="bottom"/>
          </w:tcPr>
          <w:p>
            <w:pPr>
              <w:spacing w:after="0"/>
              <w:rPr>
                <w:sz w:val="23"/>
                <w:szCs w:val="23"/>
                <w:color w:val="auto"/>
              </w:rPr>
            </w:pPr>
          </w:p>
        </w:tc>
        <w:tc>
          <w:tcPr>
            <w:tcW w:w="2140" w:type="dxa"/>
            <w:vAlign w:val="bottom"/>
            <w:gridSpan w:val="4"/>
            <w:vMerge w:val="restart"/>
          </w:tcPr>
          <w:p>
            <w:pPr>
              <w:jc w:val="center"/>
              <w:ind w:right="280"/>
              <w:spacing w:after="0"/>
              <w:rPr>
                <w:sz w:val="20"/>
                <w:szCs w:val="20"/>
                <w:color w:val="auto"/>
              </w:rPr>
            </w:pPr>
            <w:r>
              <w:rPr>
                <w:rFonts w:ascii="Times New Roman" w:cs="Times New Roman" w:eastAsia="Times New Roman" w:hAnsi="Times New Roman"/>
                <w:sz w:val="20"/>
                <w:szCs w:val="20"/>
                <w:b w:val="1"/>
                <w:bCs w:val="1"/>
                <w:color w:val="auto"/>
              </w:rPr>
              <w:t>For the three months</w:t>
            </w:r>
          </w:p>
        </w:tc>
        <w:tc>
          <w:tcPr>
            <w:tcW w:w="240" w:type="dxa"/>
            <w:vAlign w:val="bottom"/>
          </w:tcPr>
          <w:p>
            <w:pPr>
              <w:spacing w:after="0"/>
              <w:rPr>
                <w:sz w:val="23"/>
                <w:szCs w:val="23"/>
                <w:color w:val="auto"/>
              </w:rPr>
            </w:pPr>
          </w:p>
        </w:tc>
        <w:tc>
          <w:tcPr>
            <w:tcW w:w="2100" w:type="dxa"/>
            <w:vAlign w:val="bottom"/>
            <w:gridSpan w:val="4"/>
            <w:vMerge w:val="restart"/>
          </w:tcPr>
          <w:p>
            <w:pPr>
              <w:jc w:val="center"/>
              <w:ind w:right="320"/>
              <w:spacing w:after="0"/>
              <w:rPr>
                <w:sz w:val="20"/>
                <w:szCs w:val="20"/>
                <w:color w:val="auto"/>
              </w:rPr>
            </w:pPr>
            <w:r>
              <w:rPr>
                <w:rFonts w:ascii="Times New Roman" w:cs="Times New Roman" w:eastAsia="Times New Roman" w:hAnsi="Times New Roman"/>
                <w:sz w:val="20"/>
                <w:szCs w:val="20"/>
                <w:b w:val="1"/>
                <w:bCs w:val="1"/>
                <w:color w:val="auto"/>
              </w:rPr>
              <w:t>For the nine</w:t>
            </w:r>
          </w:p>
        </w:tc>
        <w:tc>
          <w:tcPr>
            <w:tcW w:w="220" w:type="dxa"/>
            <w:vAlign w:val="bottom"/>
          </w:tcPr>
          <w:p>
            <w:pPr>
              <w:spacing w:after="0"/>
              <w:rPr>
                <w:sz w:val="23"/>
                <w:szCs w:val="23"/>
                <w:color w:val="auto"/>
              </w:rPr>
            </w:pPr>
          </w:p>
        </w:tc>
        <w:tc>
          <w:tcPr>
            <w:tcW w:w="2000" w:type="dxa"/>
            <w:vAlign w:val="bottom"/>
            <w:gridSpan w:val="3"/>
            <w:vMerge w:val="restart"/>
          </w:tcPr>
          <w:p>
            <w:pPr>
              <w:jc w:val="center"/>
              <w:ind w:right="118"/>
              <w:spacing w:after="0"/>
              <w:rPr>
                <w:sz w:val="20"/>
                <w:szCs w:val="20"/>
                <w:color w:val="auto"/>
              </w:rPr>
            </w:pPr>
            <w:r>
              <w:rPr>
                <w:rFonts w:ascii="Times New Roman" w:cs="Times New Roman" w:eastAsia="Times New Roman" w:hAnsi="Times New Roman"/>
                <w:sz w:val="20"/>
                <w:szCs w:val="20"/>
                <w:b w:val="1"/>
                <w:bCs w:val="1"/>
                <w:color w:val="auto"/>
              </w:rPr>
              <w:t>For the nine</w:t>
            </w:r>
          </w:p>
        </w:tc>
        <w:tc>
          <w:tcPr>
            <w:tcW w:w="0" w:type="dxa"/>
            <w:vAlign w:val="bottom"/>
          </w:tcPr>
          <w:p>
            <w:pPr>
              <w:spacing w:after="0"/>
              <w:rPr>
                <w:sz w:val="1"/>
                <w:szCs w:val="1"/>
                <w:color w:val="auto"/>
              </w:rPr>
            </w:pPr>
          </w:p>
        </w:tc>
      </w:tr>
      <w:tr>
        <w:trPr>
          <w:trHeight w:val="214"/>
        </w:trPr>
        <w:tc>
          <w:tcPr>
            <w:tcW w:w="1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gridSpan w:val="4"/>
            <w:vMerge w:val="continue"/>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gridSpan w:val="4"/>
            <w:vMerge w:val="continue"/>
          </w:tcPr>
          <w:p>
            <w:pPr>
              <w:spacing w:after="0"/>
              <w:rPr>
                <w:sz w:val="18"/>
                <w:szCs w:val="18"/>
                <w:color w:val="auto"/>
              </w:rPr>
            </w:pPr>
          </w:p>
        </w:tc>
        <w:tc>
          <w:tcPr>
            <w:tcW w:w="240" w:type="dxa"/>
            <w:vAlign w:val="bottom"/>
          </w:tcPr>
          <w:p>
            <w:pPr>
              <w:spacing w:after="0"/>
              <w:rPr>
                <w:sz w:val="18"/>
                <w:szCs w:val="18"/>
                <w:color w:val="auto"/>
              </w:rPr>
            </w:pPr>
          </w:p>
        </w:tc>
        <w:tc>
          <w:tcPr>
            <w:tcW w:w="2100" w:type="dxa"/>
            <w:vAlign w:val="bottom"/>
            <w:gridSpan w:val="4"/>
            <w:vMerge w:val="continue"/>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1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gridSpan w:val="2"/>
          </w:tcPr>
          <w:p>
            <w:pPr>
              <w:jc w:val="center"/>
              <w:ind w:left="518"/>
              <w:spacing w:after="0"/>
              <w:rPr>
                <w:sz w:val="20"/>
                <w:szCs w:val="20"/>
                <w:color w:val="auto"/>
              </w:rPr>
            </w:pPr>
            <w:r>
              <w:rPr>
                <w:rFonts w:ascii="Times New Roman" w:cs="Times New Roman" w:eastAsia="Times New Roman" w:hAnsi="Times New Roman"/>
                <w:sz w:val="20"/>
                <w:szCs w:val="20"/>
                <w:b w:val="1"/>
                <w:bCs w:val="1"/>
                <w:color w:val="auto"/>
              </w:rPr>
              <w:t>ended</w:t>
            </w: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gridSpan w:val="2"/>
          </w:tcPr>
          <w:p>
            <w:pPr>
              <w:jc w:val="center"/>
              <w:ind w:left="498"/>
              <w:spacing w:after="0"/>
              <w:rPr>
                <w:sz w:val="20"/>
                <w:szCs w:val="20"/>
                <w:color w:val="auto"/>
              </w:rPr>
            </w:pPr>
            <w:r>
              <w:rPr>
                <w:rFonts w:ascii="Times New Roman" w:cs="Times New Roman" w:eastAsia="Times New Roman" w:hAnsi="Times New Roman"/>
                <w:sz w:val="20"/>
                <w:szCs w:val="20"/>
                <w:b w:val="1"/>
                <w:bCs w:val="1"/>
                <w:color w:val="auto"/>
              </w:rPr>
              <w:t>ended</w:t>
            </w: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100" w:type="dxa"/>
            <w:vAlign w:val="bottom"/>
            <w:gridSpan w:val="4"/>
          </w:tcPr>
          <w:p>
            <w:pPr>
              <w:jc w:val="center"/>
              <w:ind w:right="320"/>
              <w:spacing w:after="0"/>
              <w:rPr>
                <w:sz w:val="20"/>
                <w:szCs w:val="20"/>
                <w:color w:val="auto"/>
              </w:rPr>
            </w:pPr>
            <w:r>
              <w:rPr>
                <w:rFonts w:ascii="Times New Roman" w:cs="Times New Roman" w:eastAsia="Times New Roman" w:hAnsi="Times New Roman"/>
                <w:sz w:val="20"/>
                <w:szCs w:val="20"/>
                <w:b w:val="1"/>
                <w:bCs w:val="1"/>
                <w:color w:val="auto"/>
              </w:rPr>
              <w:t>months ended</w:t>
            </w:r>
          </w:p>
        </w:tc>
        <w:tc>
          <w:tcPr>
            <w:tcW w:w="220" w:type="dxa"/>
            <w:vAlign w:val="bottom"/>
          </w:tcPr>
          <w:p>
            <w:pPr>
              <w:spacing w:after="0"/>
              <w:rPr>
                <w:sz w:val="22"/>
                <w:szCs w:val="22"/>
                <w:color w:val="auto"/>
              </w:rPr>
            </w:pPr>
          </w:p>
        </w:tc>
        <w:tc>
          <w:tcPr>
            <w:tcW w:w="2000" w:type="dxa"/>
            <w:vAlign w:val="bottom"/>
            <w:gridSpan w:val="3"/>
          </w:tcPr>
          <w:p>
            <w:pPr>
              <w:jc w:val="center"/>
              <w:ind w:right="118"/>
              <w:spacing w:after="0"/>
              <w:rPr>
                <w:sz w:val="20"/>
                <w:szCs w:val="20"/>
                <w:color w:val="auto"/>
              </w:rPr>
            </w:pPr>
            <w:r>
              <w:rPr>
                <w:rFonts w:ascii="Times New Roman" w:cs="Times New Roman" w:eastAsia="Times New Roman" w:hAnsi="Times New Roman"/>
                <w:sz w:val="20"/>
                <w:szCs w:val="20"/>
                <w:b w:val="1"/>
                <w:bCs w:val="1"/>
                <w:color w:val="auto"/>
              </w:rPr>
              <w:t>months ended</w:t>
            </w:r>
          </w:p>
        </w:tc>
        <w:tc>
          <w:tcPr>
            <w:tcW w:w="0" w:type="dxa"/>
            <w:vAlign w:val="bottom"/>
          </w:tcPr>
          <w:p>
            <w:pPr>
              <w:spacing w:after="0"/>
              <w:rPr>
                <w:sz w:val="1"/>
                <w:szCs w:val="1"/>
                <w:color w:val="auto"/>
              </w:rPr>
            </w:pPr>
          </w:p>
        </w:tc>
      </w:tr>
      <w:tr>
        <w:trPr>
          <w:trHeight w:val="229"/>
        </w:trPr>
        <w:tc>
          <w:tcPr>
            <w:tcW w:w="18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(In thousands of</w:t>
            </w:r>
          </w:p>
        </w:tc>
        <w:tc>
          <w:tcPr>
            <w:tcW w:w="14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February 28,</w:t>
            </w:r>
          </w:p>
        </w:tc>
        <w:tc>
          <w:tcPr>
            <w:tcW w:w="920" w:type="dxa"/>
            <w:vAlign w:val="bottom"/>
            <w:gridSpan w:val="2"/>
          </w:tcPr>
          <w:p>
            <w:pPr>
              <w:jc w:val="center"/>
              <w:ind w:right="100"/>
              <w:spacing w:after="0" w:line="229" w:lineRule="exact"/>
              <w:rPr>
                <w:sz w:val="20"/>
                <w:szCs w:val="20"/>
                <w:color w:val="auto"/>
              </w:rPr>
            </w:pPr>
            <w:r>
              <w:rPr>
                <w:rFonts w:ascii="Times New Roman" w:cs="Times New Roman" w:eastAsia="Times New Roman" w:hAnsi="Times New Roman"/>
                <w:sz w:val="20"/>
                <w:szCs w:val="20"/>
                <w:b w:val="1"/>
                <w:bCs w:val="1"/>
                <w:color w:val="auto"/>
              </w:rPr>
              <w:t>% of</w:t>
            </w:r>
          </w:p>
        </w:tc>
        <w:tc>
          <w:tcPr>
            <w:tcW w:w="14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February 29,</w:t>
            </w:r>
          </w:p>
        </w:tc>
        <w:tc>
          <w:tcPr>
            <w:tcW w:w="900" w:type="dxa"/>
            <w:vAlign w:val="bottom"/>
            <w:gridSpan w:val="2"/>
          </w:tcPr>
          <w:p>
            <w:pPr>
              <w:jc w:val="center"/>
              <w:ind w:right="80"/>
              <w:spacing w:after="0" w:line="229" w:lineRule="exact"/>
              <w:rPr>
                <w:sz w:val="20"/>
                <w:szCs w:val="20"/>
                <w:color w:val="auto"/>
              </w:rPr>
            </w:pPr>
            <w:r>
              <w:rPr>
                <w:rFonts w:ascii="Times New Roman" w:cs="Times New Roman" w:eastAsia="Times New Roman" w:hAnsi="Times New Roman"/>
                <w:sz w:val="20"/>
                <w:szCs w:val="20"/>
                <w:b w:val="1"/>
                <w:bCs w:val="1"/>
                <w:color w:val="auto"/>
              </w:rPr>
              <w:t>% of</w:t>
            </w:r>
          </w:p>
        </w:tc>
        <w:tc>
          <w:tcPr>
            <w:tcW w:w="14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February 28,</w:t>
            </w:r>
          </w:p>
        </w:tc>
        <w:tc>
          <w:tcPr>
            <w:tcW w:w="900" w:type="dxa"/>
            <w:vAlign w:val="bottom"/>
            <w:gridSpan w:val="2"/>
          </w:tcPr>
          <w:p>
            <w:pPr>
              <w:jc w:val="center"/>
              <w:ind w:right="80"/>
              <w:spacing w:after="0" w:line="229" w:lineRule="exact"/>
              <w:rPr>
                <w:sz w:val="20"/>
                <w:szCs w:val="20"/>
                <w:color w:val="auto"/>
              </w:rPr>
            </w:pPr>
            <w:r>
              <w:rPr>
                <w:rFonts w:ascii="Times New Roman" w:cs="Times New Roman" w:eastAsia="Times New Roman" w:hAnsi="Times New Roman"/>
                <w:sz w:val="20"/>
                <w:szCs w:val="20"/>
                <w:b w:val="1"/>
                <w:bCs w:val="1"/>
                <w:color w:val="auto"/>
              </w:rPr>
              <w:t>% of</w:t>
            </w:r>
          </w:p>
        </w:tc>
        <w:tc>
          <w:tcPr>
            <w:tcW w:w="140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February 29,</w:t>
            </w:r>
          </w:p>
        </w:tc>
        <w:tc>
          <w:tcPr>
            <w:tcW w:w="820" w:type="dxa"/>
            <w:vAlign w:val="bottom"/>
          </w:tcPr>
          <w:p>
            <w:pPr>
              <w:jc w:val="center"/>
              <w:spacing w:after="0" w:line="229" w:lineRule="exact"/>
              <w:rPr>
                <w:sz w:val="20"/>
                <w:szCs w:val="20"/>
                <w:color w:val="auto"/>
              </w:rPr>
            </w:pPr>
            <w:r>
              <w:rPr>
                <w:rFonts w:ascii="Times New Roman" w:cs="Times New Roman" w:eastAsia="Times New Roman" w:hAnsi="Times New Roman"/>
                <w:sz w:val="20"/>
                <w:szCs w:val="20"/>
                <w:b w:val="1"/>
                <w:bCs w:val="1"/>
                <w:color w:val="auto"/>
              </w:rPr>
              <w:t>% of</w:t>
            </w:r>
          </w:p>
        </w:tc>
        <w:tc>
          <w:tcPr>
            <w:tcW w:w="0" w:type="dxa"/>
            <w:vAlign w:val="bottom"/>
          </w:tcPr>
          <w:p>
            <w:pPr>
              <w:spacing w:after="0"/>
              <w:rPr>
                <w:sz w:val="1"/>
                <w:szCs w:val="1"/>
                <w:color w:val="auto"/>
              </w:rPr>
            </w:pPr>
          </w:p>
        </w:tc>
      </w:tr>
      <w:tr>
        <w:trPr>
          <w:trHeight w:val="114"/>
        </w:trPr>
        <w:tc>
          <w:tcPr>
            <w:tcW w:w="1880" w:type="dxa"/>
            <w:vAlign w:val="bottom"/>
            <w:vMerge w:val="continue"/>
          </w:tcPr>
          <w:p>
            <w:pPr>
              <w:spacing w:after="0"/>
              <w:rPr>
                <w:sz w:val="9"/>
                <w:szCs w:val="9"/>
                <w:color w:val="auto"/>
              </w:rPr>
            </w:pPr>
          </w:p>
        </w:tc>
        <w:tc>
          <w:tcPr>
            <w:tcW w:w="1460" w:type="dxa"/>
            <w:vAlign w:val="bottom"/>
            <w:gridSpan w:val="3"/>
            <w:vMerge w:val="continue"/>
          </w:tcPr>
          <w:p>
            <w:pPr>
              <w:spacing w:after="0"/>
              <w:rPr>
                <w:sz w:val="9"/>
                <w:szCs w:val="9"/>
                <w:color w:val="auto"/>
              </w:rPr>
            </w:pPr>
          </w:p>
        </w:tc>
        <w:tc>
          <w:tcPr>
            <w:tcW w:w="920" w:type="dxa"/>
            <w:vAlign w:val="bottom"/>
            <w:gridSpan w:val="2"/>
            <w:vMerge w:val="restart"/>
          </w:tcPr>
          <w:p>
            <w:pPr>
              <w:jc w:val="center"/>
              <w:ind w:right="80"/>
              <w:spacing w:after="0" w:line="229" w:lineRule="exact"/>
              <w:rPr>
                <w:sz w:val="20"/>
                <w:szCs w:val="20"/>
                <w:color w:val="auto"/>
              </w:rPr>
            </w:pPr>
            <w:r>
              <w:rPr>
                <w:rFonts w:ascii="Times New Roman" w:cs="Times New Roman" w:eastAsia="Times New Roman" w:hAnsi="Times New Roman"/>
                <w:sz w:val="20"/>
                <w:szCs w:val="20"/>
                <w:b w:val="1"/>
                <w:bCs w:val="1"/>
                <w:color w:val="auto"/>
                <w:w w:val="96"/>
              </w:rPr>
              <w:t>Total</w:t>
            </w:r>
          </w:p>
        </w:tc>
        <w:tc>
          <w:tcPr>
            <w:tcW w:w="1440" w:type="dxa"/>
            <w:vAlign w:val="bottom"/>
            <w:gridSpan w:val="3"/>
            <w:vMerge w:val="continue"/>
          </w:tcPr>
          <w:p>
            <w:pPr>
              <w:spacing w:after="0"/>
              <w:rPr>
                <w:sz w:val="9"/>
                <w:szCs w:val="9"/>
                <w:color w:val="auto"/>
              </w:rPr>
            </w:pPr>
          </w:p>
        </w:tc>
        <w:tc>
          <w:tcPr>
            <w:tcW w:w="900" w:type="dxa"/>
            <w:vAlign w:val="bottom"/>
            <w:gridSpan w:val="2"/>
            <w:vMerge w:val="restart"/>
          </w:tcPr>
          <w:p>
            <w:pPr>
              <w:jc w:val="center"/>
              <w:ind w:right="60"/>
              <w:spacing w:after="0" w:line="229" w:lineRule="exact"/>
              <w:rPr>
                <w:sz w:val="20"/>
                <w:szCs w:val="20"/>
                <w:color w:val="auto"/>
              </w:rPr>
            </w:pPr>
            <w:r>
              <w:rPr>
                <w:rFonts w:ascii="Times New Roman" w:cs="Times New Roman" w:eastAsia="Times New Roman" w:hAnsi="Times New Roman"/>
                <w:sz w:val="20"/>
                <w:szCs w:val="20"/>
                <w:b w:val="1"/>
                <w:bCs w:val="1"/>
                <w:color w:val="auto"/>
                <w:w w:val="96"/>
              </w:rPr>
              <w:t>Total</w:t>
            </w:r>
          </w:p>
        </w:tc>
        <w:tc>
          <w:tcPr>
            <w:tcW w:w="1440" w:type="dxa"/>
            <w:vAlign w:val="bottom"/>
            <w:gridSpan w:val="3"/>
            <w:vMerge w:val="continue"/>
          </w:tcPr>
          <w:p>
            <w:pPr>
              <w:spacing w:after="0"/>
              <w:rPr>
                <w:sz w:val="9"/>
                <w:szCs w:val="9"/>
                <w:color w:val="auto"/>
              </w:rPr>
            </w:pPr>
          </w:p>
        </w:tc>
        <w:tc>
          <w:tcPr>
            <w:tcW w:w="900" w:type="dxa"/>
            <w:vAlign w:val="bottom"/>
            <w:gridSpan w:val="2"/>
            <w:vMerge w:val="restart"/>
          </w:tcPr>
          <w:p>
            <w:pPr>
              <w:jc w:val="center"/>
              <w:ind w:right="80"/>
              <w:spacing w:after="0" w:line="229" w:lineRule="exact"/>
              <w:rPr>
                <w:sz w:val="20"/>
                <w:szCs w:val="20"/>
                <w:color w:val="auto"/>
              </w:rPr>
            </w:pPr>
            <w:r>
              <w:rPr>
                <w:rFonts w:ascii="Times New Roman" w:cs="Times New Roman" w:eastAsia="Times New Roman" w:hAnsi="Times New Roman"/>
                <w:sz w:val="20"/>
                <w:szCs w:val="20"/>
                <w:b w:val="1"/>
                <w:bCs w:val="1"/>
                <w:color w:val="auto"/>
              </w:rPr>
              <w:t>Total</w:t>
            </w:r>
          </w:p>
        </w:tc>
        <w:tc>
          <w:tcPr>
            <w:tcW w:w="1400" w:type="dxa"/>
            <w:vAlign w:val="bottom"/>
            <w:gridSpan w:val="3"/>
            <w:vMerge w:val="continue"/>
          </w:tcPr>
          <w:p>
            <w:pPr>
              <w:spacing w:after="0"/>
              <w:rPr>
                <w:sz w:val="9"/>
                <w:szCs w:val="9"/>
                <w:color w:val="auto"/>
              </w:rPr>
            </w:pPr>
          </w:p>
        </w:tc>
        <w:tc>
          <w:tcPr>
            <w:tcW w:w="820" w:type="dxa"/>
            <w:vAlign w:val="bottom"/>
            <w:vMerge w:val="restart"/>
          </w:tcPr>
          <w:p>
            <w:pPr>
              <w:jc w:val="center"/>
              <w:spacing w:after="0" w:line="229" w:lineRule="exact"/>
              <w:rPr>
                <w:sz w:val="20"/>
                <w:szCs w:val="20"/>
                <w:color w:val="auto"/>
              </w:rPr>
            </w:pPr>
            <w:r>
              <w:rPr>
                <w:rFonts w:ascii="Times New Roman" w:cs="Times New Roman" w:eastAsia="Times New Roman" w:hAnsi="Times New Roman"/>
                <w:sz w:val="20"/>
                <w:szCs w:val="20"/>
                <w:b w:val="1"/>
                <w:bCs w:val="1"/>
                <w:color w:val="auto"/>
              </w:rPr>
              <w:t>Total</w:t>
            </w:r>
          </w:p>
        </w:tc>
        <w:tc>
          <w:tcPr>
            <w:tcW w:w="0" w:type="dxa"/>
            <w:vAlign w:val="bottom"/>
          </w:tcPr>
          <w:p>
            <w:pPr>
              <w:spacing w:after="0"/>
              <w:rPr>
                <w:sz w:val="1"/>
                <w:szCs w:val="1"/>
                <w:color w:val="auto"/>
              </w:rPr>
            </w:pPr>
          </w:p>
        </w:tc>
      </w:tr>
      <w:tr>
        <w:trPr>
          <w:trHeight w:val="114"/>
        </w:trPr>
        <w:tc>
          <w:tcPr>
            <w:tcW w:w="18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U.S. dollars)</w:t>
            </w:r>
          </w:p>
        </w:tc>
        <w:tc>
          <w:tcPr>
            <w:tcW w:w="200" w:type="dxa"/>
            <w:vAlign w:val="bottom"/>
          </w:tcPr>
          <w:p>
            <w:pPr>
              <w:spacing w:after="0"/>
              <w:rPr>
                <w:sz w:val="9"/>
                <w:szCs w:val="9"/>
                <w:color w:val="auto"/>
              </w:rPr>
            </w:pPr>
          </w:p>
        </w:tc>
        <w:tc>
          <w:tcPr>
            <w:tcW w:w="1180" w:type="dxa"/>
            <w:vAlign w:val="bottom"/>
            <w:vMerge w:val="restart"/>
          </w:tcPr>
          <w:p>
            <w:pPr>
              <w:jc w:val="center"/>
              <w:ind w:right="98"/>
              <w:spacing w:after="0"/>
              <w:rPr>
                <w:sz w:val="20"/>
                <w:szCs w:val="20"/>
                <w:color w:val="auto"/>
              </w:rPr>
            </w:pPr>
            <w:r>
              <w:rPr>
                <w:rFonts w:ascii="Times New Roman" w:cs="Times New Roman" w:eastAsia="Times New Roman" w:hAnsi="Times New Roman"/>
                <w:sz w:val="20"/>
                <w:szCs w:val="20"/>
                <w:b w:val="1"/>
                <w:bCs w:val="1"/>
                <w:color w:val="auto"/>
              </w:rPr>
              <w:t>2025</w:t>
            </w:r>
          </w:p>
        </w:tc>
        <w:tc>
          <w:tcPr>
            <w:tcW w:w="8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vMerge w:val="restart"/>
          </w:tcPr>
          <w:p>
            <w:pPr>
              <w:jc w:val="center"/>
              <w:ind w:right="98"/>
              <w:spacing w:after="0"/>
              <w:rPr>
                <w:sz w:val="20"/>
                <w:szCs w:val="20"/>
                <w:color w:val="auto"/>
              </w:rPr>
            </w:pPr>
            <w:r>
              <w:rPr>
                <w:rFonts w:ascii="Times New Roman" w:cs="Times New Roman" w:eastAsia="Times New Roman" w:hAnsi="Times New Roman"/>
                <w:sz w:val="20"/>
                <w:szCs w:val="20"/>
                <w:b w:val="1"/>
                <w:bCs w:val="1"/>
                <w:color w:val="auto"/>
                <w:w w:val="99"/>
              </w:rPr>
              <w:t>2024</w:t>
            </w:r>
          </w:p>
        </w:tc>
        <w:tc>
          <w:tcPr>
            <w:tcW w:w="8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vMerge w:val="restart"/>
          </w:tcPr>
          <w:p>
            <w:pPr>
              <w:jc w:val="center"/>
              <w:ind w:right="138"/>
              <w:spacing w:after="0"/>
              <w:rPr>
                <w:sz w:val="20"/>
                <w:szCs w:val="20"/>
                <w:color w:val="auto"/>
              </w:rPr>
            </w:pPr>
            <w:r>
              <w:rPr>
                <w:rFonts w:ascii="Times New Roman" w:cs="Times New Roman" w:eastAsia="Times New Roman" w:hAnsi="Times New Roman"/>
                <w:sz w:val="20"/>
                <w:szCs w:val="20"/>
                <w:b w:val="1"/>
                <w:bCs w:val="1"/>
                <w:color w:val="auto"/>
                <w:w w:val="99"/>
              </w:rPr>
              <w:t>2025</w:t>
            </w:r>
          </w:p>
        </w:tc>
        <w:tc>
          <w:tcPr>
            <w:tcW w:w="8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vMerge w:val="restart"/>
          </w:tcPr>
          <w:p>
            <w:pPr>
              <w:jc w:val="center"/>
              <w:ind w:right="138"/>
              <w:spacing w:after="0"/>
              <w:rPr>
                <w:sz w:val="20"/>
                <w:szCs w:val="20"/>
                <w:color w:val="auto"/>
              </w:rPr>
            </w:pPr>
            <w:r>
              <w:rPr>
                <w:rFonts w:ascii="Times New Roman" w:cs="Times New Roman" w:eastAsia="Times New Roman" w:hAnsi="Times New Roman"/>
                <w:sz w:val="20"/>
                <w:szCs w:val="20"/>
                <w:b w:val="1"/>
                <w:bCs w:val="1"/>
                <w:color w:val="auto"/>
                <w:w w:val="99"/>
              </w:rPr>
              <w:t>2024</w:t>
            </w:r>
          </w:p>
        </w:tc>
        <w:tc>
          <w:tcPr>
            <w:tcW w:w="6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8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Revenue</w:t>
            </w:r>
          </w:p>
        </w:tc>
        <w:tc>
          <w:tcPr>
            <w:tcW w:w="20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Revenue</w:t>
            </w:r>
          </w:p>
        </w:tc>
        <w:tc>
          <w:tcPr>
            <w:tcW w:w="24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Revenue</w:t>
            </w:r>
          </w:p>
        </w:tc>
        <w:tc>
          <w:tcPr>
            <w:tcW w:w="22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rPr>
              <w:t>Revenue</w:t>
            </w:r>
          </w:p>
        </w:tc>
        <w:tc>
          <w:tcPr>
            <w:tcW w:w="0" w:type="dxa"/>
            <w:vAlign w:val="bottom"/>
          </w:tcPr>
          <w:p>
            <w:pPr>
              <w:spacing w:after="0"/>
              <w:rPr>
                <w:sz w:val="1"/>
                <w:szCs w:val="1"/>
                <w:color w:val="auto"/>
              </w:rPr>
            </w:pPr>
          </w:p>
        </w:tc>
      </w:tr>
      <w:tr>
        <w:trPr>
          <w:trHeight w:val="115"/>
        </w:trPr>
        <w:tc>
          <w:tcPr>
            <w:tcW w:w="18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Revenue from</w:t>
            </w:r>
          </w:p>
        </w:tc>
        <w:tc>
          <w:tcPr>
            <w:tcW w:w="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7"/>
        </w:trPr>
        <w:tc>
          <w:tcPr>
            <w:tcW w:w="1880" w:type="dxa"/>
            <w:vAlign w:val="bottom"/>
            <w:vMerge w:val="continue"/>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88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Canadian medical</w:t>
            </w:r>
          </w:p>
        </w:tc>
        <w:tc>
          <w:tcPr>
            <w:tcW w:w="20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ind w:right="38"/>
              <w:spacing w:after="0" w:line="229" w:lineRule="exact"/>
              <w:rPr>
                <w:sz w:val="20"/>
                <w:szCs w:val="20"/>
                <w:color w:val="auto"/>
              </w:rPr>
            </w:pPr>
            <w:r>
              <w:rPr>
                <w:rFonts w:ascii="Times New Roman" w:cs="Times New Roman" w:eastAsia="Times New Roman" w:hAnsi="Times New Roman"/>
                <w:sz w:val="20"/>
                <w:szCs w:val="20"/>
                <w:color w:val="auto"/>
              </w:rPr>
              <w:t>5,839</w:t>
            </w:r>
          </w:p>
        </w:tc>
        <w:tc>
          <w:tcPr>
            <w:tcW w:w="80" w:type="dxa"/>
            <w:vAlign w:val="bottom"/>
          </w:tcPr>
          <w:p>
            <w:pPr>
              <w:spacing w:after="0"/>
              <w:rPr>
                <w:sz w:val="19"/>
                <w:szCs w:val="19"/>
                <w:color w:val="auto"/>
              </w:rPr>
            </w:pPr>
          </w:p>
        </w:tc>
        <w:tc>
          <w:tcPr>
            <w:tcW w:w="840" w:type="dxa"/>
            <w:vAlign w:val="bottom"/>
          </w:tcPr>
          <w:p>
            <w:pPr>
              <w:jc w:val="right"/>
              <w:ind w:right="98"/>
              <w:spacing w:after="0" w:line="229" w:lineRule="exact"/>
              <w:rPr>
                <w:sz w:val="20"/>
                <w:szCs w:val="20"/>
                <w:color w:val="auto"/>
              </w:rPr>
            </w:pPr>
            <w:r>
              <w:rPr>
                <w:rFonts w:ascii="Times New Roman" w:cs="Times New Roman" w:eastAsia="Times New Roman" w:hAnsi="Times New Roman"/>
                <w:sz w:val="20"/>
                <w:szCs w:val="20"/>
                <w:color w:val="auto"/>
              </w:rPr>
              <w:t>11%</w:t>
            </w:r>
          </w:p>
        </w:tc>
        <w:tc>
          <w:tcPr>
            <w:tcW w:w="80" w:type="dxa"/>
            <w:vAlign w:val="bottom"/>
          </w:tcPr>
          <w:p>
            <w:pPr>
              <w:spacing w:after="0"/>
              <w:rPr>
                <w:sz w:val="19"/>
                <w:szCs w:val="19"/>
                <w:color w:val="auto"/>
              </w:rPr>
            </w:pPr>
          </w:p>
        </w:tc>
        <w:tc>
          <w:tcPr>
            <w:tcW w:w="20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ind w:right="38"/>
              <w:spacing w:after="0" w:line="229" w:lineRule="exact"/>
              <w:rPr>
                <w:sz w:val="20"/>
                <w:szCs w:val="20"/>
                <w:color w:val="auto"/>
              </w:rPr>
            </w:pPr>
            <w:r>
              <w:rPr>
                <w:rFonts w:ascii="Times New Roman" w:cs="Times New Roman" w:eastAsia="Times New Roman" w:hAnsi="Times New Roman"/>
                <w:sz w:val="20"/>
                <w:szCs w:val="20"/>
                <w:color w:val="auto"/>
              </w:rPr>
              <w:t>6,363</w:t>
            </w:r>
          </w:p>
        </w:tc>
        <w:tc>
          <w:tcPr>
            <w:tcW w:w="80" w:type="dxa"/>
            <w:vAlign w:val="bottom"/>
          </w:tcPr>
          <w:p>
            <w:pPr>
              <w:spacing w:after="0"/>
              <w:rPr>
                <w:sz w:val="19"/>
                <w:szCs w:val="19"/>
                <w:color w:val="auto"/>
              </w:rPr>
            </w:pPr>
          </w:p>
        </w:tc>
        <w:tc>
          <w:tcPr>
            <w:tcW w:w="820" w:type="dxa"/>
            <w:vAlign w:val="bottom"/>
          </w:tcPr>
          <w:p>
            <w:pPr>
              <w:jc w:val="right"/>
              <w:ind w:right="98"/>
              <w:spacing w:after="0" w:line="229" w:lineRule="exact"/>
              <w:rPr>
                <w:sz w:val="20"/>
                <w:szCs w:val="20"/>
                <w:color w:val="auto"/>
              </w:rPr>
            </w:pPr>
            <w:r>
              <w:rPr>
                <w:rFonts w:ascii="Times New Roman" w:cs="Times New Roman" w:eastAsia="Times New Roman" w:hAnsi="Times New Roman"/>
                <w:sz w:val="20"/>
                <w:szCs w:val="20"/>
                <w:color w:val="auto"/>
              </w:rPr>
              <w:t>10%</w:t>
            </w:r>
          </w:p>
        </w:tc>
        <w:tc>
          <w:tcPr>
            <w:tcW w:w="80" w:type="dxa"/>
            <w:vAlign w:val="bottom"/>
          </w:tcPr>
          <w:p>
            <w:pPr>
              <w:spacing w:after="0"/>
              <w:rPr>
                <w:sz w:val="19"/>
                <w:szCs w:val="19"/>
                <w:color w:val="auto"/>
              </w:rPr>
            </w:pPr>
          </w:p>
        </w:tc>
        <w:tc>
          <w:tcPr>
            <w:tcW w:w="24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ind w:right="38"/>
              <w:spacing w:after="0" w:line="229" w:lineRule="exact"/>
              <w:rPr>
                <w:sz w:val="20"/>
                <w:szCs w:val="20"/>
                <w:color w:val="auto"/>
              </w:rPr>
            </w:pPr>
            <w:r>
              <w:rPr>
                <w:rFonts w:ascii="Times New Roman" w:cs="Times New Roman" w:eastAsia="Times New Roman" w:hAnsi="Times New Roman"/>
                <w:sz w:val="20"/>
                <w:szCs w:val="20"/>
                <w:color w:val="auto"/>
              </w:rPr>
              <w:t>18,773</w:t>
            </w:r>
          </w:p>
        </w:tc>
        <w:tc>
          <w:tcPr>
            <w:tcW w:w="80" w:type="dxa"/>
            <w:vAlign w:val="bottom"/>
          </w:tcPr>
          <w:p>
            <w:pPr>
              <w:spacing w:after="0"/>
              <w:rPr>
                <w:sz w:val="19"/>
                <w:szCs w:val="19"/>
                <w:color w:val="auto"/>
              </w:rPr>
            </w:pPr>
          </w:p>
        </w:tc>
        <w:tc>
          <w:tcPr>
            <w:tcW w:w="820" w:type="dxa"/>
            <w:vAlign w:val="bottom"/>
          </w:tcPr>
          <w:p>
            <w:pPr>
              <w:jc w:val="right"/>
              <w:ind w:right="98"/>
              <w:spacing w:after="0" w:line="229" w:lineRule="exact"/>
              <w:rPr>
                <w:sz w:val="20"/>
                <w:szCs w:val="20"/>
                <w:color w:val="auto"/>
              </w:rPr>
            </w:pPr>
            <w:r>
              <w:rPr>
                <w:rFonts w:ascii="Times New Roman" w:cs="Times New Roman" w:eastAsia="Times New Roman" w:hAnsi="Times New Roman"/>
                <w:sz w:val="20"/>
                <w:szCs w:val="20"/>
                <w:color w:val="auto"/>
              </w:rPr>
              <w:t>10%</w:t>
            </w:r>
          </w:p>
        </w:tc>
        <w:tc>
          <w:tcPr>
            <w:tcW w:w="80" w:type="dxa"/>
            <w:vAlign w:val="bottom"/>
          </w:tcPr>
          <w:p>
            <w:pPr>
              <w:spacing w:after="0"/>
              <w:rPr>
                <w:sz w:val="19"/>
                <w:szCs w:val="19"/>
                <w:color w:val="auto"/>
              </w:rPr>
            </w:pPr>
          </w:p>
        </w:tc>
        <w:tc>
          <w:tcPr>
            <w:tcW w:w="22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ind w:right="38"/>
              <w:spacing w:after="0" w:line="229" w:lineRule="exact"/>
              <w:rPr>
                <w:sz w:val="20"/>
                <w:szCs w:val="20"/>
                <w:color w:val="auto"/>
              </w:rPr>
            </w:pPr>
            <w:r>
              <w:rPr>
                <w:rFonts w:ascii="Times New Roman" w:cs="Times New Roman" w:eastAsia="Times New Roman" w:hAnsi="Times New Roman"/>
                <w:sz w:val="20"/>
                <w:szCs w:val="20"/>
                <w:color w:val="auto"/>
              </w:rPr>
              <w:t>18,793</w:t>
            </w:r>
          </w:p>
        </w:tc>
        <w:tc>
          <w:tcPr>
            <w:tcW w:w="60" w:type="dxa"/>
            <w:vAlign w:val="bottom"/>
          </w:tcPr>
          <w:p>
            <w:pPr>
              <w:spacing w:after="0"/>
              <w:rPr>
                <w:sz w:val="19"/>
                <w:szCs w:val="19"/>
                <w:color w:val="auto"/>
              </w:rPr>
            </w:pPr>
          </w:p>
        </w:tc>
        <w:tc>
          <w:tcPr>
            <w:tcW w:w="820" w:type="dxa"/>
            <w:vAlign w:val="bottom"/>
          </w:tcPr>
          <w:p>
            <w:pPr>
              <w:jc w:val="right"/>
              <w:ind w:right="98"/>
              <w:spacing w:after="0" w:line="229" w:lineRule="exact"/>
              <w:rPr>
                <w:sz w:val="20"/>
                <w:szCs w:val="20"/>
                <w:color w:val="auto"/>
              </w:rPr>
            </w:pPr>
            <w:r>
              <w:rPr>
                <w:rFonts w:ascii="Times New Roman" w:cs="Times New Roman" w:eastAsia="Times New Roman" w:hAnsi="Times New Roman"/>
                <w:sz w:val="20"/>
                <w:szCs w:val="20"/>
                <w:color w:val="auto"/>
              </w:rPr>
              <w:t>9%</w:t>
            </w:r>
          </w:p>
        </w:tc>
        <w:tc>
          <w:tcPr>
            <w:tcW w:w="0" w:type="dxa"/>
            <w:vAlign w:val="bottom"/>
          </w:tcPr>
          <w:p>
            <w:pPr>
              <w:spacing w:after="0"/>
              <w:rPr>
                <w:sz w:val="1"/>
                <w:szCs w:val="1"/>
                <w:color w:val="auto"/>
              </w:rPr>
            </w:pPr>
          </w:p>
        </w:tc>
      </w:tr>
      <w:tr>
        <w:trPr>
          <w:trHeight w:val="254"/>
        </w:trPr>
        <w:tc>
          <w:tcPr>
            <w:tcW w:w="1880" w:type="dxa"/>
            <w:vAlign w:val="bottom"/>
          </w:tcPr>
          <w:p>
            <w:pPr>
              <w:spacing w:after="0"/>
              <w:rPr>
                <w:sz w:val="20"/>
                <w:szCs w:val="20"/>
                <w:color w:val="auto"/>
              </w:rPr>
            </w:pPr>
            <w:r>
              <w:rPr>
                <w:rFonts w:ascii="Times New Roman" w:cs="Times New Roman" w:eastAsia="Times New Roman" w:hAnsi="Times New Roman"/>
                <w:sz w:val="20"/>
                <w:szCs w:val="20"/>
                <w:color w:val="auto"/>
              </w:rPr>
              <w:t>cannabis</w:t>
            </w: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88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Revenue from</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8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Canadian adult-use</w:t>
            </w:r>
          </w:p>
        </w:tc>
        <w:tc>
          <w:tcPr>
            <w:tcW w:w="200" w:type="dxa"/>
            <w:vAlign w:val="bottom"/>
          </w:tcPr>
          <w:p>
            <w:pPr>
              <w:spacing w:after="0"/>
              <w:rPr>
                <w:sz w:val="19"/>
                <w:szCs w:val="19"/>
                <w:color w:val="auto"/>
              </w:rPr>
            </w:pPr>
          </w:p>
        </w:tc>
        <w:tc>
          <w:tcPr>
            <w:tcW w:w="1180" w:type="dxa"/>
            <w:vAlign w:val="bottom"/>
          </w:tcPr>
          <w:p>
            <w:pPr>
              <w:jc w:val="right"/>
              <w:ind w:right="38"/>
              <w:spacing w:after="0" w:line="229" w:lineRule="exact"/>
              <w:rPr>
                <w:sz w:val="20"/>
                <w:szCs w:val="20"/>
                <w:color w:val="auto"/>
              </w:rPr>
            </w:pPr>
            <w:r>
              <w:rPr>
                <w:rFonts w:ascii="Times New Roman" w:cs="Times New Roman" w:eastAsia="Times New Roman" w:hAnsi="Times New Roman"/>
                <w:sz w:val="20"/>
                <w:szCs w:val="20"/>
                <w:color w:val="auto"/>
              </w:rPr>
              <w:t>49,315</w:t>
            </w:r>
          </w:p>
        </w:tc>
        <w:tc>
          <w:tcPr>
            <w:tcW w:w="80" w:type="dxa"/>
            <w:vAlign w:val="bottom"/>
          </w:tcPr>
          <w:p>
            <w:pPr>
              <w:spacing w:after="0"/>
              <w:rPr>
                <w:sz w:val="19"/>
                <w:szCs w:val="19"/>
                <w:color w:val="auto"/>
              </w:rPr>
            </w:pPr>
          </w:p>
        </w:tc>
        <w:tc>
          <w:tcPr>
            <w:tcW w:w="840" w:type="dxa"/>
            <w:vAlign w:val="bottom"/>
          </w:tcPr>
          <w:p>
            <w:pPr>
              <w:jc w:val="right"/>
              <w:ind w:right="98"/>
              <w:spacing w:after="0" w:line="229" w:lineRule="exact"/>
              <w:rPr>
                <w:sz w:val="20"/>
                <w:szCs w:val="20"/>
                <w:color w:val="auto"/>
              </w:rPr>
            </w:pPr>
            <w:r>
              <w:rPr>
                <w:rFonts w:ascii="Times New Roman" w:cs="Times New Roman" w:eastAsia="Times New Roman" w:hAnsi="Times New Roman"/>
                <w:sz w:val="20"/>
                <w:szCs w:val="20"/>
                <w:color w:val="auto"/>
              </w:rPr>
              <w:t>91%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38"/>
              <w:spacing w:after="0" w:line="229" w:lineRule="exact"/>
              <w:rPr>
                <w:sz w:val="20"/>
                <w:szCs w:val="20"/>
                <w:color w:val="auto"/>
              </w:rPr>
            </w:pPr>
            <w:r>
              <w:rPr>
                <w:rFonts w:ascii="Times New Roman" w:cs="Times New Roman" w:eastAsia="Times New Roman" w:hAnsi="Times New Roman"/>
                <w:sz w:val="20"/>
                <w:szCs w:val="20"/>
                <w:color w:val="auto"/>
              </w:rPr>
              <w:t>62,107</w:t>
            </w:r>
          </w:p>
        </w:tc>
        <w:tc>
          <w:tcPr>
            <w:tcW w:w="80" w:type="dxa"/>
            <w:vAlign w:val="bottom"/>
          </w:tcPr>
          <w:p>
            <w:pPr>
              <w:spacing w:after="0"/>
              <w:rPr>
                <w:sz w:val="19"/>
                <w:szCs w:val="19"/>
                <w:color w:val="auto"/>
              </w:rPr>
            </w:pPr>
          </w:p>
        </w:tc>
        <w:tc>
          <w:tcPr>
            <w:tcW w:w="820" w:type="dxa"/>
            <w:vAlign w:val="bottom"/>
          </w:tcPr>
          <w:p>
            <w:pPr>
              <w:jc w:val="right"/>
              <w:ind w:right="98"/>
              <w:spacing w:after="0" w:line="229" w:lineRule="exact"/>
              <w:rPr>
                <w:sz w:val="20"/>
                <w:szCs w:val="20"/>
                <w:color w:val="auto"/>
              </w:rPr>
            </w:pPr>
            <w:r>
              <w:rPr>
                <w:rFonts w:ascii="Times New Roman" w:cs="Times New Roman" w:eastAsia="Times New Roman" w:hAnsi="Times New Roman"/>
                <w:sz w:val="20"/>
                <w:szCs w:val="20"/>
                <w:color w:val="auto"/>
              </w:rPr>
              <w:t>98%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38"/>
              <w:spacing w:after="0" w:line="229" w:lineRule="exact"/>
              <w:rPr>
                <w:sz w:val="20"/>
                <w:szCs w:val="20"/>
                <w:color w:val="auto"/>
              </w:rPr>
            </w:pPr>
            <w:r>
              <w:rPr>
                <w:rFonts w:ascii="Times New Roman" w:cs="Times New Roman" w:eastAsia="Times New Roman" w:hAnsi="Times New Roman"/>
                <w:sz w:val="20"/>
                <w:szCs w:val="20"/>
                <w:color w:val="auto"/>
              </w:rPr>
              <w:t>165,627</w:t>
            </w:r>
          </w:p>
        </w:tc>
        <w:tc>
          <w:tcPr>
            <w:tcW w:w="80" w:type="dxa"/>
            <w:vAlign w:val="bottom"/>
          </w:tcPr>
          <w:p>
            <w:pPr>
              <w:spacing w:after="0"/>
              <w:rPr>
                <w:sz w:val="19"/>
                <w:szCs w:val="19"/>
                <w:color w:val="auto"/>
              </w:rPr>
            </w:pPr>
          </w:p>
        </w:tc>
        <w:tc>
          <w:tcPr>
            <w:tcW w:w="820" w:type="dxa"/>
            <w:vAlign w:val="bottom"/>
          </w:tcPr>
          <w:p>
            <w:pPr>
              <w:jc w:val="right"/>
              <w:ind w:right="98"/>
              <w:spacing w:after="0" w:line="229" w:lineRule="exact"/>
              <w:rPr>
                <w:sz w:val="20"/>
                <w:szCs w:val="20"/>
                <w:color w:val="auto"/>
              </w:rPr>
            </w:pPr>
            <w:r>
              <w:rPr>
                <w:rFonts w:ascii="Times New Roman" w:cs="Times New Roman" w:eastAsia="Times New Roman" w:hAnsi="Times New Roman"/>
                <w:sz w:val="20"/>
                <w:szCs w:val="20"/>
                <w:color w:val="auto"/>
              </w:rPr>
              <w:t>91%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ind w:right="38"/>
              <w:spacing w:after="0" w:line="229" w:lineRule="exact"/>
              <w:rPr>
                <w:sz w:val="20"/>
                <w:szCs w:val="20"/>
                <w:color w:val="auto"/>
              </w:rPr>
            </w:pPr>
            <w:r>
              <w:rPr>
                <w:rFonts w:ascii="Times New Roman" w:cs="Times New Roman" w:eastAsia="Times New Roman" w:hAnsi="Times New Roman"/>
                <w:sz w:val="20"/>
                <w:szCs w:val="20"/>
                <w:color w:val="auto"/>
              </w:rPr>
              <w:t>205,350</w:t>
            </w:r>
          </w:p>
        </w:tc>
        <w:tc>
          <w:tcPr>
            <w:tcW w:w="60" w:type="dxa"/>
            <w:vAlign w:val="bottom"/>
          </w:tcPr>
          <w:p>
            <w:pPr>
              <w:spacing w:after="0"/>
              <w:rPr>
                <w:sz w:val="19"/>
                <w:szCs w:val="19"/>
                <w:color w:val="auto"/>
              </w:rPr>
            </w:pPr>
          </w:p>
        </w:tc>
        <w:tc>
          <w:tcPr>
            <w:tcW w:w="820" w:type="dxa"/>
            <w:vAlign w:val="bottom"/>
          </w:tcPr>
          <w:p>
            <w:pPr>
              <w:jc w:val="right"/>
              <w:ind w:right="98"/>
              <w:spacing w:after="0" w:line="229" w:lineRule="exact"/>
              <w:rPr>
                <w:sz w:val="20"/>
                <w:szCs w:val="20"/>
                <w:color w:val="auto"/>
              </w:rPr>
            </w:pPr>
            <w:r>
              <w:rPr>
                <w:rFonts w:ascii="Times New Roman" w:cs="Times New Roman" w:eastAsia="Times New Roman" w:hAnsi="Times New Roman"/>
                <w:sz w:val="20"/>
                <w:szCs w:val="20"/>
                <w:color w:val="auto"/>
              </w:rPr>
              <w:t>102%</w:t>
            </w:r>
          </w:p>
        </w:tc>
        <w:tc>
          <w:tcPr>
            <w:tcW w:w="0" w:type="dxa"/>
            <w:vAlign w:val="bottom"/>
          </w:tcPr>
          <w:p>
            <w:pPr>
              <w:spacing w:after="0"/>
              <w:rPr>
                <w:sz w:val="1"/>
                <w:szCs w:val="1"/>
                <w:color w:val="auto"/>
              </w:rPr>
            </w:pPr>
          </w:p>
        </w:tc>
      </w:tr>
      <w:tr>
        <w:trPr>
          <w:trHeight w:val="254"/>
        </w:trPr>
        <w:tc>
          <w:tcPr>
            <w:tcW w:w="1880" w:type="dxa"/>
            <w:vAlign w:val="bottom"/>
          </w:tcPr>
          <w:p>
            <w:pPr>
              <w:spacing w:after="0"/>
              <w:rPr>
                <w:sz w:val="20"/>
                <w:szCs w:val="20"/>
                <w:color w:val="auto"/>
              </w:rPr>
            </w:pPr>
            <w:r>
              <w:rPr>
                <w:rFonts w:ascii="Times New Roman" w:cs="Times New Roman" w:eastAsia="Times New Roman" w:hAnsi="Times New Roman"/>
                <w:sz w:val="20"/>
                <w:szCs w:val="20"/>
                <w:color w:val="auto"/>
              </w:rPr>
              <w:t>cannabis</w:t>
            </w: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88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Revenue from</w:t>
            </w:r>
          </w:p>
        </w:tc>
        <w:tc>
          <w:tcPr>
            <w:tcW w:w="200" w:type="dxa"/>
            <w:vAlign w:val="bottom"/>
          </w:tcPr>
          <w:p>
            <w:pPr>
              <w:spacing w:after="0"/>
              <w:rPr>
                <w:sz w:val="19"/>
                <w:szCs w:val="19"/>
                <w:color w:val="auto"/>
              </w:rPr>
            </w:pPr>
          </w:p>
        </w:tc>
        <w:tc>
          <w:tcPr>
            <w:tcW w:w="1180" w:type="dxa"/>
            <w:vAlign w:val="bottom"/>
            <w:vMerge w:val="restart"/>
          </w:tcPr>
          <w:p>
            <w:pPr>
              <w:jc w:val="right"/>
              <w:ind w:right="38"/>
              <w:spacing w:after="0"/>
              <w:rPr>
                <w:sz w:val="20"/>
                <w:szCs w:val="20"/>
                <w:color w:val="auto"/>
              </w:rPr>
            </w:pPr>
            <w:r>
              <w:rPr>
                <w:rFonts w:ascii="Times New Roman" w:cs="Times New Roman" w:eastAsia="Times New Roman" w:hAnsi="Times New Roman"/>
                <w:sz w:val="20"/>
                <w:szCs w:val="20"/>
                <w:color w:val="auto"/>
              </w:rPr>
              <w:t>3,893</w:t>
            </w:r>
          </w:p>
        </w:tc>
        <w:tc>
          <w:tcPr>
            <w:tcW w:w="80" w:type="dxa"/>
            <w:vAlign w:val="bottom"/>
          </w:tcPr>
          <w:p>
            <w:pPr>
              <w:spacing w:after="0"/>
              <w:rPr>
                <w:sz w:val="19"/>
                <w:szCs w:val="19"/>
                <w:color w:val="auto"/>
              </w:rPr>
            </w:pPr>
          </w:p>
        </w:tc>
        <w:tc>
          <w:tcPr>
            <w:tcW w:w="840" w:type="dxa"/>
            <w:vAlign w:val="bottom"/>
            <w:vMerge w:val="restart"/>
          </w:tcPr>
          <w:p>
            <w:pPr>
              <w:jc w:val="right"/>
              <w:ind w:right="98"/>
              <w:spacing w:after="0"/>
              <w:rPr>
                <w:sz w:val="20"/>
                <w:szCs w:val="20"/>
                <w:color w:val="auto"/>
              </w:rPr>
            </w:pPr>
            <w:r>
              <w:rPr>
                <w:rFonts w:ascii="Times New Roman" w:cs="Times New Roman" w:eastAsia="Times New Roman" w:hAnsi="Times New Roman"/>
                <w:sz w:val="20"/>
                <w:szCs w:val="20"/>
                <w:color w:val="auto"/>
              </w:rPr>
              <w:t>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vMerge w:val="restart"/>
          </w:tcPr>
          <w:p>
            <w:pPr>
              <w:jc w:val="right"/>
              <w:ind w:right="38"/>
              <w:spacing w:after="0"/>
              <w:rPr>
                <w:sz w:val="20"/>
                <w:szCs w:val="20"/>
                <w:color w:val="auto"/>
              </w:rPr>
            </w:pPr>
            <w:r>
              <w:rPr>
                <w:rFonts w:ascii="Times New Roman" w:cs="Times New Roman" w:eastAsia="Times New Roman" w:hAnsi="Times New Roman"/>
                <w:sz w:val="20"/>
                <w:szCs w:val="20"/>
                <w:color w:val="auto"/>
              </w:rPr>
              <w:t>2,764</w:t>
            </w:r>
          </w:p>
        </w:tc>
        <w:tc>
          <w:tcPr>
            <w:tcW w:w="80" w:type="dxa"/>
            <w:vAlign w:val="bottom"/>
          </w:tcPr>
          <w:p>
            <w:pPr>
              <w:spacing w:after="0"/>
              <w:rPr>
                <w:sz w:val="19"/>
                <w:szCs w:val="19"/>
                <w:color w:val="auto"/>
              </w:rPr>
            </w:pPr>
          </w:p>
        </w:tc>
        <w:tc>
          <w:tcPr>
            <w:tcW w:w="820" w:type="dxa"/>
            <w:vAlign w:val="bottom"/>
            <w:vMerge w:val="restart"/>
          </w:tcPr>
          <w:p>
            <w:pPr>
              <w:jc w:val="right"/>
              <w:ind w:right="98"/>
              <w:spacing w:after="0"/>
              <w:rPr>
                <w:sz w:val="20"/>
                <w:szCs w:val="20"/>
                <w:color w:val="auto"/>
              </w:rPr>
            </w:pPr>
            <w:r>
              <w:rPr>
                <w:rFonts w:ascii="Times New Roman" w:cs="Times New Roman" w:eastAsia="Times New Roman" w:hAnsi="Times New Roman"/>
                <w:sz w:val="20"/>
                <w:szCs w:val="20"/>
                <w:color w:val="auto"/>
              </w:rPr>
              <w:t>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vMerge w:val="restart"/>
          </w:tcPr>
          <w:p>
            <w:pPr>
              <w:jc w:val="right"/>
              <w:ind w:right="38"/>
              <w:spacing w:after="0"/>
              <w:rPr>
                <w:sz w:val="20"/>
                <w:szCs w:val="20"/>
                <w:color w:val="auto"/>
              </w:rPr>
            </w:pPr>
            <w:r>
              <w:rPr>
                <w:rFonts w:ascii="Times New Roman" w:cs="Times New Roman" w:eastAsia="Times New Roman" w:hAnsi="Times New Roman"/>
                <w:sz w:val="20"/>
                <w:szCs w:val="20"/>
                <w:color w:val="auto"/>
              </w:rPr>
              <w:t>15,993</w:t>
            </w:r>
          </w:p>
        </w:tc>
        <w:tc>
          <w:tcPr>
            <w:tcW w:w="80" w:type="dxa"/>
            <w:vAlign w:val="bottom"/>
          </w:tcPr>
          <w:p>
            <w:pPr>
              <w:spacing w:after="0"/>
              <w:rPr>
                <w:sz w:val="19"/>
                <w:szCs w:val="19"/>
                <w:color w:val="auto"/>
              </w:rPr>
            </w:pPr>
          </w:p>
        </w:tc>
        <w:tc>
          <w:tcPr>
            <w:tcW w:w="820" w:type="dxa"/>
            <w:vAlign w:val="bottom"/>
            <w:vMerge w:val="restart"/>
          </w:tcPr>
          <w:p>
            <w:pPr>
              <w:jc w:val="right"/>
              <w:ind w:right="98"/>
              <w:spacing w:after="0"/>
              <w:rPr>
                <w:sz w:val="20"/>
                <w:szCs w:val="20"/>
                <w:color w:val="auto"/>
              </w:rPr>
            </w:pPr>
            <w:r>
              <w:rPr>
                <w:rFonts w:ascii="Times New Roman" w:cs="Times New Roman" w:eastAsia="Times New Roman" w:hAnsi="Times New Roman"/>
                <w:sz w:val="20"/>
                <w:szCs w:val="20"/>
                <w:color w:val="auto"/>
              </w:rPr>
              <w:t>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vMerge w:val="restart"/>
          </w:tcPr>
          <w:p>
            <w:pPr>
              <w:jc w:val="right"/>
              <w:ind w:right="38"/>
              <w:spacing w:after="0"/>
              <w:rPr>
                <w:sz w:val="20"/>
                <w:szCs w:val="20"/>
                <w:color w:val="auto"/>
              </w:rPr>
            </w:pPr>
            <w:r>
              <w:rPr>
                <w:rFonts w:ascii="Times New Roman" w:cs="Times New Roman" w:eastAsia="Times New Roman" w:hAnsi="Times New Roman"/>
                <w:sz w:val="20"/>
                <w:szCs w:val="20"/>
                <w:color w:val="auto"/>
              </w:rPr>
              <w:t>12,348</w:t>
            </w:r>
          </w:p>
        </w:tc>
        <w:tc>
          <w:tcPr>
            <w:tcW w:w="60" w:type="dxa"/>
            <w:vAlign w:val="bottom"/>
          </w:tcPr>
          <w:p>
            <w:pPr>
              <w:spacing w:after="0"/>
              <w:rPr>
                <w:sz w:val="19"/>
                <w:szCs w:val="19"/>
                <w:color w:val="auto"/>
              </w:rPr>
            </w:pPr>
          </w:p>
        </w:tc>
        <w:tc>
          <w:tcPr>
            <w:tcW w:w="820" w:type="dxa"/>
            <w:vAlign w:val="bottom"/>
            <w:vMerge w:val="restart"/>
          </w:tcPr>
          <w:p>
            <w:pPr>
              <w:jc w:val="right"/>
              <w:ind w:right="98"/>
              <w:spacing w:after="0"/>
              <w:rPr>
                <w:sz w:val="20"/>
                <w:szCs w:val="20"/>
                <w:color w:val="auto"/>
              </w:rPr>
            </w:pPr>
            <w:r>
              <w:rPr>
                <w:rFonts w:ascii="Times New Roman" w:cs="Times New Roman" w:eastAsia="Times New Roman" w:hAnsi="Times New Roman"/>
                <w:sz w:val="20"/>
                <w:szCs w:val="20"/>
                <w:color w:val="auto"/>
              </w:rPr>
              <w:t>6%</w:t>
            </w:r>
          </w:p>
        </w:tc>
        <w:tc>
          <w:tcPr>
            <w:tcW w:w="0" w:type="dxa"/>
            <w:vAlign w:val="bottom"/>
          </w:tcPr>
          <w:p>
            <w:pPr>
              <w:spacing w:after="0"/>
              <w:rPr>
                <w:sz w:val="1"/>
                <w:szCs w:val="1"/>
                <w:color w:val="auto"/>
              </w:rPr>
            </w:pPr>
          </w:p>
        </w:tc>
      </w:tr>
      <w:tr>
        <w:trPr>
          <w:trHeight w:val="151"/>
        </w:trPr>
        <w:tc>
          <w:tcPr>
            <w:tcW w:w="18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wholesale cannabis</w:t>
            </w:r>
          </w:p>
        </w:tc>
        <w:tc>
          <w:tcPr>
            <w:tcW w:w="20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18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188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Revenue from</w:t>
            </w:r>
          </w:p>
        </w:tc>
        <w:tc>
          <w:tcPr>
            <w:tcW w:w="200" w:type="dxa"/>
            <w:vAlign w:val="bottom"/>
          </w:tcPr>
          <w:p>
            <w:pPr>
              <w:spacing w:after="0"/>
              <w:rPr>
                <w:sz w:val="19"/>
                <w:szCs w:val="19"/>
                <w:color w:val="auto"/>
              </w:rPr>
            </w:pPr>
          </w:p>
        </w:tc>
        <w:tc>
          <w:tcPr>
            <w:tcW w:w="1180" w:type="dxa"/>
            <w:vAlign w:val="bottom"/>
            <w:vMerge w:val="restart"/>
          </w:tcPr>
          <w:p>
            <w:pPr>
              <w:jc w:val="right"/>
              <w:ind w:right="38"/>
              <w:spacing w:after="0"/>
              <w:rPr>
                <w:sz w:val="20"/>
                <w:szCs w:val="20"/>
                <w:color w:val="auto"/>
              </w:rPr>
            </w:pPr>
            <w:r>
              <w:rPr>
                <w:rFonts w:ascii="Times New Roman" w:cs="Times New Roman" w:eastAsia="Times New Roman" w:hAnsi="Times New Roman"/>
                <w:sz w:val="20"/>
                <w:szCs w:val="20"/>
                <w:color w:val="auto"/>
              </w:rPr>
              <w:t>13,935</w:t>
            </w:r>
          </w:p>
        </w:tc>
        <w:tc>
          <w:tcPr>
            <w:tcW w:w="80" w:type="dxa"/>
            <w:vAlign w:val="bottom"/>
          </w:tcPr>
          <w:p>
            <w:pPr>
              <w:spacing w:after="0"/>
              <w:rPr>
                <w:sz w:val="19"/>
                <w:szCs w:val="19"/>
                <w:color w:val="auto"/>
              </w:rPr>
            </w:pPr>
          </w:p>
        </w:tc>
        <w:tc>
          <w:tcPr>
            <w:tcW w:w="840" w:type="dxa"/>
            <w:vAlign w:val="bottom"/>
            <w:vMerge w:val="restart"/>
          </w:tcPr>
          <w:p>
            <w:pPr>
              <w:jc w:val="right"/>
              <w:ind w:right="98"/>
              <w:spacing w:after="0"/>
              <w:rPr>
                <w:sz w:val="20"/>
                <w:szCs w:val="20"/>
                <w:color w:val="auto"/>
              </w:rPr>
            </w:pPr>
            <w:r>
              <w:rPr>
                <w:rFonts w:ascii="Times New Roman" w:cs="Times New Roman" w:eastAsia="Times New Roman" w:hAnsi="Times New Roman"/>
                <w:sz w:val="20"/>
                <w:szCs w:val="20"/>
                <w:color w:val="auto"/>
              </w:rPr>
              <w:t>26%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vMerge w:val="restart"/>
          </w:tcPr>
          <w:p>
            <w:pPr>
              <w:jc w:val="right"/>
              <w:ind w:right="38"/>
              <w:spacing w:after="0"/>
              <w:rPr>
                <w:sz w:val="20"/>
                <w:szCs w:val="20"/>
                <w:color w:val="auto"/>
              </w:rPr>
            </w:pPr>
            <w:r>
              <w:rPr>
                <w:rFonts w:ascii="Times New Roman" w:cs="Times New Roman" w:eastAsia="Times New Roman" w:hAnsi="Times New Roman"/>
                <w:sz w:val="20"/>
                <w:szCs w:val="20"/>
                <w:color w:val="auto"/>
              </w:rPr>
              <w:t>14,002</w:t>
            </w:r>
          </w:p>
        </w:tc>
        <w:tc>
          <w:tcPr>
            <w:tcW w:w="80" w:type="dxa"/>
            <w:vAlign w:val="bottom"/>
          </w:tcPr>
          <w:p>
            <w:pPr>
              <w:spacing w:after="0"/>
              <w:rPr>
                <w:sz w:val="19"/>
                <w:szCs w:val="19"/>
                <w:color w:val="auto"/>
              </w:rPr>
            </w:pPr>
          </w:p>
        </w:tc>
        <w:tc>
          <w:tcPr>
            <w:tcW w:w="820" w:type="dxa"/>
            <w:vAlign w:val="bottom"/>
            <w:vMerge w:val="restart"/>
          </w:tcPr>
          <w:p>
            <w:pPr>
              <w:jc w:val="right"/>
              <w:ind w:right="98"/>
              <w:spacing w:after="0"/>
              <w:rPr>
                <w:sz w:val="20"/>
                <w:szCs w:val="20"/>
                <w:color w:val="auto"/>
              </w:rPr>
            </w:pPr>
            <w:r>
              <w:rPr>
                <w:rFonts w:ascii="Times New Roman" w:cs="Times New Roman" w:eastAsia="Times New Roman" w:hAnsi="Times New Roman"/>
                <w:sz w:val="20"/>
                <w:szCs w:val="20"/>
                <w:color w:val="auto"/>
              </w:rPr>
              <w:t>22%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vMerge w:val="restart"/>
          </w:tcPr>
          <w:p>
            <w:pPr>
              <w:jc w:val="right"/>
              <w:ind w:right="38"/>
              <w:spacing w:after="0"/>
              <w:rPr>
                <w:sz w:val="20"/>
                <w:szCs w:val="20"/>
                <w:color w:val="auto"/>
              </w:rPr>
            </w:pPr>
            <w:r>
              <w:rPr>
                <w:rFonts w:ascii="Times New Roman" w:cs="Times New Roman" w:eastAsia="Times New Roman" w:hAnsi="Times New Roman"/>
                <w:sz w:val="20"/>
                <w:szCs w:val="20"/>
                <w:color w:val="auto"/>
              </w:rPr>
              <w:t>40,991</w:t>
            </w:r>
          </w:p>
        </w:tc>
        <w:tc>
          <w:tcPr>
            <w:tcW w:w="80" w:type="dxa"/>
            <w:vAlign w:val="bottom"/>
          </w:tcPr>
          <w:p>
            <w:pPr>
              <w:spacing w:after="0"/>
              <w:rPr>
                <w:sz w:val="19"/>
                <w:szCs w:val="19"/>
                <w:color w:val="auto"/>
              </w:rPr>
            </w:pPr>
          </w:p>
        </w:tc>
        <w:tc>
          <w:tcPr>
            <w:tcW w:w="820" w:type="dxa"/>
            <w:vAlign w:val="bottom"/>
            <w:vMerge w:val="restart"/>
          </w:tcPr>
          <w:p>
            <w:pPr>
              <w:jc w:val="right"/>
              <w:ind w:right="98"/>
              <w:spacing w:after="0"/>
              <w:rPr>
                <w:sz w:val="20"/>
                <w:szCs w:val="20"/>
                <w:color w:val="auto"/>
              </w:rPr>
            </w:pPr>
            <w:r>
              <w:rPr>
                <w:rFonts w:ascii="Times New Roman" w:cs="Times New Roman" w:eastAsia="Times New Roman" w:hAnsi="Times New Roman"/>
                <w:sz w:val="20"/>
                <w:szCs w:val="20"/>
                <w:color w:val="auto"/>
              </w:rPr>
              <w:t>23%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vMerge w:val="restart"/>
          </w:tcPr>
          <w:p>
            <w:pPr>
              <w:jc w:val="right"/>
              <w:ind w:right="38"/>
              <w:spacing w:after="0"/>
              <w:rPr>
                <w:sz w:val="20"/>
                <w:szCs w:val="20"/>
                <w:color w:val="auto"/>
              </w:rPr>
            </w:pPr>
            <w:r>
              <w:rPr>
                <w:rFonts w:ascii="Times New Roman" w:cs="Times New Roman" w:eastAsia="Times New Roman" w:hAnsi="Times New Roman"/>
                <w:sz w:val="20"/>
                <w:szCs w:val="20"/>
                <w:color w:val="auto"/>
              </w:rPr>
              <w:t>40,185</w:t>
            </w:r>
          </w:p>
        </w:tc>
        <w:tc>
          <w:tcPr>
            <w:tcW w:w="60" w:type="dxa"/>
            <w:vAlign w:val="bottom"/>
          </w:tcPr>
          <w:p>
            <w:pPr>
              <w:spacing w:after="0"/>
              <w:rPr>
                <w:sz w:val="19"/>
                <w:szCs w:val="19"/>
                <w:color w:val="auto"/>
              </w:rPr>
            </w:pPr>
          </w:p>
        </w:tc>
        <w:tc>
          <w:tcPr>
            <w:tcW w:w="820" w:type="dxa"/>
            <w:vAlign w:val="bottom"/>
            <w:vMerge w:val="restart"/>
          </w:tcPr>
          <w:p>
            <w:pPr>
              <w:jc w:val="right"/>
              <w:ind w:right="98"/>
              <w:spacing w:after="0"/>
              <w:rPr>
                <w:sz w:val="20"/>
                <w:szCs w:val="20"/>
                <w:color w:val="auto"/>
              </w:rPr>
            </w:pPr>
            <w:r>
              <w:rPr>
                <w:rFonts w:ascii="Times New Roman" w:cs="Times New Roman" w:eastAsia="Times New Roman" w:hAnsi="Times New Roman"/>
                <w:sz w:val="20"/>
                <w:szCs w:val="20"/>
                <w:color w:val="auto"/>
              </w:rPr>
              <w:t>20%</w:t>
            </w:r>
          </w:p>
        </w:tc>
        <w:tc>
          <w:tcPr>
            <w:tcW w:w="0" w:type="dxa"/>
            <w:vAlign w:val="bottom"/>
          </w:tcPr>
          <w:p>
            <w:pPr>
              <w:spacing w:after="0"/>
              <w:rPr>
                <w:sz w:val="1"/>
                <w:szCs w:val="1"/>
                <w:color w:val="auto"/>
              </w:rPr>
            </w:pPr>
          </w:p>
        </w:tc>
      </w:tr>
      <w:tr>
        <w:trPr>
          <w:trHeight w:val="151"/>
        </w:trPr>
        <w:tc>
          <w:tcPr>
            <w:tcW w:w="18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international cannabis</w:t>
            </w:r>
          </w:p>
        </w:tc>
        <w:tc>
          <w:tcPr>
            <w:tcW w:w="20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18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5"/>
        </w:trPr>
        <w:tc>
          <w:tcPr>
            <w:tcW w:w="1880" w:type="dxa"/>
            <w:vAlign w:val="bottom"/>
          </w:tcPr>
          <w:p>
            <w:pPr>
              <w:spacing w:after="0"/>
              <w:rPr>
                <w:sz w:val="20"/>
                <w:szCs w:val="20"/>
                <w:color w:val="auto"/>
              </w:rPr>
            </w:pPr>
            <w:r>
              <w:rPr>
                <w:rFonts w:ascii="Times New Roman" w:cs="Times New Roman" w:eastAsia="Times New Roman" w:hAnsi="Times New Roman"/>
                <w:sz w:val="20"/>
                <w:szCs w:val="20"/>
                <w:color w:val="auto"/>
              </w:rPr>
              <w:t>Less excise taxes</w:t>
            </w:r>
          </w:p>
        </w:tc>
        <w:tc>
          <w:tcPr>
            <w:tcW w:w="2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(18,708)</w:t>
            </w:r>
          </w:p>
        </w:tc>
        <w:tc>
          <w:tcPr>
            <w:tcW w:w="80" w:type="dxa"/>
            <w:vAlign w:val="bottom"/>
          </w:tcPr>
          <w:p>
            <w:pPr>
              <w:spacing w:after="0"/>
              <w:rPr>
                <w:sz w:val="23"/>
                <w:szCs w:val="23"/>
                <w:color w:val="auto"/>
              </w:rPr>
            </w:pPr>
          </w:p>
        </w:tc>
        <w:tc>
          <w:tcPr>
            <w:tcW w:w="84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20"/>
                <w:szCs w:val="20"/>
                <w:color w:val="auto"/>
              </w:rPr>
              <w:t>(35)%</w:t>
            </w:r>
          </w:p>
        </w:tc>
        <w:tc>
          <w:tcPr>
            <w:tcW w:w="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(21,804)</w:t>
            </w:r>
          </w:p>
        </w:tc>
        <w:tc>
          <w:tcPr>
            <w:tcW w:w="80" w:type="dxa"/>
            <w:vAlign w:val="bottom"/>
          </w:tcPr>
          <w:p>
            <w:pPr>
              <w:spacing w:after="0"/>
              <w:rPr>
                <w:sz w:val="23"/>
                <w:szCs w:val="23"/>
                <w:color w:val="auto"/>
              </w:rPr>
            </w:pPr>
          </w:p>
        </w:tc>
        <w:tc>
          <w:tcPr>
            <w:tcW w:w="8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20"/>
                <w:szCs w:val="20"/>
                <w:color w:val="auto"/>
              </w:rPr>
              <w:t>(34)%</w:t>
            </w:r>
          </w:p>
        </w:tc>
        <w:tc>
          <w:tcPr>
            <w:tcW w:w="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(60,209)</w:t>
            </w:r>
          </w:p>
        </w:tc>
        <w:tc>
          <w:tcPr>
            <w:tcW w:w="80" w:type="dxa"/>
            <w:vAlign w:val="bottom"/>
          </w:tcPr>
          <w:p>
            <w:pPr>
              <w:spacing w:after="0"/>
              <w:rPr>
                <w:sz w:val="23"/>
                <w:szCs w:val="23"/>
                <w:color w:val="auto"/>
              </w:rPr>
            </w:pPr>
          </w:p>
        </w:tc>
        <w:tc>
          <w:tcPr>
            <w:tcW w:w="8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20"/>
                <w:szCs w:val="20"/>
                <w:color w:val="auto"/>
              </w:rPr>
              <w:t>(33)%</w:t>
            </w:r>
          </w:p>
        </w:tc>
        <w:tc>
          <w:tcPr>
            <w:tcW w:w="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(75,797)</w:t>
            </w:r>
          </w:p>
        </w:tc>
        <w:tc>
          <w:tcPr>
            <w:tcW w:w="60" w:type="dxa"/>
            <w:vAlign w:val="bottom"/>
          </w:tcPr>
          <w:p>
            <w:pPr>
              <w:spacing w:after="0"/>
              <w:rPr>
                <w:sz w:val="23"/>
                <w:szCs w:val="23"/>
                <w:color w:val="auto"/>
              </w:rPr>
            </w:pPr>
          </w:p>
        </w:tc>
        <w:tc>
          <w:tcPr>
            <w:tcW w:w="8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20"/>
                <w:szCs w:val="20"/>
                <w:color w:val="auto"/>
              </w:rPr>
              <w:t>(37)%</w:t>
            </w:r>
          </w:p>
        </w:tc>
        <w:tc>
          <w:tcPr>
            <w:tcW w:w="0" w:type="dxa"/>
            <w:vAlign w:val="bottom"/>
          </w:tcPr>
          <w:p>
            <w:pPr>
              <w:spacing w:after="0"/>
              <w:rPr>
                <w:sz w:val="1"/>
                <w:szCs w:val="1"/>
                <w:color w:val="auto"/>
              </w:rPr>
            </w:pPr>
          </w:p>
        </w:tc>
      </w:tr>
      <w:tr>
        <w:trPr>
          <w:trHeight w:val="248"/>
        </w:trPr>
        <w:tc>
          <w:tcPr>
            <w:tcW w:w="188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20"/>
                <w:szCs w:val="20"/>
                <w:color w:val="auto"/>
              </w:rPr>
              <w:t>54,274</w:t>
            </w:r>
          </w:p>
        </w:tc>
        <w:tc>
          <w:tcPr>
            <w:tcW w:w="80" w:type="dxa"/>
            <w:vAlign w:val="bottom"/>
          </w:tcPr>
          <w:p>
            <w:pPr>
              <w:spacing w:after="0"/>
              <w:rPr>
                <w:sz w:val="21"/>
                <w:szCs w:val="21"/>
                <w:color w:val="auto"/>
              </w:rPr>
            </w:pPr>
          </w:p>
        </w:tc>
        <w:tc>
          <w:tcPr>
            <w:tcW w:w="84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20"/>
                <w:szCs w:val="20"/>
                <w:color w:val="auto"/>
              </w:rPr>
              <w:t>100%</w:t>
            </w:r>
          </w:p>
        </w:tc>
        <w:tc>
          <w:tcPr>
            <w:tcW w:w="8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20"/>
                <w:szCs w:val="20"/>
                <w:color w:val="auto"/>
              </w:rPr>
              <w:t>63,432</w:t>
            </w:r>
          </w:p>
        </w:tc>
        <w:tc>
          <w:tcPr>
            <w:tcW w:w="80" w:type="dxa"/>
            <w:vAlign w:val="bottom"/>
          </w:tcPr>
          <w:p>
            <w:pPr>
              <w:spacing w:after="0"/>
              <w:rPr>
                <w:sz w:val="21"/>
                <w:szCs w:val="21"/>
                <w:color w:val="auto"/>
              </w:rPr>
            </w:pPr>
          </w:p>
        </w:tc>
        <w:tc>
          <w:tcPr>
            <w:tcW w:w="82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20"/>
                <w:szCs w:val="20"/>
                <w:color w:val="auto"/>
              </w:rPr>
              <w:t>100%</w:t>
            </w:r>
          </w:p>
        </w:tc>
        <w:tc>
          <w:tcPr>
            <w:tcW w:w="80" w:type="dxa"/>
            <w:vAlign w:val="bottom"/>
          </w:tcPr>
          <w:p>
            <w:pPr>
              <w:spacing w:after="0"/>
              <w:rPr>
                <w:sz w:val="21"/>
                <w:szCs w:val="21"/>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20"/>
                <w:szCs w:val="20"/>
                <w:color w:val="auto"/>
              </w:rPr>
              <w:t>181,175</w:t>
            </w:r>
          </w:p>
        </w:tc>
        <w:tc>
          <w:tcPr>
            <w:tcW w:w="80" w:type="dxa"/>
            <w:vAlign w:val="bottom"/>
          </w:tcPr>
          <w:p>
            <w:pPr>
              <w:spacing w:after="0"/>
              <w:rPr>
                <w:sz w:val="21"/>
                <w:szCs w:val="21"/>
                <w:color w:val="auto"/>
              </w:rPr>
            </w:pPr>
          </w:p>
        </w:tc>
        <w:tc>
          <w:tcPr>
            <w:tcW w:w="82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20"/>
                <w:szCs w:val="20"/>
                <w:color w:val="auto"/>
              </w:rPr>
              <w:t>100%</w:t>
            </w:r>
          </w:p>
        </w:tc>
        <w:tc>
          <w:tcPr>
            <w:tcW w:w="80" w:type="dxa"/>
            <w:vAlign w:val="bottom"/>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20"/>
                <w:szCs w:val="20"/>
                <w:color w:val="auto"/>
              </w:rPr>
              <w:t>200,879</w:t>
            </w:r>
          </w:p>
        </w:tc>
        <w:tc>
          <w:tcPr>
            <w:tcW w:w="60" w:type="dxa"/>
            <w:vAlign w:val="bottom"/>
          </w:tcPr>
          <w:p>
            <w:pPr>
              <w:spacing w:after="0"/>
              <w:rPr>
                <w:sz w:val="21"/>
                <w:szCs w:val="21"/>
                <w:color w:val="auto"/>
              </w:rPr>
            </w:pPr>
          </w:p>
        </w:tc>
        <w:tc>
          <w:tcPr>
            <w:tcW w:w="82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20"/>
                <w:szCs w:val="20"/>
                <w:color w:val="auto"/>
              </w:rPr>
              <w:t>100%</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334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Net Cannabis Revenue by Market</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334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Channel in Constant Currency</w:t>
            </w: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80" w:type="dxa"/>
            <w:vAlign w:val="bottom"/>
            <w:gridSpan w:val="4"/>
          </w:tcPr>
          <w:p>
            <w:pPr>
              <w:jc w:val="center"/>
              <w:ind w:right="300"/>
              <w:spacing w:after="0" w:line="229" w:lineRule="exact"/>
              <w:rPr>
                <w:sz w:val="20"/>
                <w:szCs w:val="20"/>
                <w:color w:val="auto"/>
              </w:rPr>
            </w:pPr>
            <w:r>
              <w:rPr>
                <w:rFonts w:ascii="Times New Roman" w:cs="Times New Roman" w:eastAsia="Times New Roman" w:hAnsi="Times New Roman"/>
                <w:sz w:val="20"/>
                <w:szCs w:val="20"/>
                <w:b w:val="1"/>
                <w:bCs w:val="1"/>
                <w:color w:val="auto"/>
              </w:rPr>
              <w:t>For the three months</w:t>
            </w:r>
          </w:p>
        </w:tc>
        <w:tc>
          <w:tcPr>
            <w:tcW w:w="200" w:type="dxa"/>
            <w:vAlign w:val="bottom"/>
          </w:tcPr>
          <w:p>
            <w:pPr>
              <w:spacing w:after="0"/>
              <w:rPr>
                <w:sz w:val="19"/>
                <w:szCs w:val="19"/>
                <w:color w:val="auto"/>
              </w:rPr>
            </w:pPr>
          </w:p>
        </w:tc>
        <w:tc>
          <w:tcPr>
            <w:tcW w:w="2140" w:type="dxa"/>
            <w:vAlign w:val="bottom"/>
            <w:gridSpan w:val="4"/>
          </w:tcPr>
          <w:p>
            <w:pPr>
              <w:jc w:val="center"/>
              <w:ind w:right="280"/>
              <w:spacing w:after="0" w:line="229" w:lineRule="exact"/>
              <w:rPr>
                <w:sz w:val="20"/>
                <w:szCs w:val="20"/>
                <w:color w:val="auto"/>
              </w:rPr>
            </w:pPr>
            <w:r>
              <w:rPr>
                <w:rFonts w:ascii="Times New Roman" w:cs="Times New Roman" w:eastAsia="Times New Roman" w:hAnsi="Times New Roman"/>
                <w:sz w:val="20"/>
                <w:szCs w:val="20"/>
                <w:b w:val="1"/>
                <w:bCs w:val="1"/>
                <w:color w:val="auto"/>
              </w:rPr>
              <w:t>For the three months</w:t>
            </w:r>
          </w:p>
        </w:tc>
        <w:tc>
          <w:tcPr>
            <w:tcW w:w="240" w:type="dxa"/>
            <w:vAlign w:val="bottom"/>
          </w:tcPr>
          <w:p>
            <w:pPr>
              <w:spacing w:after="0"/>
              <w:rPr>
                <w:sz w:val="19"/>
                <w:szCs w:val="19"/>
                <w:color w:val="auto"/>
              </w:rPr>
            </w:pPr>
          </w:p>
        </w:tc>
        <w:tc>
          <w:tcPr>
            <w:tcW w:w="2100" w:type="dxa"/>
            <w:vAlign w:val="bottom"/>
            <w:gridSpan w:val="4"/>
          </w:tcPr>
          <w:p>
            <w:pPr>
              <w:jc w:val="center"/>
              <w:ind w:right="320"/>
              <w:spacing w:after="0" w:line="229" w:lineRule="exact"/>
              <w:rPr>
                <w:sz w:val="20"/>
                <w:szCs w:val="20"/>
                <w:color w:val="auto"/>
              </w:rPr>
            </w:pPr>
            <w:r>
              <w:rPr>
                <w:rFonts w:ascii="Times New Roman" w:cs="Times New Roman" w:eastAsia="Times New Roman" w:hAnsi="Times New Roman"/>
                <w:sz w:val="20"/>
                <w:szCs w:val="20"/>
                <w:b w:val="1"/>
                <w:bCs w:val="1"/>
                <w:color w:val="auto"/>
              </w:rPr>
              <w:t>For the nine</w:t>
            </w:r>
          </w:p>
        </w:tc>
        <w:tc>
          <w:tcPr>
            <w:tcW w:w="220" w:type="dxa"/>
            <w:vAlign w:val="bottom"/>
          </w:tcPr>
          <w:p>
            <w:pPr>
              <w:spacing w:after="0"/>
              <w:rPr>
                <w:sz w:val="19"/>
                <w:szCs w:val="19"/>
                <w:color w:val="auto"/>
              </w:rPr>
            </w:pPr>
          </w:p>
        </w:tc>
        <w:tc>
          <w:tcPr>
            <w:tcW w:w="2000" w:type="dxa"/>
            <w:vAlign w:val="bottom"/>
            <w:gridSpan w:val="3"/>
          </w:tcPr>
          <w:p>
            <w:pPr>
              <w:jc w:val="center"/>
              <w:ind w:right="118"/>
              <w:spacing w:after="0" w:line="229" w:lineRule="exact"/>
              <w:rPr>
                <w:sz w:val="20"/>
                <w:szCs w:val="20"/>
                <w:color w:val="auto"/>
              </w:rPr>
            </w:pPr>
            <w:r>
              <w:rPr>
                <w:rFonts w:ascii="Times New Roman" w:cs="Times New Roman" w:eastAsia="Times New Roman" w:hAnsi="Times New Roman"/>
                <w:sz w:val="20"/>
                <w:szCs w:val="20"/>
                <w:b w:val="1"/>
                <w:bCs w:val="1"/>
                <w:color w:val="auto"/>
              </w:rPr>
              <w:t>For the nine</w:t>
            </w:r>
          </w:p>
        </w:tc>
        <w:tc>
          <w:tcPr>
            <w:tcW w:w="0" w:type="dxa"/>
            <w:vAlign w:val="bottom"/>
          </w:tcPr>
          <w:p>
            <w:pPr>
              <w:spacing w:after="0"/>
              <w:rPr>
                <w:sz w:val="1"/>
                <w:szCs w:val="1"/>
                <w:color w:val="auto"/>
              </w:rPr>
            </w:pPr>
          </w:p>
        </w:tc>
      </w:tr>
      <w:tr>
        <w:trPr>
          <w:trHeight w:val="254"/>
        </w:trPr>
        <w:tc>
          <w:tcPr>
            <w:tcW w:w="1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gridSpan w:val="2"/>
          </w:tcPr>
          <w:p>
            <w:pPr>
              <w:jc w:val="center"/>
              <w:ind w:left="518"/>
              <w:spacing w:after="0"/>
              <w:rPr>
                <w:sz w:val="20"/>
                <w:szCs w:val="20"/>
                <w:color w:val="auto"/>
              </w:rPr>
            </w:pPr>
            <w:r>
              <w:rPr>
                <w:rFonts w:ascii="Times New Roman" w:cs="Times New Roman" w:eastAsia="Times New Roman" w:hAnsi="Times New Roman"/>
                <w:sz w:val="20"/>
                <w:szCs w:val="20"/>
                <w:b w:val="1"/>
                <w:bCs w:val="1"/>
                <w:color w:val="auto"/>
              </w:rPr>
              <w:t>ended</w:t>
            </w: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gridSpan w:val="2"/>
          </w:tcPr>
          <w:p>
            <w:pPr>
              <w:jc w:val="center"/>
              <w:ind w:left="498"/>
              <w:spacing w:after="0"/>
              <w:rPr>
                <w:sz w:val="20"/>
                <w:szCs w:val="20"/>
                <w:color w:val="auto"/>
              </w:rPr>
            </w:pPr>
            <w:r>
              <w:rPr>
                <w:rFonts w:ascii="Times New Roman" w:cs="Times New Roman" w:eastAsia="Times New Roman" w:hAnsi="Times New Roman"/>
                <w:sz w:val="20"/>
                <w:szCs w:val="20"/>
                <w:b w:val="1"/>
                <w:bCs w:val="1"/>
                <w:color w:val="auto"/>
              </w:rPr>
              <w:t>ended</w:t>
            </w: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100" w:type="dxa"/>
            <w:vAlign w:val="bottom"/>
            <w:gridSpan w:val="4"/>
          </w:tcPr>
          <w:p>
            <w:pPr>
              <w:jc w:val="center"/>
              <w:ind w:right="320"/>
              <w:spacing w:after="0"/>
              <w:rPr>
                <w:sz w:val="20"/>
                <w:szCs w:val="20"/>
                <w:color w:val="auto"/>
              </w:rPr>
            </w:pPr>
            <w:r>
              <w:rPr>
                <w:rFonts w:ascii="Times New Roman" w:cs="Times New Roman" w:eastAsia="Times New Roman" w:hAnsi="Times New Roman"/>
                <w:sz w:val="20"/>
                <w:szCs w:val="20"/>
                <w:b w:val="1"/>
                <w:bCs w:val="1"/>
                <w:color w:val="auto"/>
              </w:rPr>
              <w:t>months ended</w:t>
            </w:r>
          </w:p>
        </w:tc>
        <w:tc>
          <w:tcPr>
            <w:tcW w:w="220" w:type="dxa"/>
            <w:vAlign w:val="bottom"/>
          </w:tcPr>
          <w:p>
            <w:pPr>
              <w:spacing w:after="0"/>
              <w:rPr>
                <w:sz w:val="22"/>
                <w:szCs w:val="22"/>
                <w:color w:val="auto"/>
              </w:rPr>
            </w:pPr>
          </w:p>
        </w:tc>
        <w:tc>
          <w:tcPr>
            <w:tcW w:w="2000" w:type="dxa"/>
            <w:vAlign w:val="bottom"/>
            <w:gridSpan w:val="3"/>
          </w:tcPr>
          <w:p>
            <w:pPr>
              <w:jc w:val="center"/>
              <w:ind w:right="118"/>
              <w:spacing w:after="0"/>
              <w:rPr>
                <w:sz w:val="20"/>
                <w:szCs w:val="20"/>
                <w:color w:val="auto"/>
              </w:rPr>
            </w:pPr>
            <w:r>
              <w:rPr>
                <w:rFonts w:ascii="Times New Roman" w:cs="Times New Roman" w:eastAsia="Times New Roman" w:hAnsi="Times New Roman"/>
                <w:sz w:val="20"/>
                <w:szCs w:val="20"/>
                <w:b w:val="1"/>
                <w:bCs w:val="1"/>
                <w:color w:val="auto"/>
              </w:rPr>
              <w:t>months ended</w:t>
            </w:r>
          </w:p>
        </w:tc>
        <w:tc>
          <w:tcPr>
            <w:tcW w:w="0" w:type="dxa"/>
            <w:vAlign w:val="bottom"/>
          </w:tcPr>
          <w:p>
            <w:pPr>
              <w:spacing w:after="0"/>
              <w:rPr>
                <w:sz w:val="1"/>
                <w:szCs w:val="1"/>
                <w:color w:val="auto"/>
              </w:rPr>
            </w:pPr>
          </w:p>
        </w:tc>
      </w:tr>
      <w:tr>
        <w:trPr>
          <w:trHeight w:val="229"/>
        </w:trPr>
        <w:tc>
          <w:tcPr>
            <w:tcW w:w="1880" w:type="dxa"/>
            <w:vAlign w:val="bottom"/>
          </w:tcPr>
          <w:p>
            <w:pPr>
              <w:spacing w:after="0"/>
              <w:rPr>
                <w:sz w:val="19"/>
                <w:szCs w:val="19"/>
                <w:color w:val="auto"/>
              </w:rPr>
            </w:pPr>
          </w:p>
        </w:tc>
        <w:tc>
          <w:tcPr>
            <w:tcW w:w="1460" w:type="dxa"/>
            <w:vAlign w:val="bottom"/>
            <w:gridSpan w:val="3"/>
          </w:tcPr>
          <w:p>
            <w:pPr>
              <w:jc w:val="center"/>
              <w:ind w:right="80"/>
              <w:spacing w:after="0" w:line="229" w:lineRule="exact"/>
              <w:rPr>
                <w:sz w:val="20"/>
                <w:szCs w:val="20"/>
                <w:color w:val="auto"/>
              </w:rPr>
            </w:pPr>
            <w:r>
              <w:rPr>
                <w:rFonts w:ascii="Times New Roman" w:cs="Times New Roman" w:eastAsia="Times New Roman" w:hAnsi="Times New Roman"/>
                <w:sz w:val="20"/>
                <w:szCs w:val="20"/>
                <w:b w:val="1"/>
                <w:bCs w:val="1"/>
                <w:color w:val="auto"/>
              </w:rPr>
              <w:t>February 28,</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3"/>
          </w:tcPr>
          <w:p>
            <w:pPr>
              <w:jc w:val="center"/>
              <w:ind w:right="80"/>
              <w:spacing w:after="0" w:line="229" w:lineRule="exact"/>
              <w:rPr>
                <w:sz w:val="20"/>
                <w:szCs w:val="20"/>
                <w:color w:val="auto"/>
              </w:rPr>
            </w:pPr>
            <w:r>
              <w:rPr>
                <w:rFonts w:ascii="Times New Roman" w:cs="Times New Roman" w:eastAsia="Times New Roman" w:hAnsi="Times New Roman"/>
                <w:sz w:val="20"/>
                <w:szCs w:val="20"/>
                <w:b w:val="1"/>
                <w:bCs w:val="1"/>
                <w:color w:val="auto"/>
              </w:rPr>
              <w:t>February 29,</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3"/>
          </w:tcPr>
          <w:p>
            <w:pPr>
              <w:jc w:val="center"/>
              <w:ind w:right="80"/>
              <w:spacing w:after="0" w:line="229" w:lineRule="exact"/>
              <w:rPr>
                <w:sz w:val="20"/>
                <w:szCs w:val="20"/>
                <w:color w:val="auto"/>
              </w:rPr>
            </w:pPr>
            <w:r>
              <w:rPr>
                <w:rFonts w:ascii="Times New Roman" w:cs="Times New Roman" w:eastAsia="Times New Roman" w:hAnsi="Times New Roman"/>
                <w:sz w:val="20"/>
                <w:szCs w:val="20"/>
                <w:b w:val="1"/>
                <w:bCs w:val="1"/>
                <w:color w:val="auto"/>
              </w:rPr>
              <w:t>February 28,</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gridSpan w:val="3"/>
          </w:tcPr>
          <w:p>
            <w:pPr>
              <w:jc w:val="center"/>
              <w:ind w:right="60"/>
              <w:spacing w:after="0" w:line="229" w:lineRule="exact"/>
              <w:rPr>
                <w:sz w:val="20"/>
                <w:szCs w:val="20"/>
                <w:color w:val="auto"/>
              </w:rPr>
            </w:pPr>
            <w:r>
              <w:rPr>
                <w:rFonts w:ascii="Times New Roman" w:cs="Times New Roman" w:eastAsia="Times New Roman" w:hAnsi="Times New Roman"/>
                <w:sz w:val="20"/>
                <w:szCs w:val="20"/>
                <w:b w:val="1"/>
                <w:bCs w:val="1"/>
                <w:color w:val="auto"/>
              </w:rPr>
              <w:t>February 29,</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1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jc w:val="center"/>
              <w:ind w:right="98"/>
              <w:spacing w:after="0"/>
              <w:rPr>
                <w:sz w:val="20"/>
                <w:szCs w:val="20"/>
                <w:color w:val="auto"/>
              </w:rPr>
            </w:pPr>
            <w:r>
              <w:rPr>
                <w:rFonts w:ascii="Times New Roman" w:cs="Times New Roman" w:eastAsia="Times New Roman" w:hAnsi="Times New Roman"/>
                <w:sz w:val="20"/>
                <w:szCs w:val="20"/>
                <w:b w:val="1"/>
                <w:bCs w:val="1"/>
                <w:color w:val="auto"/>
              </w:rPr>
              <w:t>2025</w:t>
            </w: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center"/>
              <w:ind w:right="98"/>
              <w:spacing w:after="0"/>
              <w:rPr>
                <w:sz w:val="20"/>
                <w:szCs w:val="20"/>
                <w:color w:val="auto"/>
              </w:rPr>
            </w:pPr>
            <w:r>
              <w:rPr>
                <w:rFonts w:ascii="Times New Roman" w:cs="Times New Roman" w:eastAsia="Times New Roman" w:hAnsi="Times New Roman"/>
                <w:sz w:val="20"/>
                <w:szCs w:val="20"/>
                <w:b w:val="1"/>
                <w:bCs w:val="1"/>
                <w:color w:val="auto"/>
                <w:w w:val="99"/>
              </w:rPr>
              <w:t>2024</w:t>
            </w: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center"/>
              <w:ind w:right="138"/>
              <w:spacing w:after="0"/>
              <w:rPr>
                <w:sz w:val="20"/>
                <w:szCs w:val="20"/>
                <w:color w:val="auto"/>
              </w:rPr>
            </w:pPr>
            <w:r>
              <w:rPr>
                <w:rFonts w:ascii="Times New Roman" w:cs="Times New Roman" w:eastAsia="Times New Roman" w:hAnsi="Times New Roman"/>
                <w:sz w:val="20"/>
                <w:szCs w:val="20"/>
                <w:b w:val="1"/>
                <w:bCs w:val="1"/>
                <w:color w:val="auto"/>
                <w:w w:val="99"/>
              </w:rPr>
              <w:t>2025</w:t>
            </w: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center"/>
              <w:ind w:right="138"/>
              <w:spacing w:after="0"/>
              <w:rPr>
                <w:sz w:val="20"/>
                <w:szCs w:val="20"/>
                <w:color w:val="auto"/>
              </w:rPr>
            </w:pPr>
            <w:r>
              <w:rPr>
                <w:rFonts w:ascii="Times New Roman" w:cs="Times New Roman" w:eastAsia="Times New Roman" w:hAnsi="Times New Roman"/>
                <w:sz w:val="20"/>
                <w:szCs w:val="20"/>
                <w:b w:val="1"/>
                <w:bCs w:val="1"/>
                <w:color w:val="auto"/>
                <w:w w:val="99"/>
              </w:rPr>
              <w:t>2024</w:t>
            </w: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8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(In thousands of</w:t>
            </w:r>
          </w:p>
        </w:tc>
        <w:tc>
          <w:tcPr>
            <w:tcW w:w="1460" w:type="dxa"/>
            <w:vAlign w:val="bottom"/>
            <w:gridSpan w:val="3"/>
          </w:tcPr>
          <w:p>
            <w:pPr>
              <w:jc w:val="center"/>
              <w:ind w:right="100"/>
              <w:spacing w:after="0" w:line="229" w:lineRule="exact"/>
              <w:rPr>
                <w:sz w:val="20"/>
                <w:szCs w:val="20"/>
                <w:color w:val="auto"/>
              </w:rPr>
            </w:pPr>
            <w:r>
              <w:rPr>
                <w:rFonts w:ascii="Times New Roman" w:cs="Times New Roman" w:eastAsia="Times New Roman" w:hAnsi="Times New Roman"/>
                <w:sz w:val="20"/>
                <w:szCs w:val="20"/>
                <w:b w:val="1"/>
                <w:bCs w:val="1"/>
                <w:color w:val="auto"/>
              </w:rPr>
              <w:t>as reported in</w:t>
            </w:r>
          </w:p>
        </w:tc>
        <w:tc>
          <w:tcPr>
            <w:tcW w:w="920" w:type="dxa"/>
            <w:vAlign w:val="bottom"/>
            <w:gridSpan w:val="2"/>
          </w:tcPr>
          <w:p>
            <w:pPr>
              <w:jc w:val="center"/>
              <w:ind w:right="100"/>
              <w:spacing w:after="0" w:line="229" w:lineRule="exact"/>
              <w:rPr>
                <w:sz w:val="20"/>
                <w:szCs w:val="20"/>
                <w:color w:val="auto"/>
              </w:rPr>
            </w:pPr>
            <w:r>
              <w:rPr>
                <w:rFonts w:ascii="Times New Roman" w:cs="Times New Roman" w:eastAsia="Times New Roman" w:hAnsi="Times New Roman"/>
                <w:sz w:val="20"/>
                <w:szCs w:val="20"/>
                <w:b w:val="1"/>
                <w:bCs w:val="1"/>
                <w:color w:val="auto"/>
              </w:rPr>
              <w:t>% of</w:t>
            </w:r>
          </w:p>
        </w:tc>
        <w:tc>
          <w:tcPr>
            <w:tcW w:w="1440" w:type="dxa"/>
            <w:vAlign w:val="bottom"/>
            <w:gridSpan w:val="3"/>
          </w:tcPr>
          <w:p>
            <w:pPr>
              <w:jc w:val="center"/>
              <w:ind w:right="80"/>
              <w:spacing w:after="0" w:line="229" w:lineRule="exact"/>
              <w:rPr>
                <w:sz w:val="20"/>
                <w:szCs w:val="20"/>
                <w:color w:val="auto"/>
              </w:rPr>
            </w:pPr>
            <w:r>
              <w:rPr>
                <w:rFonts w:ascii="Times New Roman" w:cs="Times New Roman" w:eastAsia="Times New Roman" w:hAnsi="Times New Roman"/>
                <w:sz w:val="20"/>
                <w:szCs w:val="20"/>
                <w:b w:val="1"/>
                <w:bCs w:val="1"/>
                <w:color w:val="auto"/>
              </w:rPr>
              <w:t>as reported in</w:t>
            </w:r>
          </w:p>
        </w:tc>
        <w:tc>
          <w:tcPr>
            <w:tcW w:w="900" w:type="dxa"/>
            <w:vAlign w:val="bottom"/>
            <w:gridSpan w:val="2"/>
          </w:tcPr>
          <w:p>
            <w:pPr>
              <w:jc w:val="center"/>
              <w:ind w:right="80"/>
              <w:spacing w:after="0" w:line="229" w:lineRule="exact"/>
              <w:rPr>
                <w:sz w:val="20"/>
                <w:szCs w:val="20"/>
                <w:color w:val="auto"/>
              </w:rPr>
            </w:pPr>
            <w:r>
              <w:rPr>
                <w:rFonts w:ascii="Times New Roman" w:cs="Times New Roman" w:eastAsia="Times New Roman" w:hAnsi="Times New Roman"/>
                <w:sz w:val="20"/>
                <w:szCs w:val="20"/>
                <w:b w:val="1"/>
                <w:bCs w:val="1"/>
                <w:color w:val="auto"/>
              </w:rPr>
              <w:t>% of</w:t>
            </w:r>
          </w:p>
        </w:tc>
        <w:tc>
          <w:tcPr>
            <w:tcW w:w="1440" w:type="dxa"/>
            <w:vAlign w:val="bottom"/>
            <w:gridSpan w:val="3"/>
          </w:tcPr>
          <w:p>
            <w:pPr>
              <w:jc w:val="center"/>
              <w:ind w:right="80"/>
              <w:spacing w:after="0" w:line="229" w:lineRule="exact"/>
              <w:rPr>
                <w:sz w:val="20"/>
                <w:szCs w:val="20"/>
                <w:color w:val="auto"/>
              </w:rPr>
            </w:pPr>
            <w:r>
              <w:rPr>
                <w:rFonts w:ascii="Times New Roman" w:cs="Times New Roman" w:eastAsia="Times New Roman" w:hAnsi="Times New Roman"/>
                <w:sz w:val="20"/>
                <w:szCs w:val="20"/>
                <w:b w:val="1"/>
                <w:bCs w:val="1"/>
                <w:color w:val="auto"/>
              </w:rPr>
              <w:t>as reported in</w:t>
            </w:r>
          </w:p>
        </w:tc>
        <w:tc>
          <w:tcPr>
            <w:tcW w:w="900" w:type="dxa"/>
            <w:vAlign w:val="bottom"/>
            <w:gridSpan w:val="2"/>
          </w:tcPr>
          <w:p>
            <w:pPr>
              <w:jc w:val="center"/>
              <w:ind w:right="80"/>
              <w:spacing w:after="0" w:line="229" w:lineRule="exact"/>
              <w:rPr>
                <w:sz w:val="20"/>
                <w:szCs w:val="20"/>
                <w:color w:val="auto"/>
              </w:rPr>
            </w:pPr>
            <w:r>
              <w:rPr>
                <w:rFonts w:ascii="Times New Roman" w:cs="Times New Roman" w:eastAsia="Times New Roman" w:hAnsi="Times New Roman"/>
                <w:sz w:val="20"/>
                <w:szCs w:val="20"/>
                <w:b w:val="1"/>
                <w:bCs w:val="1"/>
                <w:color w:val="auto"/>
              </w:rPr>
              <w:t>% of</w:t>
            </w:r>
          </w:p>
        </w:tc>
        <w:tc>
          <w:tcPr>
            <w:tcW w:w="1400" w:type="dxa"/>
            <w:vAlign w:val="bottom"/>
            <w:gridSpan w:val="3"/>
          </w:tcPr>
          <w:p>
            <w:pPr>
              <w:jc w:val="center"/>
              <w:ind w:right="80"/>
              <w:spacing w:after="0" w:line="229" w:lineRule="exact"/>
              <w:rPr>
                <w:sz w:val="20"/>
                <w:szCs w:val="20"/>
                <w:color w:val="auto"/>
              </w:rPr>
            </w:pPr>
            <w:r>
              <w:rPr>
                <w:rFonts w:ascii="Times New Roman" w:cs="Times New Roman" w:eastAsia="Times New Roman" w:hAnsi="Times New Roman"/>
                <w:sz w:val="20"/>
                <w:szCs w:val="20"/>
                <w:b w:val="1"/>
                <w:bCs w:val="1"/>
                <w:color w:val="auto"/>
              </w:rPr>
              <w:t>as reported in</w:t>
            </w:r>
          </w:p>
        </w:tc>
        <w:tc>
          <w:tcPr>
            <w:tcW w:w="820" w:type="dxa"/>
            <w:vAlign w:val="bottom"/>
          </w:tcPr>
          <w:p>
            <w:pPr>
              <w:jc w:val="center"/>
              <w:spacing w:after="0" w:line="229" w:lineRule="exact"/>
              <w:rPr>
                <w:sz w:val="20"/>
                <w:szCs w:val="20"/>
                <w:color w:val="auto"/>
              </w:rPr>
            </w:pPr>
            <w:r>
              <w:rPr>
                <w:rFonts w:ascii="Times New Roman" w:cs="Times New Roman" w:eastAsia="Times New Roman" w:hAnsi="Times New Roman"/>
                <w:sz w:val="20"/>
                <w:szCs w:val="20"/>
                <w:b w:val="1"/>
                <w:bCs w:val="1"/>
                <w:color w:val="auto"/>
              </w:rPr>
              <w:t>% of</w:t>
            </w:r>
          </w:p>
        </w:tc>
        <w:tc>
          <w:tcPr>
            <w:tcW w:w="0" w:type="dxa"/>
            <w:vAlign w:val="bottom"/>
          </w:tcPr>
          <w:p>
            <w:pPr>
              <w:spacing w:after="0"/>
              <w:rPr>
                <w:sz w:val="1"/>
                <w:szCs w:val="1"/>
                <w:color w:val="auto"/>
              </w:rPr>
            </w:pPr>
          </w:p>
        </w:tc>
      </w:tr>
      <w:tr>
        <w:trPr>
          <w:trHeight w:val="114"/>
        </w:trPr>
        <w:tc>
          <w:tcPr>
            <w:tcW w:w="18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gridSpan w:val="2"/>
            <w:vMerge w:val="restart"/>
          </w:tcPr>
          <w:p>
            <w:pPr>
              <w:jc w:val="center"/>
              <w:ind w:right="280"/>
              <w:spacing w:after="0" w:line="229" w:lineRule="exact"/>
              <w:rPr>
                <w:sz w:val="20"/>
                <w:szCs w:val="20"/>
                <w:color w:val="auto"/>
              </w:rPr>
            </w:pPr>
            <w:r>
              <w:rPr>
                <w:rFonts w:ascii="Times New Roman" w:cs="Times New Roman" w:eastAsia="Times New Roman" w:hAnsi="Times New Roman"/>
                <w:sz w:val="20"/>
                <w:szCs w:val="20"/>
                <w:b w:val="1"/>
                <w:bCs w:val="1"/>
                <w:color w:val="auto"/>
              </w:rPr>
              <w:t>constant</w:t>
            </w:r>
          </w:p>
        </w:tc>
        <w:tc>
          <w:tcPr>
            <w:tcW w:w="920" w:type="dxa"/>
            <w:vAlign w:val="bottom"/>
            <w:gridSpan w:val="2"/>
            <w:vMerge w:val="restart"/>
          </w:tcPr>
          <w:p>
            <w:pPr>
              <w:jc w:val="center"/>
              <w:ind w:right="80"/>
              <w:spacing w:after="0" w:line="229" w:lineRule="exact"/>
              <w:rPr>
                <w:sz w:val="20"/>
                <w:szCs w:val="20"/>
                <w:color w:val="auto"/>
              </w:rPr>
            </w:pPr>
            <w:r>
              <w:rPr>
                <w:rFonts w:ascii="Times New Roman" w:cs="Times New Roman" w:eastAsia="Times New Roman" w:hAnsi="Times New Roman"/>
                <w:sz w:val="20"/>
                <w:szCs w:val="20"/>
                <w:b w:val="1"/>
                <w:bCs w:val="1"/>
                <w:color w:val="auto"/>
                <w:w w:val="96"/>
              </w:rPr>
              <w:t>Total</w:t>
            </w:r>
          </w:p>
        </w:tc>
        <w:tc>
          <w:tcPr>
            <w:tcW w:w="200" w:type="dxa"/>
            <w:vAlign w:val="bottom"/>
          </w:tcPr>
          <w:p>
            <w:pPr>
              <w:spacing w:after="0"/>
              <w:rPr>
                <w:sz w:val="9"/>
                <w:szCs w:val="9"/>
                <w:color w:val="auto"/>
              </w:rPr>
            </w:pPr>
          </w:p>
        </w:tc>
        <w:tc>
          <w:tcPr>
            <w:tcW w:w="1240" w:type="dxa"/>
            <w:vAlign w:val="bottom"/>
            <w:gridSpan w:val="2"/>
            <w:vMerge w:val="restart"/>
          </w:tcPr>
          <w:p>
            <w:pPr>
              <w:jc w:val="center"/>
              <w:ind w:right="300"/>
              <w:spacing w:after="0" w:line="229" w:lineRule="exact"/>
              <w:rPr>
                <w:sz w:val="20"/>
                <w:szCs w:val="20"/>
                <w:color w:val="auto"/>
              </w:rPr>
            </w:pPr>
            <w:r>
              <w:rPr>
                <w:rFonts w:ascii="Times New Roman" w:cs="Times New Roman" w:eastAsia="Times New Roman" w:hAnsi="Times New Roman"/>
                <w:sz w:val="20"/>
                <w:szCs w:val="20"/>
                <w:b w:val="1"/>
                <w:bCs w:val="1"/>
                <w:color w:val="auto"/>
              </w:rPr>
              <w:t>constant</w:t>
            </w:r>
          </w:p>
        </w:tc>
        <w:tc>
          <w:tcPr>
            <w:tcW w:w="900" w:type="dxa"/>
            <w:vAlign w:val="bottom"/>
            <w:gridSpan w:val="2"/>
            <w:vMerge w:val="restart"/>
          </w:tcPr>
          <w:p>
            <w:pPr>
              <w:jc w:val="center"/>
              <w:ind w:right="60"/>
              <w:spacing w:after="0" w:line="229" w:lineRule="exact"/>
              <w:rPr>
                <w:sz w:val="20"/>
                <w:szCs w:val="20"/>
                <w:color w:val="auto"/>
              </w:rPr>
            </w:pPr>
            <w:r>
              <w:rPr>
                <w:rFonts w:ascii="Times New Roman" w:cs="Times New Roman" w:eastAsia="Times New Roman" w:hAnsi="Times New Roman"/>
                <w:sz w:val="20"/>
                <w:szCs w:val="20"/>
                <w:b w:val="1"/>
                <w:bCs w:val="1"/>
                <w:color w:val="auto"/>
                <w:w w:val="96"/>
              </w:rPr>
              <w:t>Total</w:t>
            </w:r>
          </w:p>
        </w:tc>
        <w:tc>
          <w:tcPr>
            <w:tcW w:w="240" w:type="dxa"/>
            <w:vAlign w:val="bottom"/>
          </w:tcPr>
          <w:p>
            <w:pPr>
              <w:spacing w:after="0"/>
              <w:rPr>
                <w:sz w:val="9"/>
                <w:szCs w:val="9"/>
                <w:color w:val="auto"/>
              </w:rPr>
            </w:pPr>
          </w:p>
        </w:tc>
        <w:tc>
          <w:tcPr>
            <w:tcW w:w="1200" w:type="dxa"/>
            <w:vAlign w:val="bottom"/>
            <w:gridSpan w:val="2"/>
            <w:vMerge w:val="restart"/>
          </w:tcPr>
          <w:p>
            <w:pPr>
              <w:jc w:val="center"/>
              <w:ind w:right="320"/>
              <w:spacing w:after="0" w:line="229" w:lineRule="exact"/>
              <w:rPr>
                <w:sz w:val="20"/>
                <w:szCs w:val="20"/>
                <w:color w:val="auto"/>
              </w:rPr>
            </w:pPr>
            <w:r>
              <w:rPr>
                <w:rFonts w:ascii="Times New Roman" w:cs="Times New Roman" w:eastAsia="Times New Roman" w:hAnsi="Times New Roman"/>
                <w:sz w:val="20"/>
                <w:szCs w:val="20"/>
                <w:b w:val="1"/>
                <w:bCs w:val="1"/>
                <w:color w:val="auto"/>
                <w:w w:val="99"/>
              </w:rPr>
              <w:t>constant</w:t>
            </w:r>
          </w:p>
        </w:tc>
        <w:tc>
          <w:tcPr>
            <w:tcW w:w="900" w:type="dxa"/>
            <w:vAlign w:val="bottom"/>
            <w:gridSpan w:val="2"/>
            <w:vMerge w:val="restart"/>
          </w:tcPr>
          <w:p>
            <w:pPr>
              <w:jc w:val="center"/>
              <w:ind w:right="80"/>
              <w:spacing w:after="0" w:line="229" w:lineRule="exact"/>
              <w:rPr>
                <w:sz w:val="20"/>
                <w:szCs w:val="20"/>
                <w:color w:val="auto"/>
              </w:rPr>
            </w:pPr>
            <w:r>
              <w:rPr>
                <w:rFonts w:ascii="Times New Roman" w:cs="Times New Roman" w:eastAsia="Times New Roman" w:hAnsi="Times New Roman"/>
                <w:sz w:val="20"/>
                <w:szCs w:val="20"/>
                <w:b w:val="1"/>
                <w:bCs w:val="1"/>
                <w:color w:val="auto"/>
              </w:rPr>
              <w:t>Total</w:t>
            </w:r>
          </w:p>
        </w:tc>
        <w:tc>
          <w:tcPr>
            <w:tcW w:w="220" w:type="dxa"/>
            <w:vAlign w:val="bottom"/>
          </w:tcPr>
          <w:p>
            <w:pPr>
              <w:spacing w:after="0"/>
              <w:rPr>
                <w:sz w:val="9"/>
                <w:szCs w:val="9"/>
                <w:color w:val="auto"/>
              </w:rPr>
            </w:pPr>
          </w:p>
        </w:tc>
        <w:tc>
          <w:tcPr>
            <w:tcW w:w="1180" w:type="dxa"/>
            <w:vAlign w:val="bottom"/>
            <w:gridSpan w:val="2"/>
            <w:vMerge w:val="restart"/>
          </w:tcPr>
          <w:p>
            <w:pPr>
              <w:jc w:val="center"/>
              <w:ind w:right="280"/>
              <w:spacing w:after="0" w:line="229" w:lineRule="exact"/>
              <w:rPr>
                <w:sz w:val="20"/>
                <w:szCs w:val="20"/>
                <w:color w:val="auto"/>
              </w:rPr>
            </w:pPr>
            <w:r>
              <w:rPr>
                <w:rFonts w:ascii="Times New Roman" w:cs="Times New Roman" w:eastAsia="Times New Roman" w:hAnsi="Times New Roman"/>
                <w:sz w:val="20"/>
                <w:szCs w:val="20"/>
                <w:b w:val="1"/>
                <w:bCs w:val="1"/>
                <w:color w:val="auto"/>
              </w:rPr>
              <w:t>constant</w:t>
            </w:r>
          </w:p>
        </w:tc>
        <w:tc>
          <w:tcPr>
            <w:tcW w:w="820" w:type="dxa"/>
            <w:vAlign w:val="bottom"/>
            <w:vMerge w:val="restart"/>
          </w:tcPr>
          <w:p>
            <w:pPr>
              <w:jc w:val="center"/>
              <w:spacing w:after="0" w:line="229" w:lineRule="exact"/>
              <w:rPr>
                <w:sz w:val="20"/>
                <w:szCs w:val="20"/>
                <w:color w:val="auto"/>
              </w:rPr>
            </w:pPr>
            <w:r>
              <w:rPr>
                <w:rFonts w:ascii="Times New Roman" w:cs="Times New Roman" w:eastAsia="Times New Roman" w:hAnsi="Times New Roman"/>
                <w:sz w:val="20"/>
                <w:szCs w:val="20"/>
                <w:b w:val="1"/>
                <w:bCs w:val="1"/>
                <w:color w:val="auto"/>
              </w:rPr>
              <w:t>Total</w:t>
            </w:r>
          </w:p>
        </w:tc>
        <w:tc>
          <w:tcPr>
            <w:tcW w:w="0" w:type="dxa"/>
            <w:vAlign w:val="bottom"/>
          </w:tcPr>
          <w:p>
            <w:pPr>
              <w:spacing w:after="0"/>
              <w:rPr>
                <w:sz w:val="1"/>
                <w:szCs w:val="1"/>
                <w:color w:val="auto"/>
              </w:rPr>
            </w:pPr>
          </w:p>
        </w:tc>
      </w:tr>
      <w:tr>
        <w:trPr>
          <w:trHeight w:val="114"/>
        </w:trPr>
        <w:tc>
          <w:tcPr>
            <w:tcW w:w="18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U.S. dollars)</w:t>
            </w:r>
          </w:p>
        </w:tc>
        <w:tc>
          <w:tcPr>
            <w:tcW w:w="2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8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20"/>
                <w:szCs w:val="20"/>
                <w:b w:val="1"/>
                <w:bCs w:val="1"/>
                <w:color w:val="auto"/>
              </w:rPr>
              <w:t>currency</w:t>
            </w:r>
          </w:p>
        </w:tc>
        <w:tc>
          <w:tcPr>
            <w:tcW w:w="9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Revenue</w:t>
            </w:r>
          </w:p>
        </w:tc>
        <w:tc>
          <w:tcPr>
            <w:tcW w:w="200" w:type="dxa"/>
            <w:vAlign w:val="bottom"/>
          </w:tcPr>
          <w:p>
            <w:pPr>
              <w:spacing w:after="0"/>
              <w:rPr>
                <w:sz w:val="13"/>
                <w:szCs w:val="13"/>
                <w:color w:val="auto"/>
              </w:rPr>
            </w:pPr>
          </w:p>
        </w:tc>
        <w:tc>
          <w:tcPr>
            <w:tcW w:w="12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20"/>
                <w:szCs w:val="20"/>
                <w:b w:val="1"/>
                <w:bCs w:val="1"/>
                <w:color w:val="auto"/>
              </w:rPr>
              <w:t>currency</w:t>
            </w:r>
          </w:p>
        </w:tc>
        <w:tc>
          <w:tcPr>
            <w:tcW w:w="9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Revenue</w:t>
            </w:r>
          </w:p>
        </w:tc>
        <w:tc>
          <w:tcPr>
            <w:tcW w:w="240" w:type="dxa"/>
            <w:vAlign w:val="bottom"/>
          </w:tcPr>
          <w:p>
            <w:pPr>
              <w:spacing w:after="0"/>
              <w:rPr>
                <w:sz w:val="13"/>
                <w:szCs w:val="13"/>
                <w:color w:val="auto"/>
              </w:rPr>
            </w:pPr>
          </w:p>
        </w:tc>
        <w:tc>
          <w:tcPr>
            <w:tcW w:w="12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20"/>
                <w:szCs w:val="20"/>
                <w:b w:val="1"/>
                <w:bCs w:val="1"/>
                <w:color w:val="auto"/>
                <w:w w:val="99"/>
              </w:rPr>
              <w:t>currency</w:t>
            </w:r>
          </w:p>
        </w:tc>
        <w:tc>
          <w:tcPr>
            <w:tcW w:w="9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Revenue</w:t>
            </w:r>
          </w:p>
        </w:tc>
        <w:tc>
          <w:tcPr>
            <w:tcW w:w="220" w:type="dxa"/>
            <w:vAlign w:val="bottom"/>
          </w:tcPr>
          <w:p>
            <w:pPr>
              <w:spacing w:after="0"/>
              <w:rPr>
                <w:sz w:val="13"/>
                <w:szCs w:val="13"/>
                <w:color w:val="auto"/>
              </w:rPr>
            </w:pPr>
          </w:p>
        </w:tc>
        <w:tc>
          <w:tcPr>
            <w:tcW w:w="11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20"/>
                <w:szCs w:val="20"/>
                <w:b w:val="1"/>
                <w:bCs w:val="1"/>
                <w:color w:val="auto"/>
              </w:rPr>
              <w:t>currency</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rPr>
              <w:t>Revenue</w:t>
            </w:r>
          </w:p>
        </w:tc>
        <w:tc>
          <w:tcPr>
            <w:tcW w:w="0" w:type="dxa"/>
            <w:vAlign w:val="bottom"/>
          </w:tcPr>
          <w:p>
            <w:pPr>
              <w:spacing w:after="0"/>
              <w:rPr>
                <w:sz w:val="1"/>
                <w:szCs w:val="1"/>
                <w:color w:val="auto"/>
              </w:rPr>
            </w:pPr>
          </w:p>
        </w:tc>
      </w:tr>
      <w:tr>
        <w:trPr>
          <w:trHeight w:val="115"/>
        </w:trPr>
        <w:tc>
          <w:tcPr>
            <w:tcW w:w="18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Revenue from</w:t>
            </w:r>
          </w:p>
        </w:tc>
        <w:tc>
          <w:tcPr>
            <w:tcW w:w="20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7"/>
        </w:trPr>
        <w:tc>
          <w:tcPr>
            <w:tcW w:w="1880" w:type="dxa"/>
            <w:vAlign w:val="bottom"/>
            <w:vMerge w:val="continue"/>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88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Canadian medical</w:t>
            </w:r>
          </w:p>
        </w:tc>
        <w:tc>
          <w:tcPr>
            <w:tcW w:w="20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ind w:right="38"/>
              <w:spacing w:after="0" w:line="229" w:lineRule="exact"/>
              <w:rPr>
                <w:sz w:val="20"/>
                <w:szCs w:val="20"/>
                <w:color w:val="auto"/>
              </w:rPr>
            </w:pPr>
            <w:r>
              <w:rPr>
                <w:rFonts w:ascii="Times New Roman" w:cs="Times New Roman" w:eastAsia="Times New Roman" w:hAnsi="Times New Roman"/>
                <w:sz w:val="20"/>
                <w:szCs w:val="20"/>
                <w:color w:val="auto"/>
              </w:rPr>
              <w:t>6,259</w:t>
            </w:r>
          </w:p>
        </w:tc>
        <w:tc>
          <w:tcPr>
            <w:tcW w:w="80" w:type="dxa"/>
            <w:vAlign w:val="bottom"/>
          </w:tcPr>
          <w:p>
            <w:pPr>
              <w:spacing w:after="0"/>
              <w:rPr>
                <w:sz w:val="19"/>
                <w:szCs w:val="19"/>
                <w:color w:val="auto"/>
              </w:rPr>
            </w:pPr>
          </w:p>
        </w:tc>
        <w:tc>
          <w:tcPr>
            <w:tcW w:w="840" w:type="dxa"/>
            <w:vAlign w:val="bottom"/>
          </w:tcPr>
          <w:p>
            <w:pPr>
              <w:jc w:val="right"/>
              <w:ind w:right="98"/>
              <w:spacing w:after="0" w:line="229" w:lineRule="exact"/>
              <w:rPr>
                <w:sz w:val="20"/>
                <w:szCs w:val="20"/>
                <w:color w:val="auto"/>
              </w:rPr>
            </w:pPr>
            <w:r>
              <w:rPr>
                <w:rFonts w:ascii="Times New Roman" w:cs="Times New Roman" w:eastAsia="Times New Roman" w:hAnsi="Times New Roman"/>
                <w:sz w:val="20"/>
                <w:szCs w:val="20"/>
                <w:color w:val="auto"/>
              </w:rPr>
              <w:t>11%</w:t>
            </w:r>
          </w:p>
        </w:tc>
        <w:tc>
          <w:tcPr>
            <w:tcW w:w="80" w:type="dxa"/>
            <w:vAlign w:val="bottom"/>
          </w:tcPr>
          <w:p>
            <w:pPr>
              <w:spacing w:after="0"/>
              <w:rPr>
                <w:sz w:val="19"/>
                <w:szCs w:val="19"/>
                <w:color w:val="auto"/>
              </w:rPr>
            </w:pPr>
          </w:p>
        </w:tc>
        <w:tc>
          <w:tcPr>
            <w:tcW w:w="20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ind w:right="38"/>
              <w:spacing w:after="0" w:line="229" w:lineRule="exact"/>
              <w:rPr>
                <w:sz w:val="20"/>
                <w:szCs w:val="20"/>
                <w:color w:val="auto"/>
              </w:rPr>
            </w:pPr>
            <w:r>
              <w:rPr>
                <w:rFonts w:ascii="Times New Roman" w:cs="Times New Roman" w:eastAsia="Times New Roman" w:hAnsi="Times New Roman"/>
                <w:sz w:val="20"/>
                <w:szCs w:val="20"/>
                <w:color w:val="auto"/>
              </w:rPr>
              <w:t>6,363</w:t>
            </w:r>
          </w:p>
        </w:tc>
        <w:tc>
          <w:tcPr>
            <w:tcW w:w="80" w:type="dxa"/>
            <w:vAlign w:val="bottom"/>
          </w:tcPr>
          <w:p>
            <w:pPr>
              <w:spacing w:after="0"/>
              <w:rPr>
                <w:sz w:val="19"/>
                <w:szCs w:val="19"/>
                <w:color w:val="auto"/>
              </w:rPr>
            </w:pPr>
          </w:p>
        </w:tc>
        <w:tc>
          <w:tcPr>
            <w:tcW w:w="820" w:type="dxa"/>
            <w:vAlign w:val="bottom"/>
          </w:tcPr>
          <w:p>
            <w:pPr>
              <w:jc w:val="right"/>
              <w:ind w:right="98"/>
              <w:spacing w:after="0" w:line="229" w:lineRule="exact"/>
              <w:rPr>
                <w:sz w:val="20"/>
                <w:szCs w:val="20"/>
                <w:color w:val="auto"/>
              </w:rPr>
            </w:pPr>
            <w:r>
              <w:rPr>
                <w:rFonts w:ascii="Times New Roman" w:cs="Times New Roman" w:eastAsia="Times New Roman" w:hAnsi="Times New Roman"/>
                <w:sz w:val="20"/>
                <w:szCs w:val="20"/>
                <w:color w:val="auto"/>
              </w:rPr>
              <w:t>10%</w:t>
            </w:r>
          </w:p>
        </w:tc>
        <w:tc>
          <w:tcPr>
            <w:tcW w:w="80" w:type="dxa"/>
            <w:vAlign w:val="bottom"/>
          </w:tcPr>
          <w:p>
            <w:pPr>
              <w:spacing w:after="0"/>
              <w:rPr>
                <w:sz w:val="19"/>
                <w:szCs w:val="19"/>
                <w:color w:val="auto"/>
              </w:rPr>
            </w:pPr>
          </w:p>
        </w:tc>
        <w:tc>
          <w:tcPr>
            <w:tcW w:w="24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ind w:right="38"/>
              <w:spacing w:after="0" w:line="229" w:lineRule="exact"/>
              <w:rPr>
                <w:sz w:val="20"/>
                <w:szCs w:val="20"/>
                <w:color w:val="auto"/>
              </w:rPr>
            </w:pPr>
            <w:r>
              <w:rPr>
                <w:rFonts w:ascii="Times New Roman" w:cs="Times New Roman" w:eastAsia="Times New Roman" w:hAnsi="Times New Roman"/>
                <w:sz w:val="20"/>
                <w:szCs w:val="20"/>
                <w:color w:val="auto"/>
              </w:rPr>
              <w:t>19,398</w:t>
            </w:r>
          </w:p>
        </w:tc>
        <w:tc>
          <w:tcPr>
            <w:tcW w:w="80" w:type="dxa"/>
            <w:vAlign w:val="bottom"/>
          </w:tcPr>
          <w:p>
            <w:pPr>
              <w:spacing w:after="0"/>
              <w:rPr>
                <w:sz w:val="19"/>
                <w:szCs w:val="19"/>
                <w:color w:val="auto"/>
              </w:rPr>
            </w:pPr>
          </w:p>
        </w:tc>
        <w:tc>
          <w:tcPr>
            <w:tcW w:w="820" w:type="dxa"/>
            <w:vAlign w:val="bottom"/>
          </w:tcPr>
          <w:p>
            <w:pPr>
              <w:jc w:val="right"/>
              <w:ind w:right="98"/>
              <w:spacing w:after="0" w:line="229" w:lineRule="exact"/>
              <w:rPr>
                <w:sz w:val="20"/>
                <w:szCs w:val="20"/>
                <w:color w:val="auto"/>
              </w:rPr>
            </w:pPr>
            <w:r>
              <w:rPr>
                <w:rFonts w:ascii="Times New Roman" w:cs="Times New Roman" w:eastAsia="Times New Roman" w:hAnsi="Times New Roman"/>
                <w:sz w:val="20"/>
                <w:szCs w:val="20"/>
                <w:color w:val="auto"/>
              </w:rPr>
              <w:t>10%</w:t>
            </w:r>
          </w:p>
        </w:tc>
        <w:tc>
          <w:tcPr>
            <w:tcW w:w="80" w:type="dxa"/>
            <w:vAlign w:val="bottom"/>
          </w:tcPr>
          <w:p>
            <w:pPr>
              <w:spacing w:after="0"/>
              <w:rPr>
                <w:sz w:val="19"/>
                <w:szCs w:val="19"/>
                <w:color w:val="auto"/>
              </w:rPr>
            </w:pPr>
          </w:p>
        </w:tc>
        <w:tc>
          <w:tcPr>
            <w:tcW w:w="22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ind w:right="38"/>
              <w:spacing w:after="0" w:line="229" w:lineRule="exact"/>
              <w:rPr>
                <w:sz w:val="20"/>
                <w:szCs w:val="20"/>
                <w:color w:val="auto"/>
              </w:rPr>
            </w:pPr>
            <w:r>
              <w:rPr>
                <w:rFonts w:ascii="Times New Roman" w:cs="Times New Roman" w:eastAsia="Times New Roman" w:hAnsi="Times New Roman"/>
                <w:sz w:val="20"/>
                <w:szCs w:val="20"/>
                <w:color w:val="auto"/>
              </w:rPr>
              <w:t>18,793</w:t>
            </w:r>
          </w:p>
        </w:tc>
        <w:tc>
          <w:tcPr>
            <w:tcW w:w="60" w:type="dxa"/>
            <w:vAlign w:val="bottom"/>
          </w:tcPr>
          <w:p>
            <w:pPr>
              <w:spacing w:after="0"/>
              <w:rPr>
                <w:sz w:val="19"/>
                <w:szCs w:val="19"/>
                <w:color w:val="auto"/>
              </w:rPr>
            </w:pPr>
          </w:p>
        </w:tc>
        <w:tc>
          <w:tcPr>
            <w:tcW w:w="820" w:type="dxa"/>
            <w:vAlign w:val="bottom"/>
          </w:tcPr>
          <w:p>
            <w:pPr>
              <w:jc w:val="right"/>
              <w:ind w:right="98"/>
              <w:spacing w:after="0" w:line="229" w:lineRule="exact"/>
              <w:rPr>
                <w:sz w:val="20"/>
                <w:szCs w:val="20"/>
                <w:color w:val="auto"/>
              </w:rPr>
            </w:pPr>
            <w:r>
              <w:rPr>
                <w:rFonts w:ascii="Times New Roman" w:cs="Times New Roman" w:eastAsia="Times New Roman" w:hAnsi="Times New Roman"/>
                <w:sz w:val="20"/>
                <w:szCs w:val="20"/>
                <w:color w:val="auto"/>
              </w:rPr>
              <w:t>9%</w:t>
            </w:r>
          </w:p>
        </w:tc>
        <w:tc>
          <w:tcPr>
            <w:tcW w:w="0" w:type="dxa"/>
            <w:vAlign w:val="bottom"/>
          </w:tcPr>
          <w:p>
            <w:pPr>
              <w:spacing w:after="0"/>
              <w:rPr>
                <w:sz w:val="1"/>
                <w:szCs w:val="1"/>
                <w:color w:val="auto"/>
              </w:rPr>
            </w:pPr>
          </w:p>
        </w:tc>
      </w:tr>
      <w:tr>
        <w:trPr>
          <w:trHeight w:val="254"/>
        </w:trPr>
        <w:tc>
          <w:tcPr>
            <w:tcW w:w="1880" w:type="dxa"/>
            <w:vAlign w:val="bottom"/>
          </w:tcPr>
          <w:p>
            <w:pPr>
              <w:spacing w:after="0"/>
              <w:rPr>
                <w:sz w:val="20"/>
                <w:szCs w:val="20"/>
                <w:color w:val="auto"/>
              </w:rPr>
            </w:pPr>
            <w:r>
              <w:rPr>
                <w:rFonts w:ascii="Times New Roman" w:cs="Times New Roman" w:eastAsia="Times New Roman" w:hAnsi="Times New Roman"/>
                <w:sz w:val="20"/>
                <w:szCs w:val="20"/>
                <w:color w:val="auto"/>
              </w:rPr>
              <w:t>cannabis</w:t>
            </w: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88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Revenue from</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8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Canadian adult-use</w:t>
            </w:r>
          </w:p>
        </w:tc>
        <w:tc>
          <w:tcPr>
            <w:tcW w:w="200" w:type="dxa"/>
            <w:vAlign w:val="bottom"/>
          </w:tcPr>
          <w:p>
            <w:pPr>
              <w:spacing w:after="0"/>
              <w:rPr>
                <w:sz w:val="19"/>
                <w:szCs w:val="19"/>
                <w:color w:val="auto"/>
              </w:rPr>
            </w:pPr>
          </w:p>
        </w:tc>
        <w:tc>
          <w:tcPr>
            <w:tcW w:w="1180" w:type="dxa"/>
            <w:vAlign w:val="bottom"/>
          </w:tcPr>
          <w:p>
            <w:pPr>
              <w:jc w:val="right"/>
              <w:ind w:right="38"/>
              <w:spacing w:after="0" w:line="229" w:lineRule="exact"/>
              <w:rPr>
                <w:sz w:val="20"/>
                <w:szCs w:val="20"/>
                <w:color w:val="auto"/>
              </w:rPr>
            </w:pPr>
            <w:r>
              <w:rPr>
                <w:rFonts w:ascii="Times New Roman" w:cs="Times New Roman" w:eastAsia="Times New Roman" w:hAnsi="Times New Roman"/>
                <w:sz w:val="20"/>
                <w:szCs w:val="20"/>
                <w:color w:val="auto"/>
              </w:rPr>
              <w:t>52,815</w:t>
            </w:r>
          </w:p>
        </w:tc>
        <w:tc>
          <w:tcPr>
            <w:tcW w:w="80" w:type="dxa"/>
            <w:vAlign w:val="bottom"/>
          </w:tcPr>
          <w:p>
            <w:pPr>
              <w:spacing w:after="0"/>
              <w:rPr>
                <w:sz w:val="19"/>
                <w:szCs w:val="19"/>
                <w:color w:val="auto"/>
              </w:rPr>
            </w:pPr>
          </w:p>
        </w:tc>
        <w:tc>
          <w:tcPr>
            <w:tcW w:w="840" w:type="dxa"/>
            <w:vAlign w:val="bottom"/>
          </w:tcPr>
          <w:p>
            <w:pPr>
              <w:jc w:val="right"/>
              <w:ind w:right="98"/>
              <w:spacing w:after="0" w:line="229" w:lineRule="exact"/>
              <w:rPr>
                <w:sz w:val="20"/>
                <w:szCs w:val="20"/>
                <w:color w:val="auto"/>
              </w:rPr>
            </w:pPr>
            <w:r>
              <w:rPr>
                <w:rFonts w:ascii="Times New Roman" w:cs="Times New Roman" w:eastAsia="Times New Roman" w:hAnsi="Times New Roman"/>
                <w:sz w:val="20"/>
                <w:szCs w:val="20"/>
                <w:color w:val="auto"/>
              </w:rPr>
              <w:t>92%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38"/>
              <w:spacing w:after="0" w:line="229" w:lineRule="exact"/>
              <w:rPr>
                <w:sz w:val="20"/>
                <w:szCs w:val="20"/>
                <w:color w:val="auto"/>
              </w:rPr>
            </w:pPr>
            <w:r>
              <w:rPr>
                <w:rFonts w:ascii="Times New Roman" w:cs="Times New Roman" w:eastAsia="Times New Roman" w:hAnsi="Times New Roman"/>
                <w:sz w:val="20"/>
                <w:szCs w:val="20"/>
                <w:color w:val="auto"/>
              </w:rPr>
              <w:t>62,107</w:t>
            </w:r>
          </w:p>
        </w:tc>
        <w:tc>
          <w:tcPr>
            <w:tcW w:w="80" w:type="dxa"/>
            <w:vAlign w:val="bottom"/>
          </w:tcPr>
          <w:p>
            <w:pPr>
              <w:spacing w:after="0"/>
              <w:rPr>
                <w:sz w:val="19"/>
                <w:szCs w:val="19"/>
                <w:color w:val="auto"/>
              </w:rPr>
            </w:pPr>
          </w:p>
        </w:tc>
        <w:tc>
          <w:tcPr>
            <w:tcW w:w="820" w:type="dxa"/>
            <w:vAlign w:val="bottom"/>
          </w:tcPr>
          <w:p>
            <w:pPr>
              <w:jc w:val="right"/>
              <w:ind w:right="98"/>
              <w:spacing w:after="0" w:line="229" w:lineRule="exact"/>
              <w:rPr>
                <w:sz w:val="20"/>
                <w:szCs w:val="20"/>
                <w:color w:val="auto"/>
              </w:rPr>
            </w:pPr>
            <w:r>
              <w:rPr>
                <w:rFonts w:ascii="Times New Roman" w:cs="Times New Roman" w:eastAsia="Times New Roman" w:hAnsi="Times New Roman"/>
                <w:sz w:val="20"/>
                <w:szCs w:val="20"/>
                <w:color w:val="auto"/>
              </w:rPr>
              <w:t>98%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38"/>
              <w:spacing w:after="0" w:line="229" w:lineRule="exact"/>
              <w:rPr>
                <w:sz w:val="20"/>
                <w:szCs w:val="20"/>
                <w:color w:val="auto"/>
              </w:rPr>
            </w:pPr>
            <w:r>
              <w:rPr>
                <w:rFonts w:ascii="Times New Roman" w:cs="Times New Roman" w:eastAsia="Times New Roman" w:hAnsi="Times New Roman"/>
                <w:sz w:val="20"/>
                <w:szCs w:val="20"/>
                <w:color w:val="auto"/>
              </w:rPr>
              <w:t>170,967</w:t>
            </w:r>
          </w:p>
        </w:tc>
        <w:tc>
          <w:tcPr>
            <w:tcW w:w="80" w:type="dxa"/>
            <w:vAlign w:val="bottom"/>
          </w:tcPr>
          <w:p>
            <w:pPr>
              <w:spacing w:after="0"/>
              <w:rPr>
                <w:sz w:val="19"/>
                <w:szCs w:val="19"/>
                <w:color w:val="auto"/>
              </w:rPr>
            </w:pPr>
          </w:p>
        </w:tc>
        <w:tc>
          <w:tcPr>
            <w:tcW w:w="820" w:type="dxa"/>
            <w:vAlign w:val="bottom"/>
          </w:tcPr>
          <w:p>
            <w:pPr>
              <w:jc w:val="right"/>
              <w:ind w:right="98"/>
              <w:spacing w:after="0" w:line="229" w:lineRule="exact"/>
              <w:rPr>
                <w:sz w:val="20"/>
                <w:szCs w:val="20"/>
                <w:color w:val="auto"/>
              </w:rPr>
            </w:pPr>
            <w:r>
              <w:rPr>
                <w:rFonts w:ascii="Times New Roman" w:cs="Times New Roman" w:eastAsia="Times New Roman" w:hAnsi="Times New Roman"/>
                <w:sz w:val="20"/>
                <w:szCs w:val="20"/>
                <w:color w:val="auto"/>
              </w:rPr>
              <w:t>92%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ind w:right="38"/>
              <w:spacing w:after="0" w:line="229" w:lineRule="exact"/>
              <w:rPr>
                <w:sz w:val="20"/>
                <w:szCs w:val="20"/>
                <w:color w:val="auto"/>
              </w:rPr>
            </w:pPr>
            <w:r>
              <w:rPr>
                <w:rFonts w:ascii="Times New Roman" w:cs="Times New Roman" w:eastAsia="Times New Roman" w:hAnsi="Times New Roman"/>
                <w:sz w:val="20"/>
                <w:szCs w:val="20"/>
                <w:color w:val="auto"/>
              </w:rPr>
              <w:t>205,350</w:t>
            </w:r>
          </w:p>
        </w:tc>
        <w:tc>
          <w:tcPr>
            <w:tcW w:w="60" w:type="dxa"/>
            <w:vAlign w:val="bottom"/>
          </w:tcPr>
          <w:p>
            <w:pPr>
              <w:spacing w:after="0"/>
              <w:rPr>
                <w:sz w:val="19"/>
                <w:szCs w:val="19"/>
                <w:color w:val="auto"/>
              </w:rPr>
            </w:pPr>
          </w:p>
        </w:tc>
        <w:tc>
          <w:tcPr>
            <w:tcW w:w="820" w:type="dxa"/>
            <w:vAlign w:val="bottom"/>
          </w:tcPr>
          <w:p>
            <w:pPr>
              <w:jc w:val="right"/>
              <w:ind w:right="98"/>
              <w:spacing w:after="0" w:line="229" w:lineRule="exact"/>
              <w:rPr>
                <w:sz w:val="20"/>
                <w:szCs w:val="20"/>
                <w:color w:val="auto"/>
              </w:rPr>
            </w:pPr>
            <w:r>
              <w:rPr>
                <w:rFonts w:ascii="Times New Roman" w:cs="Times New Roman" w:eastAsia="Times New Roman" w:hAnsi="Times New Roman"/>
                <w:sz w:val="20"/>
                <w:szCs w:val="20"/>
                <w:color w:val="auto"/>
              </w:rPr>
              <w:t>102%</w:t>
            </w:r>
          </w:p>
        </w:tc>
        <w:tc>
          <w:tcPr>
            <w:tcW w:w="0" w:type="dxa"/>
            <w:vAlign w:val="bottom"/>
          </w:tcPr>
          <w:p>
            <w:pPr>
              <w:spacing w:after="0"/>
              <w:rPr>
                <w:sz w:val="1"/>
                <w:szCs w:val="1"/>
                <w:color w:val="auto"/>
              </w:rPr>
            </w:pPr>
          </w:p>
        </w:tc>
      </w:tr>
      <w:tr>
        <w:trPr>
          <w:trHeight w:val="254"/>
        </w:trPr>
        <w:tc>
          <w:tcPr>
            <w:tcW w:w="1880" w:type="dxa"/>
            <w:vAlign w:val="bottom"/>
          </w:tcPr>
          <w:p>
            <w:pPr>
              <w:spacing w:after="0"/>
              <w:rPr>
                <w:sz w:val="20"/>
                <w:szCs w:val="20"/>
                <w:color w:val="auto"/>
              </w:rPr>
            </w:pPr>
            <w:r>
              <w:rPr>
                <w:rFonts w:ascii="Times New Roman" w:cs="Times New Roman" w:eastAsia="Times New Roman" w:hAnsi="Times New Roman"/>
                <w:sz w:val="20"/>
                <w:szCs w:val="20"/>
                <w:color w:val="auto"/>
              </w:rPr>
              <w:t>cannabis</w:t>
            </w: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88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Revenue from</w:t>
            </w:r>
          </w:p>
        </w:tc>
        <w:tc>
          <w:tcPr>
            <w:tcW w:w="200" w:type="dxa"/>
            <w:vAlign w:val="bottom"/>
          </w:tcPr>
          <w:p>
            <w:pPr>
              <w:spacing w:after="0"/>
              <w:rPr>
                <w:sz w:val="19"/>
                <w:szCs w:val="19"/>
                <w:color w:val="auto"/>
              </w:rPr>
            </w:pPr>
          </w:p>
        </w:tc>
        <w:tc>
          <w:tcPr>
            <w:tcW w:w="1180" w:type="dxa"/>
            <w:vAlign w:val="bottom"/>
            <w:vMerge w:val="restart"/>
          </w:tcPr>
          <w:p>
            <w:pPr>
              <w:jc w:val="right"/>
              <w:ind w:right="38"/>
              <w:spacing w:after="0"/>
              <w:rPr>
                <w:sz w:val="20"/>
                <w:szCs w:val="20"/>
                <w:color w:val="auto"/>
              </w:rPr>
            </w:pPr>
            <w:r>
              <w:rPr>
                <w:rFonts w:ascii="Times New Roman" w:cs="Times New Roman" w:eastAsia="Times New Roman" w:hAnsi="Times New Roman"/>
                <w:sz w:val="20"/>
                <w:szCs w:val="20"/>
                <w:color w:val="auto"/>
              </w:rPr>
              <w:t>4,170</w:t>
            </w:r>
          </w:p>
        </w:tc>
        <w:tc>
          <w:tcPr>
            <w:tcW w:w="80" w:type="dxa"/>
            <w:vAlign w:val="bottom"/>
          </w:tcPr>
          <w:p>
            <w:pPr>
              <w:spacing w:after="0"/>
              <w:rPr>
                <w:sz w:val="19"/>
                <w:szCs w:val="19"/>
                <w:color w:val="auto"/>
              </w:rPr>
            </w:pPr>
          </w:p>
        </w:tc>
        <w:tc>
          <w:tcPr>
            <w:tcW w:w="840" w:type="dxa"/>
            <w:vAlign w:val="bottom"/>
            <w:vMerge w:val="restart"/>
          </w:tcPr>
          <w:p>
            <w:pPr>
              <w:jc w:val="right"/>
              <w:ind w:right="98"/>
              <w:spacing w:after="0"/>
              <w:rPr>
                <w:sz w:val="20"/>
                <w:szCs w:val="20"/>
                <w:color w:val="auto"/>
              </w:rPr>
            </w:pPr>
            <w:r>
              <w:rPr>
                <w:rFonts w:ascii="Times New Roman" w:cs="Times New Roman" w:eastAsia="Times New Roman" w:hAnsi="Times New Roman"/>
                <w:sz w:val="20"/>
                <w:szCs w:val="20"/>
                <w:color w:val="auto"/>
              </w:rPr>
              <w:t>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vMerge w:val="restart"/>
          </w:tcPr>
          <w:p>
            <w:pPr>
              <w:jc w:val="right"/>
              <w:ind w:right="38"/>
              <w:spacing w:after="0"/>
              <w:rPr>
                <w:sz w:val="20"/>
                <w:szCs w:val="20"/>
                <w:color w:val="auto"/>
              </w:rPr>
            </w:pPr>
            <w:r>
              <w:rPr>
                <w:rFonts w:ascii="Times New Roman" w:cs="Times New Roman" w:eastAsia="Times New Roman" w:hAnsi="Times New Roman"/>
                <w:sz w:val="20"/>
                <w:szCs w:val="20"/>
                <w:color w:val="auto"/>
              </w:rPr>
              <w:t>2,764</w:t>
            </w:r>
          </w:p>
        </w:tc>
        <w:tc>
          <w:tcPr>
            <w:tcW w:w="80" w:type="dxa"/>
            <w:vAlign w:val="bottom"/>
          </w:tcPr>
          <w:p>
            <w:pPr>
              <w:spacing w:after="0"/>
              <w:rPr>
                <w:sz w:val="19"/>
                <w:szCs w:val="19"/>
                <w:color w:val="auto"/>
              </w:rPr>
            </w:pPr>
          </w:p>
        </w:tc>
        <w:tc>
          <w:tcPr>
            <w:tcW w:w="820" w:type="dxa"/>
            <w:vAlign w:val="bottom"/>
            <w:vMerge w:val="restart"/>
          </w:tcPr>
          <w:p>
            <w:pPr>
              <w:jc w:val="right"/>
              <w:ind w:right="98"/>
              <w:spacing w:after="0"/>
              <w:rPr>
                <w:sz w:val="20"/>
                <w:szCs w:val="20"/>
                <w:color w:val="auto"/>
              </w:rPr>
            </w:pPr>
            <w:r>
              <w:rPr>
                <w:rFonts w:ascii="Times New Roman" w:cs="Times New Roman" w:eastAsia="Times New Roman" w:hAnsi="Times New Roman"/>
                <w:sz w:val="20"/>
                <w:szCs w:val="20"/>
                <w:color w:val="auto"/>
              </w:rPr>
              <w:t>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vMerge w:val="restart"/>
          </w:tcPr>
          <w:p>
            <w:pPr>
              <w:jc w:val="right"/>
              <w:ind w:right="38"/>
              <w:spacing w:after="0"/>
              <w:rPr>
                <w:sz w:val="20"/>
                <w:szCs w:val="20"/>
                <w:color w:val="auto"/>
              </w:rPr>
            </w:pPr>
            <w:r>
              <w:rPr>
                <w:rFonts w:ascii="Times New Roman" w:cs="Times New Roman" w:eastAsia="Times New Roman" w:hAnsi="Times New Roman"/>
                <w:sz w:val="20"/>
                <w:szCs w:val="20"/>
                <w:color w:val="auto"/>
              </w:rPr>
              <w:t>16,525</w:t>
            </w:r>
          </w:p>
        </w:tc>
        <w:tc>
          <w:tcPr>
            <w:tcW w:w="80" w:type="dxa"/>
            <w:vAlign w:val="bottom"/>
          </w:tcPr>
          <w:p>
            <w:pPr>
              <w:spacing w:after="0"/>
              <w:rPr>
                <w:sz w:val="19"/>
                <w:szCs w:val="19"/>
                <w:color w:val="auto"/>
              </w:rPr>
            </w:pPr>
          </w:p>
        </w:tc>
        <w:tc>
          <w:tcPr>
            <w:tcW w:w="820" w:type="dxa"/>
            <w:vAlign w:val="bottom"/>
            <w:vMerge w:val="restart"/>
          </w:tcPr>
          <w:p>
            <w:pPr>
              <w:jc w:val="right"/>
              <w:ind w:right="98"/>
              <w:spacing w:after="0"/>
              <w:rPr>
                <w:sz w:val="20"/>
                <w:szCs w:val="20"/>
                <w:color w:val="auto"/>
              </w:rPr>
            </w:pPr>
            <w:r>
              <w:rPr>
                <w:rFonts w:ascii="Times New Roman" w:cs="Times New Roman" w:eastAsia="Times New Roman" w:hAnsi="Times New Roman"/>
                <w:sz w:val="20"/>
                <w:szCs w:val="20"/>
                <w:color w:val="auto"/>
              </w:rPr>
              <w:t>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vMerge w:val="restart"/>
          </w:tcPr>
          <w:p>
            <w:pPr>
              <w:jc w:val="right"/>
              <w:ind w:right="38"/>
              <w:spacing w:after="0"/>
              <w:rPr>
                <w:sz w:val="20"/>
                <w:szCs w:val="20"/>
                <w:color w:val="auto"/>
              </w:rPr>
            </w:pPr>
            <w:r>
              <w:rPr>
                <w:rFonts w:ascii="Times New Roman" w:cs="Times New Roman" w:eastAsia="Times New Roman" w:hAnsi="Times New Roman"/>
                <w:sz w:val="20"/>
                <w:szCs w:val="20"/>
                <w:color w:val="auto"/>
              </w:rPr>
              <w:t>12,348</w:t>
            </w:r>
          </w:p>
        </w:tc>
        <w:tc>
          <w:tcPr>
            <w:tcW w:w="60" w:type="dxa"/>
            <w:vAlign w:val="bottom"/>
          </w:tcPr>
          <w:p>
            <w:pPr>
              <w:spacing w:after="0"/>
              <w:rPr>
                <w:sz w:val="19"/>
                <w:szCs w:val="19"/>
                <w:color w:val="auto"/>
              </w:rPr>
            </w:pPr>
          </w:p>
        </w:tc>
        <w:tc>
          <w:tcPr>
            <w:tcW w:w="820" w:type="dxa"/>
            <w:vAlign w:val="bottom"/>
            <w:vMerge w:val="restart"/>
          </w:tcPr>
          <w:p>
            <w:pPr>
              <w:jc w:val="right"/>
              <w:ind w:right="98"/>
              <w:spacing w:after="0"/>
              <w:rPr>
                <w:sz w:val="20"/>
                <w:szCs w:val="20"/>
                <w:color w:val="auto"/>
              </w:rPr>
            </w:pPr>
            <w:r>
              <w:rPr>
                <w:rFonts w:ascii="Times New Roman" w:cs="Times New Roman" w:eastAsia="Times New Roman" w:hAnsi="Times New Roman"/>
                <w:sz w:val="20"/>
                <w:szCs w:val="20"/>
                <w:color w:val="auto"/>
              </w:rPr>
              <w:t>6%</w:t>
            </w:r>
          </w:p>
        </w:tc>
        <w:tc>
          <w:tcPr>
            <w:tcW w:w="0" w:type="dxa"/>
            <w:vAlign w:val="bottom"/>
          </w:tcPr>
          <w:p>
            <w:pPr>
              <w:spacing w:after="0"/>
              <w:rPr>
                <w:sz w:val="1"/>
                <w:szCs w:val="1"/>
                <w:color w:val="auto"/>
              </w:rPr>
            </w:pPr>
          </w:p>
        </w:tc>
      </w:tr>
      <w:tr>
        <w:trPr>
          <w:trHeight w:val="151"/>
        </w:trPr>
        <w:tc>
          <w:tcPr>
            <w:tcW w:w="18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wholesale cannabis</w:t>
            </w:r>
          </w:p>
        </w:tc>
        <w:tc>
          <w:tcPr>
            <w:tcW w:w="20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18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188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Revenue from</w:t>
            </w:r>
          </w:p>
        </w:tc>
        <w:tc>
          <w:tcPr>
            <w:tcW w:w="200" w:type="dxa"/>
            <w:vAlign w:val="bottom"/>
          </w:tcPr>
          <w:p>
            <w:pPr>
              <w:spacing w:after="0"/>
              <w:rPr>
                <w:sz w:val="19"/>
                <w:szCs w:val="19"/>
                <w:color w:val="auto"/>
              </w:rPr>
            </w:pPr>
          </w:p>
        </w:tc>
        <w:tc>
          <w:tcPr>
            <w:tcW w:w="1180" w:type="dxa"/>
            <w:vAlign w:val="bottom"/>
            <w:vMerge w:val="restart"/>
          </w:tcPr>
          <w:p>
            <w:pPr>
              <w:jc w:val="right"/>
              <w:ind w:right="38"/>
              <w:spacing w:after="0"/>
              <w:rPr>
                <w:sz w:val="20"/>
                <w:szCs w:val="20"/>
                <w:color w:val="auto"/>
              </w:rPr>
            </w:pPr>
            <w:r>
              <w:rPr>
                <w:rFonts w:ascii="Times New Roman" w:cs="Times New Roman" w:eastAsia="Times New Roman" w:hAnsi="Times New Roman"/>
                <w:sz w:val="20"/>
                <w:szCs w:val="20"/>
                <w:color w:val="auto"/>
              </w:rPr>
              <w:t>14,264</w:t>
            </w:r>
          </w:p>
        </w:tc>
        <w:tc>
          <w:tcPr>
            <w:tcW w:w="80" w:type="dxa"/>
            <w:vAlign w:val="bottom"/>
          </w:tcPr>
          <w:p>
            <w:pPr>
              <w:spacing w:after="0"/>
              <w:rPr>
                <w:sz w:val="19"/>
                <w:szCs w:val="19"/>
                <w:color w:val="auto"/>
              </w:rPr>
            </w:pPr>
          </w:p>
        </w:tc>
        <w:tc>
          <w:tcPr>
            <w:tcW w:w="840" w:type="dxa"/>
            <w:vAlign w:val="bottom"/>
            <w:vMerge w:val="restart"/>
          </w:tcPr>
          <w:p>
            <w:pPr>
              <w:jc w:val="right"/>
              <w:ind w:right="98"/>
              <w:spacing w:after="0"/>
              <w:rPr>
                <w:sz w:val="20"/>
                <w:szCs w:val="20"/>
                <w:color w:val="auto"/>
              </w:rPr>
            </w:pPr>
            <w:r>
              <w:rPr>
                <w:rFonts w:ascii="Times New Roman" w:cs="Times New Roman" w:eastAsia="Times New Roman" w:hAnsi="Times New Roman"/>
                <w:sz w:val="20"/>
                <w:szCs w:val="20"/>
                <w:color w:val="auto"/>
              </w:rPr>
              <w:t>25%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vMerge w:val="restart"/>
          </w:tcPr>
          <w:p>
            <w:pPr>
              <w:jc w:val="right"/>
              <w:ind w:right="38"/>
              <w:spacing w:after="0"/>
              <w:rPr>
                <w:sz w:val="20"/>
                <w:szCs w:val="20"/>
                <w:color w:val="auto"/>
              </w:rPr>
            </w:pPr>
            <w:r>
              <w:rPr>
                <w:rFonts w:ascii="Times New Roman" w:cs="Times New Roman" w:eastAsia="Times New Roman" w:hAnsi="Times New Roman"/>
                <w:sz w:val="20"/>
                <w:szCs w:val="20"/>
                <w:color w:val="auto"/>
              </w:rPr>
              <w:t>14,002</w:t>
            </w:r>
          </w:p>
        </w:tc>
        <w:tc>
          <w:tcPr>
            <w:tcW w:w="80" w:type="dxa"/>
            <w:vAlign w:val="bottom"/>
          </w:tcPr>
          <w:p>
            <w:pPr>
              <w:spacing w:after="0"/>
              <w:rPr>
                <w:sz w:val="19"/>
                <w:szCs w:val="19"/>
                <w:color w:val="auto"/>
              </w:rPr>
            </w:pPr>
          </w:p>
        </w:tc>
        <w:tc>
          <w:tcPr>
            <w:tcW w:w="820" w:type="dxa"/>
            <w:vAlign w:val="bottom"/>
            <w:vMerge w:val="restart"/>
          </w:tcPr>
          <w:p>
            <w:pPr>
              <w:jc w:val="right"/>
              <w:ind w:right="98"/>
              <w:spacing w:after="0"/>
              <w:rPr>
                <w:sz w:val="20"/>
                <w:szCs w:val="20"/>
                <w:color w:val="auto"/>
              </w:rPr>
            </w:pPr>
            <w:r>
              <w:rPr>
                <w:rFonts w:ascii="Times New Roman" w:cs="Times New Roman" w:eastAsia="Times New Roman" w:hAnsi="Times New Roman"/>
                <w:sz w:val="20"/>
                <w:szCs w:val="20"/>
                <w:color w:val="auto"/>
              </w:rPr>
              <w:t>22%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vMerge w:val="restart"/>
          </w:tcPr>
          <w:p>
            <w:pPr>
              <w:jc w:val="right"/>
              <w:ind w:right="38"/>
              <w:spacing w:after="0"/>
              <w:rPr>
                <w:sz w:val="20"/>
                <w:szCs w:val="20"/>
                <w:color w:val="auto"/>
              </w:rPr>
            </w:pPr>
            <w:r>
              <w:rPr>
                <w:rFonts w:ascii="Times New Roman" w:cs="Times New Roman" w:eastAsia="Times New Roman" w:hAnsi="Times New Roman"/>
                <w:sz w:val="20"/>
                <w:szCs w:val="20"/>
                <w:color w:val="auto"/>
              </w:rPr>
              <w:t>41,411</w:t>
            </w:r>
          </w:p>
        </w:tc>
        <w:tc>
          <w:tcPr>
            <w:tcW w:w="80" w:type="dxa"/>
            <w:vAlign w:val="bottom"/>
          </w:tcPr>
          <w:p>
            <w:pPr>
              <w:spacing w:after="0"/>
              <w:rPr>
                <w:sz w:val="19"/>
                <w:szCs w:val="19"/>
                <w:color w:val="auto"/>
              </w:rPr>
            </w:pPr>
          </w:p>
        </w:tc>
        <w:tc>
          <w:tcPr>
            <w:tcW w:w="820" w:type="dxa"/>
            <w:vAlign w:val="bottom"/>
            <w:vMerge w:val="restart"/>
          </w:tcPr>
          <w:p>
            <w:pPr>
              <w:jc w:val="right"/>
              <w:ind w:right="98"/>
              <w:spacing w:after="0"/>
              <w:rPr>
                <w:sz w:val="20"/>
                <w:szCs w:val="20"/>
                <w:color w:val="auto"/>
              </w:rPr>
            </w:pPr>
            <w:r>
              <w:rPr>
                <w:rFonts w:ascii="Times New Roman" w:cs="Times New Roman" w:eastAsia="Times New Roman" w:hAnsi="Times New Roman"/>
                <w:sz w:val="20"/>
                <w:szCs w:val="20"/>
                <w:color w:val="auto"/>
              </w:rPr>
              <w:t>22%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vMerge w:val="restart"/>
          </w:tcPr>
          <w:p>
            <w:pPr>
              <w:jc w:val="right"/>
              <w:ind w:right="38"/>
              <w:spacing w:after="0"/>
              <w:rPr>
                <w:sz w:val="20"/>
                <w:szCs w:val="20"/>
                <w:color w:val="auto"/>
              </w:rPr>
            </w:pPr>
            <w:r>
              <w:rPr>
                <w:rFonts w:ascii="Times New Roman" w:cs="Times New Roman" w:eastAsia="Times New Roman" w:hAnsi="Times New Roman"/>
                <w:sz w:val="20"/>
                <w:szCs w:val="20"/>
                <w:color w:val="auto"/>
              </w:rPr>
              <w:t>40,185</w:t>
            </w:r>
          </w:p>
        </w:tc>
        <w:tc>
          <w:tcPr>
            <w:tcW w:w="60" w:type="dxa"/>
            <w:vAlign w:val="bottom"/>
          </w:tcPr>
          <w:p>
            <w:pPr>
              <w:spacing w:after="0"/>
              <w:rPr>
                <w:sz w:val="19"/>
                <w:szCs w:val="19"/>
                <w:color w:val="auto"/>
              </w:rPr>
            </w:pPr>
          </w:p>
        </w:tc>
        <w:tc>
          <w:tcPr>
            <w:tcW w:w="820" w:type="dxa"/>
            <w:vAlign w:val="bottom"/>
            <w:vMerge w:val="restart"/>
          </w:tcPr>
          <w:p>
            <w:pPr>
              <w:jc w:val="right"/>
              <w:ind w:right="98"/>
              <w:spacing w:after="0"/>
              <w:rPr>
                <w:sz w:val="20"/>
                <w:szCs w:val="20"/>
                <w:color w:val="auto"/>
              </w:rPr>
            </w:pPr>
            <w:r>
              <w:rPr>
                <w:rFonts w:ascii="Times New Roman" w:cs="Times New Roman" w:eastAsia="Times New Roman" w:hAnsi="Times New Roman"/>
                <w:sz w:val="20"/>
                <w:szCs w:val="20"/>
                <w:color w:val="auto"/>
              </w:rPr>
              <w:t>20%</w:t>
            </w:r>
          </w:p>
        </w:tc>
        <w:tc>
          <w:tcPr>
            <w:tcW w:w="0" w:type="dxa"/>
            <w:vAlign w:val="bottom"/>
          </w:tcPr>
          <w:p>
            <w:pPr>
              <w:spacing w:after="0"/>
              <w:rPr>
                <w:sz w:val="1"/>
                <w:szCs w:val="1"/>
                <w:color w:val="auto"/>
              </w:rPr>
            </w:pPr>
          </w:p>
        </w:tc>
      </w:tr>
      <w:tr>
        <w:trPr>
          <w:trHeight w:val="151"/>
        </w:trPr>
        <w:tc>
          <w:tcPr>
            <w:tcW w:w="18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international cannabis</w:t>
            </w:r>
          </w:p>
        </w:tc>
        <w:tc>
          <w:tcPr>
            <w:tcW w:w="20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18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5"/>
        </w:trPr>
        <w:tc>
          <w:tcPr>
            <w:tcW w:w="1880" w:type="dxa"/>
            <w:vAlign w:val="bottom"/>
          </w:tcPr>
          <w:p>
            <w:pPr>
              <w:spacing w:after="0"/>
              <w:rPr>
                <w:sz w:val="20"/>
                <w:szCs w:val="20"/>
                <w:color w:val="auto"/>
              </w:rPr>
            </w:pPr>
            <w:r>
              <w:rPr>
                <w:rFonts w:ascii="Times New Roman" w:cs="Times New Roman" w:eastAsia="Times New Roman" w:hAnsi="Times New Roman"/>
                <w:sz w:val="20"/>
                <w:szCs w:val="20"/>
                <w:color w:val="auto"/>
              </w:rPr>
              <w:t>Less excise taxes</w:t>
            </w:r>
          </w:p>
        </w:tc>
        <w:tc>
          <w:tcPr>
            <w:tcW w:w="2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(20,033)</w:t>
            </w:r>
          </w:p>
        </w:tc>
        <w:tc>
          <w:tcPr>
            <w:tcW w:w="80" w:type="dxa"/>
            <w:vAlign w:val="bottom"/>
          </w:tcPr>
          <w:p>
            <w:pPr>
              <w:spacing w:after="0"/>
              <w:rPr>
                <w:sz w:val="23"/>
                <w:szCs w:val="23"/>
                <w:color w:val="auto"/>
              </w:rPr>
            </w:pPr>
          </w:p>
        </w:tc>
        <w:tc>
          <w:tcPr>
            <w:tcW w:w="84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20"/>
                <w:szCs w:val="20"/>
                <w:color w:val="auto"/>
              </w:rPr>
              <w:t>(35)%</w:t>
            </w:r>
          </w:p>
        </w:tc>
        <w:tc>
          <w:tcPr>
            <w:tcW w:w="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(21,804)</w:t>
            </w:r>
          </w:p>
        </w:tc>
        <w:tc>
          <w:tcPr>
            <w:tcW w:w="80" w:type="dxa"/>
            <w:vAlign w:val="bottom"/>
          </w:tcPr>
          <w:p>
            <w:pPr>
              <w:spacing w:after="0"/>
              <w:rPr>
                <w:sz w:val="23"/>
                <w:szCs w:val="23"/>
                <w:color w:val="auto"/>
              </w:rPr>
            </w:pPr>
          </w:p>
        </w:tc>
        <w:tc>
          <w:tcPr>
            <w:tcW w:w="8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20"/>
                <w:szCs w:val="20"/>
                <w:color w:val="auto"/>
              </w:rPr>
              <w:t>(34)%</w:t>
            </w:r>
          </w:p>
        </w:tc>
        <w:tc>
          <w:tcPr>
            <w:tcW w:w="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(62,181)</w:t>
            </w:r>
          </w:p>
        </w:tc>
        <w:tc>
          <w:tcPr>
            <w:tcW w:w="80" w:type="dxa"/>
            <w:vAlign w:val="bottom"/>
          </w:tcPr>
          <w:p>
            <w:pPr>
              <w:spacing w:after="0"/>
              <w:rPr>
                <w:sz w:val="23"/>
                <w:szCs w:val="23"/>
                <w:color w:val="auto"/>
              </w:rPr>
            </w:pPr>
          </w:p>
        </w:tc>
        <w:tc>
          <w:tcPr>
            <w:tcW w:w="8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20"/>
                <w:szCs w:val="20"/>
                <w:color w:val="auto"/>
              </w:rPr>
              <w:t>(33)%</w:t>
            </w:r>
          </w:p>
        </w:tc>
        <w:tc>
          <w:tcPr>
            <w:tcW w:w="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(75,797)</w:t>
            </w:r>
          </w:p>
        </w:tc>
        <w:tc>
          <w:tcPr>
            <w:tcW w:w="60" w:type="dxa"/>
            <w:vAlign w:val="bottom"/>
          </w:tcPr>
          <w:p>
            <w:pPr>
              <w:spacing w:after="0"/>
              <w:rPr>
                <w:sz w:val="23"/>
                <w:szCs w:val="23"/>
                <w:color w:val="auto"/>
              </w:rPr>
            </w:pPr>
          </w:p>
        </w:tc>
        <w:tc>
          <w:tcPr>
            <w:tcW w:w="8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20"/>
                <w:szCs w:val="20"/>
                <w:color w:val="auto"/>
              </w:rPr>
              <w:t>(37)%</w:t>
            </w:r>
          </w:p>
        </w:tc>
        <w:tc>
          <w:tcPr>
            <w:tcW w:w="0" w:type="dxa"/>
            <w:vAlign w:val="bottom"/>
          </w:tcPr>
          <w:p>
            <w:pPr>
              <w:spacing w:after="0"/>
              <w:rPr>
                <w:sz w:val="1"/>
                <w:szCs w:val="1"/>
                <w:color w:val="auto"/>
              </w:rPr>
            </w:pPr>
          </w:p>
        </w:tc>
      </w:tr>
      <w:tr>
        <w:trPr>
          <w:trHeight w:val="248"/>
        </w:trPr>
        <w:tc>
          <w:tcPr>
            <w:tcW w:w="188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20"/>
                <w:szCs w:val="20"/>
                <w:color w:val="auto"/>
              </w:rPr>
              <w:t>57,475</w:t>
            </w:r>
          </w:p>
        </w:tc>
        <w:tc>
          <w:tcPr>
            <w:tcW w:w="80" w:type="dxa"/>
            <w:vAlign w:val="bottom"/>
          </w:tcPr>
          <w:p>
            <w:pPr>
              <w:spacing w:after="0"/>
              <w:rPr>
                <w:sz w:val="21"/>
                <w:szCs w:val="21"/>
                <w:color w:val="auto"/>
              </w:rPr>
            </w:pPr>
          </w:p>
        </w:tc>
        <w:tc>
          <w:tcPr>
            <w:tcW w:w="84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20"/>
                <w:szCs w:val="20"/>
                <w:color w:val="auto"/>
              </w:rPr>
              <w:t>100%</w:t>
            </w:r>
          </w:p>
        </w:tc>
        <w:tc>
          <w:tcPr>
            <w:tcW w:w="8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20"/>
                <w:szCs w:val="20"/>
                <w:color w:val="auto"/>
              </w:rPr>
              <w:t>63,432</w:t>
            </w:r>
          </w:p>
        </w:tc>
        <w:tc>
          <w:tcPr>
            <w:tcW w:w="80" w:type="dxa"/>
            <w:vAlign w:val="bottom"/>
          </w:tcPr>
          <w:p>
            <w:pPr>
              <w:spacing w:after="0"/>
              <w:rPr>
                <w:sz w:val="21"/>
                <w:szCs w:val="21"/>
                <w:color w:val="auto"/>
              </w:rPr>
            </w:pPr>
          </w:p>
        </w:tc>
        <w:tc>
          <w:tcPr>
            <w:tcW w:w="82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20"/>
                <w:szCs w:val="20"/>
                <w:color w:val="auto"/>
              </w:rPr>
              <w:t>100%</w:t>
            </w:r>
          </w:p>
        </w:tc>
        <w:tc>
          <w:tcPr>
            <w:tcW w:w="80" w:type="dxa"/>
            <w:vAlign w:val="bottom"/>
          </w:tcPr>
          <w:p>
            <w:pPr>
              <w:spacing w:after="0"/>
              <w:rPr>
                <w:sz w:val="21"/>
                <w:szCs w:val="21"/>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20"/>
                <w:szCs w:val="20"/>
                <w:color w:val="auto"/>
              </w:rPr>
              <w:t>186,120</w:t>
            </w:r>
          </w:p>
        </w:tc>
        <w:tc>
          <w:tcPr>
            <w:tcW w:w="80" w:type="dxa"/>
            <w:vAlign w:val="bottom"/>
          </w:tcPr>
          <w:p>
            <w:pPr>
              <w:spacing w:after="0"/>
              <w:rPr>
                <w:sz w:val="21"/>
                <w:szCs w:val="21"/>
                <w:color w:val="auto"/>
              </w:rPr>
            </w:pPr>
          </w:p>
        </w:tc>
        <w:tc>
          <w:tcPr>
            <w:tcW w:w="82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20"/>
                <w:szCs w:val="20"/>
                <w:color w:val="auto"/>
              </w:rPr>
              <w:t>100%</w:t>
            </w:r>
          </w:p>
        </w:tc>
        <w:tc>
          <w:tcPr>
            <w:tcW w:w="80" w:type="dxa"/>
            <w:vAlign w:val="bottom"/>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20"/>
                <w:szCs w:val="20"/>
                <w:color w:val="auto"/>
              </w:rPr>
              <w:t>200,879</w:t>
            </w:r>
          </w:p>
        </w:tc>
        <w:tc>
          <w:tcPr>
            <w:tcW w:w="60" w:type="dxa"/>
            <w:vAlign w:val="bottom"/>
          </w:tcPr>
          <w:p>
            <w:pPr>
              <w:spacing w:after="0"/>
              <w:rPr>
                <w:sz w:val="21"/>
                <w:szCs w:val="21"/>
                <w:color w:val="auto"/>
              </w:rPr>
            </w:pPr>
          </w:p>
        </w:tc>
        <w:tc>
          <w:tcPr>
            <w:tcW w:w="82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20"/>
                <w:szCs w:val="20"/>
                <w:color w:val="auto"/>
              </w:rPr>
              <w:t>100%</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Financial Information: Key Operating</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Metrics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340" w:type="dxa"/>
            <w:vAlign w:val="bottom"/>
            <w:gridSpan w:val="5"/>
          </w:tcPr>
          <w:p>
            <w:pPr>
              <w:ind w:left="320"/>
              <w:spacing w:after="0"/>
              <w:rPr>
                <w:sz w:val="20"/>
                <w:szCs w:val="20"/>
                <w:color w:val="auto"/>
              </w:rPr>
            </w:pPr>
            <w:r>
              <w:rPr>
                <w:rFonts w:ascii="Times New Roman" w:cs="Times New Roman" w:eastAsia="Times New Roman" w:hAnsi="Times New Roman"/>
                <w:sz w:val="20"/>
                <w:szCs w:val="20"/>
                <w:b w:val="1"/>
                <w:bCs w:val="1"/>
                <w:color w:val="auto"/>
              </w:rPr>
              <w:t>For the three months ended</w:t>
            </w:r>
          </w:p>
        </w:tc>
        <w:tc>
          <w:tcPr>
            <w:tcW w:w="180" w:type="dxa"/>
            <w:vAlign w:val="bottom"/>
          </w:tcPr>
          <w:p>
            <w:pPr>
              <w:spacing w:after="0"/>
              <w:rPr>
                <w:sz w:val="20"/>
                <w:szCs w:val="20"/>
                <w:color w:val="auto"/>
              </w:rPr>
            </w:pPr>
          </w:p>
        </w:tc>
        <w:tc>
          <w:tcPr>
            <w:tcW w:w="3260" w:type="dxa"/>
            <w:vAlign w:val="bottom"/>
            <w:gridSpan w:val="4"/>
          </w:tcPr>
          <w:p>
            <w:pPr>
              <w:jc w:val="right"/>
              <w:ind w:right="458"/>
              <w:spacing w:after="0"/>
              <w:rPr>
                <w:sz w:val="20"/>
                <w:szCs w:val="20"/>
                <w:color w:val="auto"/>
              </w:rPr>
            </w:pPr>
            <w:r>
              <w:rPr>
                <w:rFonts w:ascii="Times New Roman" w:cs="Times New Roman" w:eastAsia="Times New Roman" w:hAnsi="Times New Roman"/>
                <w:sz w:val="20"/>
                <w:szCs w:val="20"/>
                <w:b w:val="1"/>
                <w:bCs w:val="1"/>
                <w:color w:val="auto"/>
              </w:rPr>
              <w:t>For the nine months ended</w:t>
            </w:r>
          </w:p>
        </w:tc>
      </w:tr>
      <w:tr>
        <w:trPr>
          <w:trHeight w:val="254"/>
        </w:trPr>
        <w:tc>
          <w:tcPr>
            <w:tcW w:w="4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February 28,</w:t>
            </w:r>
          </w:p>
        </w:tc>
        <w:tc>
          <w:tcPr>
            <w:tcW w:w="180" w:type="dxa"/>
            <w:vAlign w:val="bottom"/>
          </w:tcPr>
          <w:p>
            <w:pPr>
              <w:spacing w:after="0"/>
              <w:rPr>
                <w:sz w:val="22"/>
                <w:szCs w:val="22"/>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February 29,</w:t>
            </w:r>
          </w:p>
        </w:tc>
        <w:tc>
          <w:tcPr>
            <w:tcW w:w="180" w:type="dxa"/>
            <w:vAlign w:val="bottom"/>
          </w:tcPr>
          <w:p>
            <w:pPr>
              <w:spacing w:after="0"/>
              <w:rPr>
                <w:sz w:val="22"/>
                <w:szCs w:val="22"/>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February 28,</w:t>
            </w:r>
          </w:p>
        </w:tc>
        <w:tc>
          <w:tcPr>
            <w:tcW w:w="200" w:type="dxa"/>
            <w:vAlign w:val="bottom"/>
          </w:tcPr>
          <w:p>
            <w:pPr>
              <w:spacing w:after="0"/>
              <w:rPr>
                <w:sz w:val="22"/>
                <w:szCs w:val="22"/>
                <w:color w:val="auto"/>
              </w:rPr>
            </w:pPr>
          </w:p>
        </w:tc>
        <w:tc>
          <w:tcPr>
            <w:tcW w:w="1480" w:type="dxa"/>
            <w:vAlign w:val="bottom"/>
          </w:tcPr>
          <w:p>
            <w:pPr>
              <w:jc w:val="right"/>
              <w:ind w:right="158"/>
              <w:spacing w:after="0"/>
              <w:rPr>
                <w:sz w:val="20"/>
                <w:szCs w:val="20"/>
                <w:color w:val="auto"/>
              </w:rPr>
            </w:pPr>
            <w:r>
              <w:rPr>
                <w:rFonts w:ascii="Times New Roman" w:cs="Times New Roman" w:eastAsia="Times New Roman" w:hAnsi="Times New Roman"/>
                <w:sz w:val="20"/>
                <w:szCs w:val="20"/>
                <w:b w:val="1"/>
                <w:bCs w:val="1"/>
                <w:color w:val="auto"/>
              </w:rPr>
              <w:t>February 29,</w:t>
            </w:r>
          </w:p>
        </w:tc>
      </w:tr>
      <w:tr>
        <w:trPr>
          <w:trHeight w:val="269"/>
        </w:trPr>
        <w:tc>
          <w:tcPr>
            <w:tcW w:w="42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(in thousands of U.S. dollars)</w:t>
            </w:r>
          </w:p>
        </w:tc>
        <w:tc>
          <w:tcPr>
            <w:tcW w:w="20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ind w:right="598"/>
              <w:spacing w:after="0"/>
              <w:rPr>
                <w:sz w:val="20"/>
                <w:szCs w:val="20"/>
                <w:color w:val="auto"/>
              </w:rPr>
            </w:pPr>
            <w:r>
              <w:rPr>
                <w:rFonts w:ascii="Times New Roman" w:cs="Times New Roman" w:eastAsia="Times New Roman" w:hAnsi="Times New Roman"/>
                <w:sz w:val="20"/>
                <w:szCs w:val="20"/>
                <w:b w:val="1"/>
                <w:bCs w:val="1"/>
                <w:color w:val="auto"/>
              </w:rPr>
              <w:t>2025</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20"/>
                <w:szCs w:val="20"/>
                <w:b w:val="1"/>
                <w:bCs w:val="1"/>
                <w:color w:val="auto"/>
              </w:rPr>
              <w:t>2024</w:t>
            </w: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20"/>
                <w:szCs w:val="20"/>
                <w:b w:val="1"/>
                <w:bCs w:val="1"/>
                <w:color w:val="auto"/>
              </w:rPr>
              <w:t>2025</w:t>
            </w:r>
          </w:p>
        </w:tc>
        <w:tc>
          <w:tcPr>
            <w:tcW w:w="1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236"/>
        </w:trPr>
        <w:tc>
          <w:tcPr>
            <w:tcW w:w="4240" w:type="dxa"/>
            <w:vAlign w:val="bottom"/>
          </w:tcPr>
          <w:p>
            <w:pPr>
              <w:spacing w:after="0"/>
              <w:rPr>
                <w:sz w:val="20"/>
                <w:szCs w:val="20"/>
                <w:color w:val="auto"/>
              </w:rPr>
            </w:pPr>
            <w:r>
              <w:rPr>
                <w:rFonts w:ascii="Times New Roman" w:cs="Times New Roman" w:eastAsia="Times New Roman" w:hAnsi="Times New Roman"/>
                <w:sz w:val="20"/>
                <w:szCs w:val="20"/>
                <w:color w:val="auto"/>
              </w:rPr>
              <w:t>Net beverage revenue</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480" w:type="dxa"/>
            <w:vAlign w:val="bottom"/>
          </w:tcPr>
          <w:p>
            <w:pPr>
              <w:jc w:val="right"/>
              <w:ind w:right="118"/>
              <w:spacing w:after="0"/>
              <w:rPr>
                <w:sz w:val="20"/>
                <w:szCs w:val="20"/>
                <w:color w:val="auto"/>
              </w:rPr>
            </w:pPr>
            <w:r>
              <w:rPr>
                <w:rFonts w:ascii="Times New Roman" w:cs="Times New Roman" w:eastAsia="Times New Roman" w:hAnsi="Times New Roman"/>
                <w:sz w:val="20"/>
                <w:szCs w:val="20"/>
                <w:color w:val="auto"/>
              </w:rPr>
              <w:t>55,921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460" w:type="dxa"/>
            <w:vAlign w:val="bottom"/>
          </w:tcPr>
          <w:p>
            <w:pPr>
              <w:jc w:val="right"/>
              <w:ind w:right="78"/>
              <w:spacing w:after="0"/>
              <w:rPr>
                <w:sz w:val="20"/>
                <w:szCs w:val="20"/>
                <w:color w:val="auto"/>
              </w:rPr>
            </w:pPr>
            <w:r>
              <w:rPr>
                <w:rFonts w:ascii="Times New Roman" w:cs="Times New Roman" w:eastAsia="Times New Roman" w:hAnsi="Times New Roman"/>
                <w:sz w:val="20"/>
                <w:szCs w:val="20"/>
                <w:color w:val="auto"/>
              </w:rPr>
              <w:t>54,688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480" w:type="dxa"/>
            <w:vAlign w:val="bottom"/>
          </w:tcPr>
          <w:p>
            <w:pPr>
              <w:jc w:val="right"/>
              <w:ind w:right="98"/>
              <w:spacing w:after="0"/>
              <w:rPr>
                <w:sz w:val="20"/>
                <w:szCs w:val="20"/>
                <w:color w:val="auto"/>
              </w:rPr>
            </w:pPr>
            <w:r>
              <w:rPr>
                <w:rFonts w:ascii="Times New Roman" w:cs="Times New Roman" w:eastAsia="Times New Roman" w:hAnsi="Times New Roman"/>
                <w:sz w:val="20"/>
                <w:szCs w:val="20"/>
                <w:color w:val="auto"/>
              </w:rPr>
              <w:t>174,974</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480" w:type="dxa"/>
            <w:vAlign w:val="bottom"/>
          </w:tcPr>
          <w:p>
            <w:pPr>
              <w:jc w:val="right"/>
              <w:ind w:right="98"/>
              <w:spacing w:after="0"/>
              <w:rPr>
                <w:sz w:val="20"/>
                <w:szCs w:val="20"/>
                <w:color w:val="auto"/>
              </w:rPr>
            </w:pPr>
            <w:r>
              <w:rPr>
                <w:rFonts w:ascii="Times New Roman" w:cs="Times New Roman" w:eastAsia="Times New Roman" w:hAnsi="Times New Roman"/>
                <w:sz w:val="20"/>
                <w:szCs w:val="20"/>
                <w:color w:val="auto"/>
              </w:rPr>
              <w:t>125,355</w:t>
            </w:r>
          </w:p>
        </w:tc>
      </w:tr>
      <w:tr>
        <w:trPr>
          <w:trHeight w:val="254"/>
        </w:trPr>
        <w:tc>
          <w:tcPr>
            <w:tcW w:w="4240" w:type="dxa"/>
            <w:vAlign w:val="bottom"/>
          </w:tcPr>
          <w:p>
            <w:pPr>
              <w:spacing w:after="0"/>
              <w:rPr>
                <w:sz w:val="20"/>
                <w:szCs w:val="20"/>
                <w:color w:val="auto"/>
              </w:rPr>
            </w:pPr>
            <w:r>
              <w:rPr>
                <w:rFonts w:ascii="Times New Roman" w:cs="Times New Roman" w:eastAsia="Times New Roman" w:hAnsi="Times New Roman"/>
                <w:sz w:val="20"/>
                <w:szCs w:val="20"/>
                <w:color w:val="auto"/>
              </w:rPr>
              <w:t>Net cannabis revenue</w:t>
            </w:r>
          </w:p>
        </w:tc>
        <w:tc>
          <w:tcPr>
            <w:tcW w:w="200" w:type="dxa"/>
            <w:vAlign w:val="bottom"/>
          </w:tcPr>
          <w:p>
            <w:pPr>
              <w:spacing w:after="0"/>
              <w:rPr>
                <w:sz w:val="22"/>
                <w:szCs w:val="22"/>
                <w:color w:val="auto"/>
              </w:rPr>
            </w:pPr>
          </w:p>
        </w:tc>
        <w:tc>
          <w:tcPr>
            <w:tcW w:w="1480" w:type="dxa"/>
            <w:vAlign w:val="bottom"/>
          </w:tcPr>
          <w:p>
            <w:pPr>
              <w:jc w:val="right"/>
              <w:ind w:right="118"/>
              <w:spacing w:after="0"/>
              <w:rPr>
                <w:sz w:val="20"/>
                <w:szCs w:val="20"/>
                <w:color w:val="auto"/>
              </w:rPr>
            </w:pPr>
            <w:r>
              <w:rPr>
                <w:rFonts w:ascii="Times New Roman" w:cs="Times New Roman" w:eastAsia="Times New Roman" w:hAnsi="Times New Roman"/>
                <w:sz w:val="20"/>
                <w:szCs w:val="20"/>
                <w:color w:val="auto"/>
              </w:rPr>
              <w:t>54,274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ind w:right="78"/>
              <w:spacing w:after="0"/>
              <w:rPr>
                <w:sz w:val="20"/>
                <w:szCs w:val="20"/>
                <w:color w:val="auto"/>
              </w:rPr>
            </w:pPr>
            <w:r>
              <w:rPr>
                <w:rFonts w:ascii="Times New Roman" w:cs="Times New Roman" w:eastAsia="Times New Roman" w:hAnsi="Times New Roman"/>
                <w:sz w:val="20"/>
                <w:szCs w:val="20"/>
                <w:color w:val="auto"/>
              </w:rPr>
              <w:t>63,432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tcPr>
          <w:p>
            <w:pPr>
              <w:jc w:val="right"/>
              <w:ind w:right="98"/>
              <w:spacing w:after="0"/>
              <w:rPr>
                <w:sz w:val="20"/>
                <w:szCs w:val="20"/>
                <w:color w:val="auto"/>
              </w:rPr>
            </w:pPr>
            <w:r>
              <w:rPr>
                <w:rFonts w:ascii="Times New Roman" w:cs="Times New Roman" w:eastAsia="Times New Roman" w:hAnsi="Times New Roman"/>
                <w:sz w:val="20"/>
                <w:szCs w:val="20"/>
                <w:color w:val="auto"/>
              </w:rPr>
              <w:t>181,175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tcPr>
          <w:p>
            <w:pPr>
              <w:jc w:val="right"/>
              <w:ind w:right="98"/>
              <w:spacing w:after="0"/>
              <w:rPr>
                <w:sz w:val="20"/>
                <w:szCs w:val="20"/>
                <w:color w:val="auto"/>
              </w:rPr>
            </w:pPr>
            <w:r>
              <w:rPr>
                <w:rFonts w:ascii="Times New Roman" w:cs="Times New Roman" w:eastAsia="Times New Roman" w:hAnsi="Times New Roman"/>
                <w:sz w:val="20"/>
                <w:szCs w:val="20"/>
                <w:color w:val="auto"/>
              </w:rPr>
              <w:t>200,879</w:t>
            </w:r>
          </w:p>
        </w:tc>
      </w:tr>
      <w:tr>
        <w:trPr>
          <w:trHeight w:val="254"/>
        </w:trPr>
        <w:tc>
          <w:tcPr>
            <w:tcW w:w="4240" w:type="dxa"/>
            <w:vAlign w:val="bottom"/>
          </w:tcPr>
          <w:p>
            <w:pPr>
              <w:spacing w:after="0"/>
              <w:rPr>
                <w:sz w:val="20"/>
                <w:szCs w:val="20"/>
                <w:color w:val="auto"/>
              </w:rPr>
            </w:pPr>
            <w:r>
              <w:rPr>
                <w:rFonts w:ascii="Times New Roman" w:cs="Times New Roman" w:eastAsia="Times New Roman" w:hAnsi="Times New Roman"/>
                <w:sz w:val="20"/>
                <w:szCs w:val="20"/>
                <w:color w:val="auto"/>
              </w:rPr>
              <w:t>Distribution revenue</w:t>
            </w:r>
          </w:p>
        </w:tc>
        <w:tc>
          <w:tcPr>
            <w:tcW w:w="200" w:type="dxa"/>
            <w:vAlign w:val="bottom"/>
          </w:tcPr>
          <w:p>
            <w:pPr>
              <w:spacing w:after="0"/>
              <w:rPr>
                <w:sz w:val="22"/>
                <w:szCs w:val="22"/>
                <w:color w:val="auto"/>
              </w:rPr>
            </w:pPr>
          </w:p>
        </w:tc>
        <w:tc>
          <w:tcPr>
            <w:tcW w:w="1480" w:type="dxa"/>
            <w:vAlign w:val="bottom"/>
          </w:tcPr>
          <w:p>
            <w:pPr>
              <w:jc w:val="right"/>
              <w:ind w:right="118"/>
              <w:spacing w:after="0"/>
              <w:rPr>
                <w:sz w:val="20"/>
                <w:szCs w:val="20"/>
                <w:color w:val="auto"/>
              </w:rPr>
            </w:pPr>
            <w:r>
              <w:rPr>
                <w:rFonts w:ascii="Times New Roman" w:cs="Times New Roman" w:eastAsia="Times New Roman" w:hAnsi="Times New Roman"/>
                <w:sz w:val="20"/>
                <w:szCs w:val="20"/>
                <w:color w:val="auto"/>
              </w:rPr>
              <w:t>61,493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ind w:right="78"/>
              <w:spacing w:after="0"/>
              <w:rPr>
                <w:sz w:val="20"/>
                <w:szCs w:val="20"/>
                <w:color w:val="auto"/>
              </w:rPr>
            </w:pPr>
            <w:r>
              <w:rPr>
                <w:rFonts w:ascii="Times New Roman" w:cs="Times New Roman" w:eastAsia="Times New Roman" w:hAnsi="Times New Roman"/>
                <w:sz w:val="20"/>
                <w:szCs w:val="20"/>
                <w:color w:val="auto"/>
              </w:rPr>
              <w:t>56,794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tcPr>
          <w:p>
            <w:pPr>
              <w:jc w:val="right"/>
              <w:ind w:right="98"/>
              <w:spacing w:after="0"/>
              <w:rPr>
                <w:sz w:val="20"/>
                <w:szCs w:val="20"/>
                <w:color w:val="auto"/>
              </w:rPr>
            </w:pPr>
            <w:r>
              <w:rPr>
                <w:rFonts w:ascii="Times New Roman" w:cs="Times New Roman" w:eastAsia="Times New Roman" w:hAnsi="Times New Roman"/>
                <w:sz w:val="20"/>
                <w:szCs w:val="20"/>
                <w:color w:val="auto"/>
              </w:rPr>
              <w:t>197,175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tcPr>
          <w:p>
            <w:pPr>
              <w:jc w:val="right"/>
              <w:ind w:right="98"/>
              <w:spacing w:after="0"/>
              <w:rPr>
                <w:sz w:val="20"/>
                <w:szCs w:val="20"/>
                <w:color w:val="auto"/>
              </w:rPr>
            </w:pPr>
            <w:r>
              <w:rPr>
                <w:rFonts w:ascii="Times New Roman" w:cs="Times New Roman" w:eastAsia="Times New Roman" w:hAnsi="Times New Roman"/>
                <w:sz w:val="20"/>
                <w:szCs w:val="20"/>
                <w:color w:val="auto"/>
              </w:rPr>
              <w:t>193,174</w:t>
            </w:r>
          </w:p>
        </w:tc>
      </w:tr>
      <w:tr>
        <w:trPr>
          <w:trHeight w:val="265"/>
        </w:trPr>
        <w:tc>
          <w:tcPr>
            <w:tcW w:w="4240" w:type="dxa"/>
            <w:vAlign w:val="bottom"/>
          </w:tcPr>
          <w:p>
            <w:pPr>
              <w:spacing w:after="0"/>
              <w:rPr>
                <w:sz w:val="20"/>
                <w:szCs w:val="20"/>
                <w:color w:val="auto"/>
              </w:rPr>
            </w:pPr>
            <w:r>
              <w:rPr>
                <w:rFonts w:ascii="Times New Roman" w:cs="Times New Roman" w:eastAsia="Times New Roman" w:hAnsi="Times New Roman"/>
                <w:sz w:val="20"/>
                <w:szCs w:val="20"/>
                <w:color w:val="auto"/>
              </w:rPr>
              <w:t>Wellness revenue</w:t>
            </w:r>
          </w:p>
        </w:tc>
        <w:tc>
          <w:tcPr>
            <w:tcW w:w="200" w:type="dxa"/>
            <w:vAlign w:val="bottom"/>
          </w:tcPr>
          <w:p>
            <w:pPr>
              <w:spacing w:after="0"/>
              <w:rPr>
                <w:sz w:val="23"/>
                <w:szCs w:val="23"/>
                <w:color w:val="auto"/>
              </w:rPr>
            </w:pPr>
          </w:p>
        </w:tc>
        <w:tc>
          <w:tcPr>
            <w:tcW w:w="1480" w:type="dxa"/>
            <w:vAlign w:val="bottom"/>
          </w:tcPr>
          <w:p>
            <w:pPr>
              <w:jc w:val="right"/>
              <w:ind w:right="118"/>
              <w:spacing w:after="0"/>
              <w:rPr>
                <w:sz w:val="20"/>
                <w:szCs w:val="20"/>
                <w:color w:val="auto"/>
              </w:rPr>
            </w:pPr>
            <w:r>
              <w:rPr>
                <w:rFonts w:ascii="Times New Roman" w:cs="Times New Roman" w:eastAsia="Times New Roman" w:hAnsi="Times New Roman"/>
                <w:sz w:val="20"/>
                <w:szCs w:val="20"/>
                <w:color w:val="auto"/>
              </w:rPr>
              <w:t>14,092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60" w:type="dxa"/>
            <w:vAlign w:val="bottom"/>
          </w:tcPr>
          <w:p>
            <w:pPr>
              <w:jc w:val="right"/>
              <w:ind w:right="78"/>
              <w:spacing w:after="0"/>
              <w:rPr>
                <w:sz w:val="20"/>
                <w:szCs w:val="20"/>
                <w:color w:val="auto"/>
              </w:rPr>
            </w:pPr>
            <w:r>
              <w:rPr>
                <w:rFonts w:ascii="Times New Roman" w:cs="Times New Roman" w:eastAsia="Times New Roman" w:hAnsi="Times New Roman"/>
                <w:sz w:val="20"/>
                <w:szCs w:val="20"/>
                <w:color w:val="auto"/>
              </w:rPr>
              <w:t>13,426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ind w:right="98"/>
              <w:spacing w:after="0"/>
              <w:rPr>
                <w:sz w:val="20"/>
                <w:szCs w:val="20"/>
                <w:color w:val="auto"/>
              </w:rPr>
            </w:pPr>
            <w:r>
              <w:rPr>
                <w:rFonts w:ascii="Times New Roman" w:cs="Times New Roman" w:eastAsia="Times New Roman" w:hAnsi="Times New Roman"/>
                <w:sz w:val="20"/>
                <w:szCs w:val="20"/>
                <w:color w:val="auto"/>
              </w:rPr>
              <w:t>43,450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jc w:val="right"/>
              <w:ind w:right="98"/>
              <w:spacing w:after="0"/>
              <w:rPr>
                <w:sz w:val="20"/>
                <w:szCs w:val="20"/>
                <w:color w:val="auto"/>
              </w:rPr>
            </w:pPr>
            <w:r>
              <w:rPr>
                <w:rFonts w:ascii="Times New Roman" w:cs="Times New Roman" w:eastAsia="Times New Roman" w:hAnsi="Times New Roman"/>
                <w:sz w:val="20"/>
                <w:szCs w:val="20"/>
                <w:color w:val="auto"/>
              </w:rPr>
              <w:t>39,652</w:t>
            </w:r>
          </w:p>
        </w:tc>
      </w:tr>
    </w:tbl>
    <w:p>
      <w:pPr>
        <w:sectPr>
          <w:pgSz w:w="11900" w:h="16838" w:orient="portrait"/>
          <w:cols w:equalWidth="0" w:num="1">
            <w:col w:w="11220"/>
          </w:cols>
          <w:pgMar w:left="340" w:top="109" w:right="339" w:bottom="0" w:gutter="0" w:footer="0" w:header="0"/>
        </w:sectPr>
      </w:pPr>
    </w:p>
    <w:bookmarkStart w:id="11" w:name="page12"/>
    <w:bookmarkEnd w:id="11"/>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440" w:type="dxa"/>
            <w:vAlign w:val="bottom"/>
          </w:tcPr>
          <w:p>
            <w:pPr>
              <w:spacing w:after="0"/>
              <w:rPr>
                <w:sz w:val="20"/>
                <w:szCs w:val="20"/>
                <w:color w:val="auto"/>
              </w:rPr>
            </w:pPr>
            <w:r>
              <w:rPr>
                <w:rFonts w:ascii="Times New Roman" w:cs="Times New Roman" w:eastAsia="Times New Roman" w:hAnsi="Times New Roman"/>
                <w:sz w:val="20"/>
                <w:szCs w:val="20"/>
                <w:color w:val="auto"/>
              </w:rPr>
              <w:t>Beverage costs</w:t>
            </w:r>
          </w:p>
        </w:tc>
        <w:tc>
          <w:tcPr>
            <w:tcW w:w="1860" w:type="dxa"/>
            <w:vAlign w:val="bottom"/>
          </w:tcPr>
          <w:p>
            <w:pPr>
              <w:jc w:val="right"/>
              <w:ind w:right="498"/>
              <w:spacing w:after="0"/>
              <w:rPr>
                <w:sz w:val="20"/>
                <w:szCs w:val="20"/>
                <w:color w:val="auto"/>
              </w:rPr>
            </w:pPr>
            <w:r>
              <w:rPr>
                <w:rFonts w:ascii="Times New Roman" w:cs="Times New Roman" w:eastAsia="Times New Roman" w:hAnsi="Times New Roman"/>
                <w:sz w:val="20"/>
                <w:szCs w:val="20"/>
                <w:color w:val="auto"/>
              </w:rPr>
              <w:t>35,986</w:t>
            </w:r>
          </w:p>
        </w:tc>
        <w:tc>
          <w:tcPr>
            <w:tcW w:w="1720" w:type="dxa"/>
            <w:vAlign w:val="bottom"/>
          </w:tcPr>
          <w:p>
            <w:pPr>
              <w:jc w:val="right"/>
              <w:ind w:right="438"/>
              <w:spacing w:after="0"/>
              <w:rPr>
                <w:sz w:val="20"/>
                <w:szCs w:val="20"/>
                <w:color w:val="auto"/>
              </w:rPr>
            </w:pPr>
            <w:r>
              <w:rPr>
                <w:rFonts w:ascii="Times New Roman" w:cs="Times New Roman" w:eastAsia="Times New Roman" w:hAnsi="Times New Roman"/>
                <w:sz w:val="20"/>
                <w:szCs w:val="20"/>
                <w:color w:val="auto"/>
              </w:rPr>
              <w:t>35,836</w:t>
            </w:r>
          </w:p>
        </w:tc>
        <w:tc>
          <w:tcPr>
            <w:tcW w:w="1780" w:type="dxa"/>
            <w:vAlign w:val="bottom"/>
          </w:tcPr>
          <w:p>
            <w:pPr>
              <w:jc w:val="right"/>
              <w:ind w:right="458"/>
              <w:spacing w:after="0"/>
              <w:rPr>
                <w:sz w:val="20"/>
                <w:szCs w:val="20"/>
                <w:color w:val="auto"/>
              </w:rPr>
            </w:pPr>
            <w:r>
              <w:rPr>
                <w:rFonts w:ascii="Times New Roman" w:cs="Times New Roman" w:eastAsia="Times New Roman" w:hAnsi="Times New Roman"/>
                <w:sz w:val="20"/>
                <w:szCs w:val="20"/>
                <w:color w:val="auto"/>
              </w:rPr>
              <w:t>106,961</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77,615</w:t>
            </w:r>
          </w:p>
        </w:tc>
      </w:tr>
      <w:tr>
        <w:trPr>
          <w:trHeight w:val="254"/>
        </w:trPr>
        <w:tc>
          <w:tcPr>
            <w:tcW w:w="4440" w:type="dxa"/>
            <w:vAlign w:val="bottom"/>
          </w:tcPr>
          <w:p>
            <w:pPr>
              <w:spacing w:after="0"/>
              <w:rPr>
                <w:sz w:val="20"/>
                <w:szCs w:val="20"/>
                <w:color w:val="auto"/>
              </w:rPr>
            </w:pPr>
            <w:r>
              <w:rPr>
                <w:rFonts w:ascii="Times New Roman" w:cs="Times New Roman" w:eastAsia="Times New Roman" w:hAnsi="Times New Roman"/>
                <w:sz w:val="20"/>
                <w:szCs w:val="20"/>
                <w:color w:val="auto"/>
              </w:rPr>
              <w:t>Cannabis costs</w:t>
            </w:r>
          </w:p>
        </w:tc>
        <w:tc>
          <w:tcPr>
            <w:tcW w:w="1860" w:type="dxa"/>
            <w:vAlign w:val="bottom"/>
          </w:tcPr>
          <w:p>
            <w:pPr>
              <w:jc w:val="right"/>
              <w:ind w:right="498"/>
              <w:spacing w:after="0"/>
              <w:rPr>
                <w:sz w:val="20"/>
                <w:szCs w:val="20"/>
                <w:color w:val="auto"/>
              </w:rPr>
            </w:pPr>
            <w:r>
              <w:rPr>
                <w:rFonts w:ascii="Times New Roman" w:cs="Times New Roman" w:eastAsia="Times New Roman" w:hAnsi="Times New Roman"/>
                <w:sz w:val="20"/>
                <w:szCs w:val="20"/>
                <w:color w:val="auto"/>
              </w:rPr>
              <w:t>32,275</w:t>
            </w:r>
          </w:p>
        </w:tc>
        <w:tc>
          <w:tcPr>
            <w:tcW w:w="1720" w:type="dxa"/>
            <w:vAlign w:val="bottom"/>
          </w:tcPr>
          <w:p>
            <w:pPr>
              <w:jc w:val="right"/>
              <w:ind w:right="438"/>
              <w:spacing w:after="0"/>
              <w:rPr>
                <w:sz w:val="20"/>
                <w:szCs w:val="20"/>
                <w:color w:val="auto"/>
              </w:rPr>
            </w:pPr>
            <w:r>
              <w:rPr>
                <w:rFonts w:ascii="Times New Roman" w:cs="Times New Roman" w:eastAsia="Times New Roman" w:hAnsi="Times New Roman"/>
                <w:sz w:val="20"/>
                <w:szCs w:val="20"/>
                <w:color w:val="auto"/>
              </w:rPr>
              <w:t>42,518</w:t>
            </w:r>
          </w:p>
        </w:tc>
        <w:tc>
          <w:tcPr>
            <w:tcW w:w="1780" w:type="dxa"/>
            <w:vAlign w:val="bottom"/>
          </w:tcPr>
          <w:p>
            <w:pPr>
              <w:jc w:val="right"/>
              <w:ind w:right="458"/>
              <w:spacing w:after="0"/>
              <w:rPr>
                <w:sz w:val="20"/>
                <w:szCs w:val="20"/>
                <w:color w:val="auto"/>
              </w:rPr>
            </w:pPr>
            <w:r>
              <w:rPr>
                <w:rFonts w:ascii="Times New Roman" w:cs="Times New Roman" w:eastAsia="Times New Roman" w:hAnsi="Times New Roman"/>
                <w:sz w:val="20"/>
                <w:szCs w:val="20"/>
                <w:color w:val="auto"/>
              </w:rPr>
              <w:t>111,804</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139,507</w:t>
            </w:r>
          </w:p>
        </w:tc>
      </w:tr>
      <w:tr>
        <w:trPr>
          <w:trHeight w:val="254"/>
        </w:trPr>
        <w:tc>
          <w:tcPr>
            <w:tcW w:w="4440" w:type="dxa"/>
            <w:vAlign w:val="bottom"/>
          </w:tcPr>
          <w:p>
            <w:pPr>
              <w:spacing w:after="0"/>
              <w:rPr>
                <w:sz w:val="20"/>
                <w:szCs w:val="20"/>
                <w:color w:val="auto"/>
              </w:rPr>
            </w:pPr>
            <w:r>
              <w:rPr>
                <w:rFonts w:ascii="Times New Roman" w:cs="Times New Roman" w:eastAsia="Times New Roman" w:hAnsi="Times New Roman"/>
                <w:sz w:val="20"/>
                <w:szCs w:val="20"/>
                <w:color w:val="auto"/>
              </w:rPr>
              <w:t>Distribution costs</w:t>
            </w:r>
          </w:p>
        </w:tc>
        <w:tc>
          <w:tcPr>
            <w:tcW w:w="1860" w:type="dxa"/>
            <w:vAlign w:val="bottom"/>
          </w:tcPr>
          <w:p>
            <w:pPr>
              <w:jc w:val="right"/>
              <w:ind w:right="498"/>
              <w:spacing w:after="0"/>
              <w:rPr>
                <w:sz w:val="20"/>
                <w:szCs w:val="20"/>
                <w:color w:val="auto"/>
              </w:rPr>
            </w:pPr>
            <w:r>
              <w:rPr>
                <w:rFonts w:ascii="Times New Roman" w:cs="Times New Roman" w:eastAsia="Times New Roman" w:hAnsi="Times New Roman"/>
                <w:sz w:val="20"/>
                <w:szCs w:val="20"/>
                <w:color w:val="auto"/>
              </w:rPr>
              <w:t>55,936</w:t>
            </w:r>
          </w:p>
        </w:tc>
        <w:tc>
          <w:tcPr>
            <w:tcW w:w="1720" w:type="dxa"/>
            <w:vAlign w:val="bottom"/>
          </w:tcPr>
          <w:p>
            <w:pPr>
              <w:jc w:val="right"/>
              <w:ind w:right="438"/>
              <w:spacing w:after="0"/>
              <w:rPr>
                <w:sz w:val="20"/>
                <w:szCs w:val="20"/>
                <w:color w:val="auto"/>
              </w:rPr>
            </w:pPr>
            <w:r>
              <w:rPr>
                <w:rFonts w:ascii="Times New Roman" w:cs="Times New Roman" w:eastAsia="Times New Roman" w:hAnsi="Times New Roman"/>
                <w:sz w:val="20"/>
                <w:szCs w:val="20"/>
                <w:color w:val="auto"/>
              </w:rPr>
              <w:t>51,231</w:t>
            </w:r>
          </w:p>
        </w:tc>
        <w:tc>
          <w:tcPr>
            <w:tcW w:w="1780" w:type="dxa"/>
            <w:vAlign w:val="bottom"/>
          </w:tcPr>
          <w:p>
            <w:pPr>
              <w:jc w:val="right"/>
              <w:ind w:right="458"/>
              <w:spacing w:after="0"/>
              <w:rPr>
                <w:sz w:val="20"/>
                <w:szCs w:val="20"/>
                <w:color w:val="auto"/>
              </w:rPr>
            </w:pPr>
            <w:r>
              <w:rPr>
                <w:rFonts w:ascii="Times New Roman" w:cs="Times New Roman" w:eastAsia="Times New Roman" w:hAnsi="Times New Roman"/>
                <w:sz w:val="20"/>
                <w:szCs w:val="20"/>
                <w:color w:val="auto"/>
              </w:rPr>
              <w:t>175,281</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172,846</w:t>
            </w:r>
          </w:p>
        </w:tc>
      </w:tr>
      <w:tr>
        <w:trPr>
          <w:trHeight w:val="254"/>
        </w:trPr>
        <w:tc>
          <w:tcPr>
            <w:tcW w:w="4440" w:type="dxa"/>
            <w:vAlign w:val="bottom"/>
          </w:tcPr>
          <w:p>
            <w:pPr>
              <w:spacing w:after="0"/>
              <w:rPr>
                <w:sz w:val="20"/>
                <w:szCs w:val="20"/>
                <w:color w:val="auto"/>
              </w:rPr>
            </w:pPr>
            <w:r>
              <w:rPr>
                <w:rFonts w:ascii="Times New Roman" w:cs="Times New Roman" w:eastAsia="Times New Roman" w:hAnsi="Times New Roman"/>
                <w:sz w:val="20"/>
                <w:szCs w:val="20"/>
                <w:color w:val="auto"/>
              </w:rPr>
              <w:t>Wellness costs</w:t>
            </w:r>
          </w:p>
        </w:tc>
        <w:tc>
          <w:tcPr>
            <w:tcW w:w="1860" w:type="dxa"/>
            <w:vAlign w:val="bottom"/>
          </w:tcPr>
          <w:p>
            <w:pPr>
              <w:jc w:val="right"/>
              <w:ind w:right="498"/>
              <w:spacing w:after="0"/>
              <w:rPr>
                <w:sz w:val="20"/>
                <w:szCs w:val="20"/>
                <w:color w:val="auto"/>
              </w:rPr>
            </w:pPr>
            <w:r>
              <w:rPr>
                <w:rFonts w:ascii="Times New Roman" w:cs="Times New Roman" w:eastAsia="Times New Roman" w:hAnsi="Times New Roman"/>
                <w:sz w:val="20"/>
                <w:szCs w:val="20"/>
                <w:color w:val="auto"/>
              </w:rPr>
              <w:t>9,572</w:t>
            </w:r>
          </w:p>
        </w:tc>
        <w:tc>
          <w:tcPr>
            <w:tcW w:w="1720" w:type="dxa"/>
            <w:vAlign w:val="bottom"/>
          </w:tcPr>
          <w:p>
            <w:pPr>
              <w:jc w:val="right"/>
              <w:ind w:right="438"/>
              <w:spacing w:after="0"/>
              <w:rPr>
                <w:sz w:val="20"/>
                <w:szCs w:val="20"/>
                <w:color w:val="auto"/>
              </w:rPr>
            </w:pPr>
            <w:r>
              <w:rPr>
                <w:rFonts w:ascii="Times New Roman" w:cs="Times New Roman" w:eastAsia="Times New Roman" w:hAnsi="Times New Roman"/>
                <w:sz w:val="20"/>
                <w:szCs w:val="20"/>
                <w:color w:val="auto"/>
              </w:rPr>
              <w:t>9,359</w:t>
            </w:r>
          </w:p>
        </w:tc>
        <w:tc>
          <w:tcPr>
            <w:tcW w:w="1780" w:type="dxa"/>
            <w:vAlign w:val="bottom"/>
          </w:tcPr>
          <w:p>
            <w:pPr>
              <w:jc w:val="right"/>
              <w:ind w:right="458"/>
              <w:spacing w:after="0"/>
              <w:rPr>
                <w:sz w:val="20"/>
                <w:szCs w:val="20"/>
                <w:color w:val="auto"/>
              </w:rPr>
            </w:pPr>
            <w:r>
              <w:rPr>
                <w:rFonts w:ascii="Times New Roman" w:cs="Times New Roman" w:eastAsia="Times New Roman" w:hAnsi="Times New Roman"/>
                <w:sz w:val="20"/>
                <w:szCs w:val="20"/>
                <w:color w:val="auto"/>
              </w:rPr>
              <w:t>29,791</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28,091</w:t>
            </w:r>
          </w:p>
        </w:tc>
      </w:tr>
      <w:tr>
        <w:trPr>
          <w:trHeight w:val="265"/>
        </w:trPr>
        <w:tc>
          <w:tcPr>
            <w:tcW w:w="4440" w:type="dxa"/>
            <w:vAlign w:val="bottom"/>
          </w:tcPr>
          <w:p>
            <w:pPr>
              <w:spacing w:after="0"/>
              <w:rPr>
                <w:sz w:val="20"/>
                <w:szCs w:val="20"/>
                <w:color w:val="auto"/>
              </w:rPr>
            </w:pPr>
            <w:r>
              <w:rPr>
                <w:rFonts w:ascii="Times New Roman" w:cs="Times New Roman" w:eastAsia="Times New Roman" w:hAnsi="Times New Roman"/>
                <w:sz w:val="20"/>
                <w:szCs w:val="20"/>
                <w:color w:val="auto"/>
              </w:rPr>
              <w:t>Adjusted gross profit (excluding PPA step-up)</w:t>
            </w:r>
          </w:p>
        </w:tc>
        <w:tc>
          <w:tcPr>
            <w:tcW w:w="1860" w:type="dxa"/>
            <w:vAlign w:val="bottom"/>
          </w:tcPr>
          <w:p>
            <w:pPr>
              <w:jc w:val="right"/>
              <w:ind w:right="498"/>
              <w:spacing w:after="0"/>
              <w:rPr>
                <w:sz w:val="20"/>
                <w:szCs w:val="20"/>
                <w:color w:val="auto"/>
              </w:rPr>
            </w:pPr>
            <w:r>
              <w:rPr>
                <w:rFonts w:ascii="Times New Roman" w:cs="Times New Roman" w:eastAsia="Times New Roman" w:hAnsi="Times New Roman"/>
                <w:sz w:val="20"/>
                <w:szCs w:val="20"/>
                <w:color w:val="auto"/>
              </w:rPr>
              <w:t>52,070</w:t>
            </w:r>
          </w:p>
        </w:tc>
        <w:tc>
          <w:tcPr>
            <w:tcW w:w="1720" w:type="dxa"/>
            <w:vAlign w:val="bottom"/>
          </w:tcPr>
          <w:p>
            <w:pPr>
              <w:jc w:val="right"/>
              <w:ind w:right="438"/>
              <w:spacing w:after="0"/>
              <w:rPr>
                <w:sz w:val="20"/>
                <w:szCs w:val="20"/>
                <w:color w:val="auto"/>
              </w:rPr>
            </w:pPr>
            <w:r>
              <w:rPr>
                <w:rFonts w:ascii="Times New Roman" w:cs="Times New Roman" w:eastAsia="Times New Roman" w:hAnsi="Times New Roman"/>
                <w:sz w:val="20"/>
                <w:szCs w:val="20"/>
                <w:color w:val="auto"/>
              </w:rPr>
              <w:t>51,643</w:t>
            </w:r>
          </w:p>
        </w:tc>
        <w:tc>
          <w:tcPr>
            <w:tcW w:w="1780" w:type="dxa"/>
            <w:vAlign w:val="bottom"/>
          </w:tcPr>
          <w:p>
            <w:pPr>
              <w:jc w:val="right"/>
              <w:ind w:right="458"/>
              <w:spacing w:after="0"/>
              <w:rPr>
                <w:sz w:val="20"/>
                <w:szCs w:val="20"/>
                <w:color w:val="auto"/>
              </w:rPr>
            </w:pPr>
            <w:r>
              <w:rPr>
                <w:rFonts w:ascii="Times New Roman" w:cs="Times New Roman" w:eastAsia="Times New Roman" w:hAnsi="Times New Roman"/>
                <w:sz w:val="20"/>
                <w:szCs w:val="20"/>
                <w:color w:val="auto"/>
              </w:rPr>
              <w:t>174,547</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153,055</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080" w:type="dxa"/>
            <w:vAlign w:val="bottom"/>
          </w:tcPr>
          <w:p>
            <w:pPr>
              <w:spacing w:after="0" w:line="218" w:lineRule="exact"/>
              <w:rPr>
                <w:sz w:val="20"/>
                <w:szCs w:val="20"/>
                <w:color w:val="auto"/>
              </w:rPr>
            </w:pPr>
            <w:r>
              <w:rPr>
                <w:rFonts w:ascii="Times New Roman" w:cs="Times New Roman" w:eastAsia="Times New Roman" w:hAnsi="Times New Roman"/>
                <w:sz w:val="20"/>
                <w:szCs w:val="20"/>
                <w:color w:val="auto"/>
              </w:rPr>
              <w:t>Beverage adjusted gross margin (excluding PPA</w:t>
            </w:r>
          </w:p>
        </w:tc>
        <w:tc>
          <w:tcPr>
            <w:tcW w:w="620" w:type="dxa"/>
            <w:vAlign w:val="bottom"/>
          </w:tcPr>
          <w:p>
            <w:pPr>
              <w:spacing w:after="0"/>
              <w:rPr>
                <w:sz w:val="18"/>
                <w:szCs w:val="18"/>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540" w:type="dxa"/>
            <w:vAlign w:val="bottom"/>
          </w:tcPr>
          <w:p>
            <w:pPr>
              <w:spacing w:after="0"/>
              <w:rPr>
                <w:sz w:val="18"/>
                <w:szCs w:val="18"/>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38%</w:t>
            </w:r>
          </w:p>
        </w:tc>
        <w:tc>
          <w:tcPr>
            <w:tcW w:w="500" w:type="dxa"/>
            <w:vAlign w:val="bottom"/>
          </w:tcPr>
          <w:p>
            <w:pPr>
              <w:spacing w:after="0"/>
              <w:rPr>
                <w:sz w:val="18"/>
                <w:szCs w:val="18"/>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40%</w:t>
            </w:r>
          </w:p>
        </w:tc>
        <w:tc>
          <w:tcPr>
            <w:tcW w:w="520" w:type="dxa"/>
            <w:vAlign w:val="bottom"/>
          </w:tcPr>
          <w:p>
            <w:pPr>
              <w:spacing w:after="0"/>
              <w:rPr>
                <w:sz w:val="18"/>
                <w:szCs w:val="18"/>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0" w:type="dxa"/>
            <w:vAlign w:val="bottom"/>
          </w:tcPr>
          <w:p>
            <w:pPr>
              <w:spacing w:after="0"/>
              <w:rPr>
                <w:sz w:val="1"/>
                <w:szCs w:val="1"/>
                <w:color w:val="auto"/>
              </w:rPr>
            </w:pPr>
          </w:p>
        </w:tc>
      </w:tr>
      <w:tr>
        <w:trPr>
          <w:trHeight w:val="151"/>
        </w:trPr>
        <w:tc>
          <w:tcPr>
            <w:tcW w:w="40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step-up)</w:t>
            </w:r>
          </w:p>
        </w:tc>
        <w:tc>
          <w:tcPr>
            <w:tcW w:w="62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54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50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52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408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408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Cannabis adjusted gross margin (excluding PPA</w:t>
            </w:r>
          </w:p>
        </w:tc>
        <w:tc>
          <w:tcPr>
            <w:tcW w:w="620" w:type="dxa"/>
            <w:vAlign w:val="bottom"/>
          </w:tcPr>
          <w:p>
            <w:pPr>
              <w:spacing w:after="0"/>
              <w:rPr>
                <w:sz w:val="19"/>
                <w:szCs w:val="19"/>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41%</w:t>
            </w:r>
          </w:p>
        </w:tc>
        <w:tc>
          <w:tcPr>
            <w:tcW w:w="540" w:type="dxa"/>
            <w:vAlign w:val="bottom"/>
          </w:tcPr>
          <w:p>
            <w:pPr>
              <w:spacing w:after="0"/>
              <w:rPr>
                <w:sz w:val="19"/>
                <w:szCs w:val="19"/>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500" w:type="dxa"/>
            <w:vAlign w:val="bottom"/>
          </w:tcPr>
          <w:p>
            <w:pPr>
              <w:spacing w:after="0"/>
              <w:rPr>
                <w:sz w:val="19"/>
                <w:szCs w:val="19"/>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38%</w:t>
            </w:r>
          </w:p>
        </w:tc>
        <w:tc>
          <w:tcPr>
            <w:tcW w:w="520" w:type="dxa"/>
            <w:vAlign w:val="bottom"/>
          </w:tcPr>
          <w:p>
            <w:pPr>
              <w:spacing w:after="0"/>
              <w:rPr>
                <w:sz w:val="19"/>
                <w:szCs w:val="19"/>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0" w:type="dxa"/>
            <w:vAlign w:val="bottom"/>
          </w:tcPr>
          <w:p>
            <w:pPr>
              <w:spacing w:after="0"/>
              <w:rPr>
                <w:sz w:val="1"/>
                <w:szCs w:val="1"/>
                <w:color w:val="auto"/>
              </w:rPr>
            </w:pPr>
          </w:p>
        </w:tc>
      </w:tr>
      <w:tr>
        <w:trPr>
          <w:trHeight w:val="151"/>
        </w:trPr>
        <w:tc>
          <w:tcPr>
            <w:tcW w:w="40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step-up)</w:t>
            </w:r>
          </w:p>
        </w:tc>
        <w:tc>
          <w:tcPr>
            <w:tcW w:w="62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54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50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52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408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4080" w:type="dxa"/>
            <w:vAlign w:val="bottom"/>
          </w:tcPr>
          <w:p>
            <w:pPr>
              <w:spacing w:after="0"/>
              <w:rPr>
                <w:sz w:val="20"/>
                <w:szCs w:val="20"/>
                <w:color w:val="auto"/>
              </w:rPr>
            </w:pPr>
            <w:r>
              <w:rPr>
                <w:rFonts w:ascii="Times New Roman" w:cs="Times New Roman" w:eastAsia="Times New Roman" w:hAnsi="Times New Roman"/>
                <w:sz w:val="20"/>
                <w:szCs w:val="20"/>
                <w:color w:val="auto"/>
              </w:rPr>
              <w:t>Distribution gross margin</w:t>
            </w:r>
          </w:p>
        </w:tc>
        <w:tc>
          <w:tcPr>
            <w:tcW w:w="6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5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5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5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0" w:type="dxa"/>
            <w:vAlign w:val="bottom"/>
          </w:tcPr>
          <w:p>
            <w:pPr>
              <w:spacing w:after="0"/>
              <w:rPr>
                <w:sz w:val="1"/>
                <w:szCs w:val="1"/>
                <w:color w:val="auto"/>
              </w:rPr>
            </w:pPr>
          </w:p>
        </w:tc>
      </w:tr>
      <w:tr>
        <w:trPr>
          <w:trHeight w:val="254"/>
        </w:trPr>
        <w:tc>
          <w:tcPr>
            <w:tcW w:w="4080" w:type="dxa"/>
            <w:vAlign w:val="bottom"/>
          </w:tcPr>
          <w:p>
            <w:pPr>
              <w:spacing w:after="0"/>
              <w:rPr>
                <w:sz w:val="20"/>
                <w:szCs w:val="20"/>
                <w:color w:val="auto"/>
              </w:rPr>
            </w:pPr>
            <w:r>
              <w:rPr>
                <w:rFonts w:ascii="Times New Roman" w:cs="Times New Roman" w:eastAsia="Times New Roman" w:hAnsi="Times New Roman"/>
                <w:sz w:val="20"/>
                <w:szCs w:val="20"/>
                <w:color w:val="auto"/>
              </w:rPr>
              <w:t>Wellness gross margin</w:t>
            </w:r>
          </w:p>
        </w:tc>
        <w:tc>
          <w:tcPr>
            <w:tcW w:w="6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5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5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5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0" w:type="dxa"/>
            <w:vAlign w:val="bottom"/>
          </w:tcPr>
          <w:p>
            <w:pPr>
              <w:spacing w:after="0"/>
              <w:rPr>
                <w:sz w:val="1"/>
                <w:szCs w:val="1"/>
                <w:color w:val="auto"/>
              </w:rPr>
            </w:pPr>
          </w:p>
        </w:tc>
      </w:tr>
      <w:tr>
        <w:trPr>
          <w:trHeight w:val="254"/>
        </w:trPr>
        <w:tc>
          <w:tcPr>
            <w:tcW w:w="4080" w:type="dxa"/>
            <w:vAlign w:val="bottom"/>
          </w:tcPr>
          <w:p>
            <w:pPr>
              <w:spacing w:after="0"/>
              <w:rPr>
                <w:sz w:val="20"/>
                <w:szCs w:val="20"/>
                <w:color w:val="auto"/>
              </w:rPr>
            </w:pPr>
            <w:r>
              <w:rPr>
                <w:rFonts w:ascii="Times New Roman" w:cs="Times New Roman" w:eastAsia="Times New Roman" w:hAnsi="Times New Roman"/>
                <w:sz w:val="20"/>
                <w:szCs w:val="20"/>
                <w:color w:val="auto"/>
              </w:rPr>
              <w:t>Adjusted EBITDA</w:t>
            </w:r>
          </w:p>
        </w:tc>
        <w:tc>
          <w:tcPr>
            <w:tcW w:w="620" w:type="dxa"/>
            <w:vAlign w:val="bottom"/>
          </w:tcPr>
          <w:p>
            <w:pPr>
              <w:jc w:val="right"/>
              <w:ind w:right="238"/>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138"/>
              <w:spacing w:after="0"/>
              <w:rPr>
                <w:sz w:val="20"/>
                <w:szCs w:val="20"/>
                <w:color w:val="auto"/>
              </w:rPr>
            </w:pPr>
            <w:r>
              <w:rPr>
                <w:rFonts w:ascii="Times New Roman" w:cs="Times New Roman" w:eastAsia="Times New Roman" w:hAnsi="Times New Roman"/>
                <w:sz w:val="20"/>
                <w:szCs w:val="20"/>
                <w:color w:val="auto"/>
              </w:rPr>
              <w:t>9,040</w:t>
            </w:r>
          </w:p>
        </w:tc>
        <w:tc>
          <w:tcPr>
            <w:tcW w:w="540" w:type="dxa"/>
            <w:vAlign w:val="bottom"/>
          </w:tcPr>
          <w:p>
            <w:pPr>
              <w:jc w:val="right"/>
              <w:ind w:right="238"/>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138"/>
              <w:spacing w:after="0"/>
              <w:rPr>
                <w:sz w:val="20"/>
                <w:szCs w:val="20"/>
                <w:color w:val="auto"/>
              </w:rPr>
            </w:pPr>
            <w:r>
              <w:rPr>
                <w:rFonts w:ascii="Times New Roman" w:cs="Times New Roman" w:eastAsia="Times New Roman" w:hAnsi="Times New Roman"/>
                <w:sz w:val="20"/>
                <w:szCs w:val="20"/>
                <w:color w:val="auto"/>
              </w:rPr>
              <w:t>10,154</w:t>
            </w:r>
          </w:p>
        </w:tc>
        <w:tc>
          <w:tcPr>
            <w:tcW w:w="500" w:type="dxa"/>
            <w:vAlign w:val="bottom"/>
          </w:tcPr>
          <w:p>
            <w:pPr>
              <w:jc w:val="right"/>
              <w:ind w:right="238"/>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ind w:right="138"/>
              <w:spacing w:after="0"/>
              <w:rPr>
                <w:sz w:val="20"/>
                <w:szCs w:val="20"/>
                <w:color w:val="auto"/>
              </w:rPr>
            </w:pPr>
            <w:r>
              <w:rPr>
                <w:rFonts w:ascii="Times New Roman" w:cs="Times New Roman" w:eastAsia="Times New Roman" w:hAnsi="Times New Roman"/>
                <w:sz w:val="20"/>
                <w:szCs w:val="20"/>
                <w:color w:val="auto"/>
              </w:rPr>
              <w:t>27,391</w:t>
            </w:r>
          </w:p>
        </w:tc>
        <w:tc>
          <w:tcPr>
            <w:tcW w:w="520" w:type="dxa"/>
            <w:vAlign w:val="bottom"/>
          </w:tcPr>
          <w:p>
            <w:pPr>
              <w:jc w:val="right"/>
              <w:ind w:right="238"/>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ind w:right="58"/>
              <w:spacing w:after="0"/>
              <w:rPr>
                <w:sz w:val="20"/>
                <w:szCs w:val="20"/>
                <w:color w:val="auto"/>
              </w:rPr>
            </w:pPr>
            <w:r>
              <w:rPr>
                <w:rFonts w:ascii="Times New Roman" w:cs="Times New Roman" w:eastAsia="Times New Roman" w:hAnsi="Times New Roman"/>
                <w:sz w:val="20"/>
                <w:szCs w:val="20"/>
                <w:color w:val="auto"/>
              </w:rPr>
              <w:t>30,974</w:t>
            </w:r>
          </w:p>
        </w:tc>
        <w:tc>
          <w:tcPr>
            <w:tcW w:w="0" w:type="dxa"/>
            <w:vAlign w:val="bottom"/>
          </w:tcPr>
          <w:p>
            <w:pPr>
              <w:spacing w:after="0"/>
              <w:rPr>
                <w:sz w:val="1"/>
                <w:szCs w:val="1"/>
                <w:color w:val="auto"/>
              </w:rPr>
            </w:pPr>
          </w:p>
        </w:tc>
      </w:tr>
      <w:tr>
        <w:trPr>
          <w:trHeight w:val="229"/>
        </w:trPr>
        <w:tc>
          <w:tcPr>
            <w:tcW w:w="408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Cash and marketable securities as at the period</w:t>
            </w:r>
          </w:p>
        </w:tc>
        <w:tc>
          <w:tcPr>
            <w:tcW w:w="620" w:type="dxa"/>
            <w:vAlign w:val="bottom"/>
          </w:tcPr>
          <w:p>
            <w:pPr>
              <w:spacing w:after="0"/>
              <w:rPr>
                <w:sz w:val="19"/>
                <w:szCs w:val="19"/>
                <w:color w:val="auto"/>
              </w:rPr>
            </w:pPr>
          </w:p>
        </w:tc>
        <w:tc>
          <w:tcPr>
            <w:tcW w:w="1240" w:type="dxa"/>
            <w:vAlign w:val="bottom"/>
            <w:vMerge w:val="restart"/>
          </w:tcPr>
          <w:p>
            <w:pPr>
              <w:jc w:val="right"/>
              <w:ind w:right="138"/>
              <w:spacing w:after="0"/>
              <w:rPr>
                <w:sz w:val="20"/>
                <w:szCs w:val="20"/>
                <w:color w:val="auto"/>
              </w:rPr>
            </w:pPr>
            <w:r>
              <w:rPr>
                <w:rFonts w:ascii="Times New Roman" w:cs="Times New Roman" w:eastAsia="Times New Roman" w:hAnsi="Times New Roman"/>
                <w:sz w:val="20"/>
                <w:szCs w:val="20"/>
                <w:color w:val="auto"/>
              </w:rPr>
              <w:t>248,414</w:t>
            </w:r>
          </w:p>
        </w:tc>
        <w:tc>
          <w:tcPr>
            <w:tcW w:w="540" w:type="dxa"/>
            <w:vAlign w:val="bottom"/>
          </w:tcPr>
          <w:p>
            <w:pPr>
              <w:spacing w:after="0"/>
              <w:rPr>
                <w:sz w:val="19"/>
                <w:szCs w:val="19"/>
                <w:color w:val="auto"/>
              </w:rPr>
            </w:pPr>
          </w:p>
        </w:tc>
        <w:tc>
          <w:tcPr>
            <w:tcW w:w="1240" w:type="dxa"/>
            <w:vAlign w:val="bottom"/>
            <w:vMerge w:val="restart"/>
          </w:tcPr>
          <w:p>
            <w:pPr>
              <w:jc w:val="right"/>
              <w:ind w:right="138"/>
              <w:spacing w:after="0"/>
              <w:rPr>
                <w:sz w:val="20"/>
                <w:szCs w:val="20"/>
                <w:color w:val="auto"/>
              </w:rPr>
            </w:pPr>
            <w:r>
              <w:rPr>
                <w:rFonts w:ascii="Times New Roman" w:cs="Times New Roman" w:eastAsia="Times New Roman" w:hAnsi="Times New Roman"/>
                <w:sz w:val="20"/>
                <w:szCs w:val="20"/>
                <w:color w:val="auto"/>
              </w:rPr>
              <w:t>225,858</w:t>
            </w:r>
          </w:p>
        </w:tc>
        <w:tc>
          <w:tcPr>
            <w:tcW w:w="500" w:type="dxa"/>
            <w:vAlign w:val="bottom"/>
          </w:tcPr>
          <w:p>
            <w:pPr>
              <w:spacing w:after="0"/>
              <w:rPr>
                <w:sz w:val="19"/>
                <w:szCs w:val="19"/>
                <w:color w:val="auto"/>
              </w:rPr>
            </w:pPr>
          </w:p>
        </w:tc>
        <w:tc>
          <w:tcPr>
            <w:tcW w:w="1260" w:type="dxa"/>
            <w:vAlign w:val="bottom"/>
            <w:vMerge w:val="restart"/>
          </w:tcPr>
          <w:p>
            <w:pPr>
              <w:jc w:val="right"/>
              <w:ind w:right="138"/>
              <w:spacing w:after="0"/>
              <w:rPr>
                <w:sz w:val="20"/>
                <w:szCs w:val="20"/>
                <w:color w:val="auto"/>
              </w:rPr>
            </w:pPr>
            <w:r>
              <w:rPr>
                <w:rFonts w:ascii="Times New Roman" w:cs="Times New Roman" w:eastAsia="Times New Roman" w:hAnsi="Times New Roman"/>
                <w:sz w:val="20"/>
                <w:szCs w:val="20"/>
                <w:color w:val="auto"/>
              </w:rPr>
              <w:t>248,414</w:t>
            </w:r>
          </w:p>
        </w:tc>
        <w:tc>
          <w:tcPr>
            <w:tcW w:w="520" w:type="dxa"/>
            <w:vAlign w:val="bottom"/>
          </w:tcPr>
          <w:p>
            <w:pPr>
              <w:spacing w:after="0"/>
              <w:rPr>
                <w:sz w:val="19"/>
                <w:szCs w:val="19"/>
                <w:color w:val="auto"/>
              </w:rPr>
            </w:pPr>
          </w:p>
        </w:tc>
        <w:tc>
          <w:tcPr>
            <w:tcW w:w="1180" w:type="dxa"/>
            <w:vAlign w:val="bottom"/>
            <w:vMerge w:val="restart"/>
          </w:tcPr>
          <w:p>
            <w:pPr>
              <w:jc w:val="right"/>
              <w:ind w:right="58"/>
              <w:spacing w:after="0"/>
              <w:rPr>
                <w:sz w:val="20"/>
                <w:szCs w:val="20"/>
                <w:color w:val="auto"/>
              </w:rPr>
            </w:pPr>
            <w:r>
              <w:rPr>
                <w:rFonts w:ascii="Times New Roman" w:cs="Times New Roman" w:eastAsia="Times New Roman" w:hAnsi="Times New Roman"/>
                <w:sz w:val="20"/>
                <w:szCs w:val="20"/>
                <w:color w:val="auto"/>
              </w:rPr>
              <w:t>225,858</w:t>
            </w:r>
          </w:p>
        </w:tc>
        <w:tc>
          <w:tcPr>
            <w:tcW w:w="0" w:type="dxa"/>
            <w:vAlign w:val="bottom"/>
          </w:tcPr>
          <w:p>
            <w:pPr>
              <w:spacing w:after="0"/>
              <w:rPr>
                <w:sz w:val="1"/>
                <w:szCs w:val="1"/>
                <w:color w:val="auto"/>
              </w:rPr>
            </w:pPr>
          </w:p>
        </w:tc>
      </w:tr>
      <w:tr>
        <w:trPr>
          <w:trHeight w:val="151"/>
        </w:trPr>
        <w:tc>
          <w:tcPr>
            <w:tcW w:w="40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ended:</w:t>
            </w:r>
          </w:p>
        </w:tc>
        <w:tc>
          <w:tcPr>
            <w:tcW w:w="62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54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50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52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408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5"/>
        </w:trPr>
        <w:tc>
          <w:tcPr>
            <w:tcW w:w="4080" w:type="dxa"/>
            <w:vAlign w:val="bottom"/>
          </w:tcPr>
          <w:p>
            <w:pPr>
              <w:spacing w:after="0"/>
              <w:rPr>
                <w:sz w:val="20"/>
                <w:szCs w:val="20"/>
                <w:color w:val="auto"/>
              </w:rPr>
            </w:pPr>
            <w:r>
              <w:rPr>
                <w:rFonts w:ascii="Times New Roman" w:cs="Times New Roman" w:eastAsia="Times New Roman" w:hAnsi="Times New Roman"/>
                <w:sz w:val="20"/>
                <w:szCs w:val="20"/>
                <w:color w:val="auto"/>
              </w:rPr>
              <w:t>Working capital as at the period ended:</w:t>
            </w:r>
          </w:p>
        </w:tc>
        <w:tc>
          <w:tcPr>
            <w:tcW w:w="620" w:type="dxa"/>
            <w:vAlign w:val="bottom"/>
          </w:tcPr>
          <w:p>
            <w:pPr>
              <w:jc w:val="right"/>
              <w:ind w:right="238"/>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138"/>
              <w:spacing w:after="0"/>
              <w:rPr>
                <w:sz w:val="20"/>
                <w:szCs w:val="20"/>
                <w:color w:val="auto"/>
              </w:rPr>
            </w:pPr>
            <w:r>
              <w:rPr>
                <w:rFonts w:ascii="Times New Roman" w:cs="Times New Roman" w:eastAsia="Times New Roman" w:hAnsi="Times New Roman"/>
                <w:sz w:val="20"/>
                <w:szCs w:val="20"/>
                <w:color w:val="auto"/>
              </w:rPr>
              <w:t>424,115</w:t>
            </w:r>
          </w:p>
        </w:tc>
        <w:tc>
          <w:tcPr>
            <w:tcW w:w="540" w:type="dxa"/>
            <w:vAlign w:val="bottom"/>
          </w:tcPr>
          <w:p>
            <w:pPr>
              <w:jc w:val="right"/>
              <w:ind w:right="238"/>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138"/>
              <w:spacing w:after="0"/>
              <w:rPr>
                <w:sz w:val="20"/>
                <w:szCs w:val="20"/>
                <w:color w:val="auto"/>
              </w:rPr>
            </w:pPr>
            <w:r>
              <w:rPr>
                <w:rFonts w:ascii="Times New Roman" w:cs="Times New Roman" w:eastAsia="Times New Roman" w:hAnsi="Times New Roman"/>
                <w:sz w:val="20"/>
                <w:szCs w:val="20"/>
                <w:color w:val="auto"/>
              </w:rPr>
              <w:t>302,111</w:t>
            </w:r>
          </w:p>
        </w:tc>
        <w:tc>
          <w:tcPr>
            <w:tcW w:w="500" w:type="dxa"/>
            <w:vAlign w:val="bottom"/>
          </w:tcPr>
          <w:p>
            <w:pPr>
              <w:jc w:val="right"/>
              <w:ind w:right="238"/>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ind w:right="138"/>
              <w:spacing w:after="0"/>
              <w:rPr>
                <w:sz w:val="20"/>
                <w:szCs w:val="20"/>
                <w:color w:val="auto"/>
              </w:rPr>
            </w:pPr>
            <w:r>
              <w:rPr>
                <w:rFonts w:ascii="Times New Roman" w:cs="Times New Roman" w:eastAsia="Times New Roman" w:hAnsi="Times New Roman"/>
                <w:sz w:val="20"/>
                <w:szCs w:val="20"/>
                <w:color w:val="auto"/>
              </w:rPr>
              <w:t>424,115</w:t>
            </w:r>
          </w:p>
        </w:tc>
        <w:tc>
          <w:tcPr>
            <w:tcW w:w="520" w:type="dxa"/>
            <w:vAlign w:val="bottom"/>
          </w:tcPr>
          <w:p>
            <w:pPr>
              <w:jc w:val="right"/>
              <w:ind w:right="238"/>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ind w:right="58"/>
              <w:spacing w:after="0"/>
              <w:rPr>
                <w:sz w:val="20"/>
                <w:szCs w:val="20"/>
                <w:color w:val="auto"/>
              </w:rPr>
            </w:pPr>
            <w:r>
              <w:rPr>
                <w:rFonts w:ascii="Times New Roman" w:cs="Times New Roman" w:eastAsia="Times New Roman" w:hAnsi="Times New Roman"/>
                <w:sz w:val="20"/>
                <w:szCs w:val="20"/>
                <w:color w:val="auto"/>
              </w:rPr>
              <w:t>302,111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6780" w:type="dxa"/>
            <w:vAlign w:val="bottom"/>
            <w:gridSpan w:val="7"/>
          </w:tcPr>
          <w:p>
            <w:pPr>
              <w:spacing w:after="0"/>
              <w:rPr>
                <w:sz w:val="20"/>
                <w:szCs w:val="20"/>
                <w:color w:val="auto"/>
              </w:rPr>
            </w:pPr>
            <w:r>
              <w:rPr>
                <w:rFonts w:ascii="Times New Roman" w:cs="Times New Roman" w:eastAsia="Times New Roman" w:hAnsi="Times New Roman"/>
                <w:sz w:val="20"/>
                <w:szCs w:val="20"/>
                <w:b w:val="1"/>
                <w:bCs w:val="1"/>
                <w:color w:val="auto"/>
              </w:rPr>
              <w:t>Other Financial Information: Gross Margin and Adjusted Gross Margin</w:t>
            </w:r>
          </w:p>
        </w:tc>
        <w:tc>
          <w:tcPr>
            <w:tcW w:w="2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(In thousands of U.S. dollars)</w:t>
            </w: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436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20"/>
                <w:szCs w:val="20"/>
                <w:b w:val="1"/>
                <w:bCs w:val="1"/>
                <w:color w:val="auto"/>
              </w:rPr>
              <w:t>For the three months ended February 28, 2025</w:t>
            </w:r>
          </w:p>
        </w:tc>
        <w:tc>
          <w:tcPr>
            <w:tcW w:w="2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404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Beverage</w:t>
            </w:r>
          </w:p>
        </w:tc>
        <w:tc>
          <w:tcPr>
            <w:tcW w:w="140" w:type="dxa"/>
            <w:vAlign w:val="bottom"/>
          </w:tcPr>
          <w:p>
            <w:pPr>
              <w:spacing w:after="0"/>
              <w:rPr>
                <w:sz w:val="21"/>
                <w:szCs w:val="21"/>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Cannabis</w:t>
            </w:r>
          </w:p>
        </w:tc>
        <w:tc>
          <w:tcPr>
            <w:tcW w:w="220" w:type="dxa"/>
            <w:vAlign w:val="bottom"/>
          </w:tcPr>
          <w:p>
            <w:pPr>
              <w:spacing w:after="0"/>
              <w:rPr>
                <w:sz w:val="21"/>
                <w:szCs w:val="21"/>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20"/>
                <w:szCs w:val="20"/>
                <w:b w:val="1"/>
                <w:bCs w:val="1"/>
                <w:color w:val="auto"/>
              </w:rPr>
              <w:t>Distribution</w:t>
            </w:r>
          </w:p>
        </w:tc>
        <w:tc>
          <w:tcPr>
            <w:tcW w:w="180" w:type="dxa"/>
            <w:vAlign w:val="bottom"/>
          </w:tcPr>
          <w:p>
            <w:pPr>
              <w:spacing w:after="0"/>
              <w:rPr>
                <w:sz w:val="21"/>
                <w:szCs w:val="21"/>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Wellness</w:t>
            </w:r>
          </w:p>
        </w:tc>
        <w:tc>
          <w:tcPr>
            <w:tcW w:w="240" w:type="dxa"/>
            <w:vAlign w:val="bottom"/>
          </w:tcPr>
          <w:p>
            <w:pPr>
              <w:spacing w:after="0"/>
              <w:rPr>
                <w:sz w:val="21"/>
                <w:szCs w:val="21"/>
                <w:color w:val="auto"/>
              </w:rPr>
            </w:pPr>
          </w:p>
        </w:tc>
        <w:tc>
          <w:tcPr>
            <w:tcW w:w="980" w:type="dxa"/>
            <w:vAlign w:val="bottom"/>
          </w:tcPr>
          <w:p>
            <w:pPr>
              <w:jc w:val="right"/>
              <w:ind w:right="278"/>
              <w:spacing w:after="0"/>
              <w:rPr>
                <w:sz w:val="20"/>
                <w:szCs w:val="20"/>
                <w:color w:val="auto"/>
              </w:rPr>
            </w:pPr>
            <w:r>
              <w:rPr>
                <w:rFonts w:ascii="Times New Roman" w:cs="Times New Roman" w:eastAsia="Times New Roman" w:hAnsi="Times New Roman"/>
                <w:sz w:val="20"/>
                <w:szCs w:val="20"/>
                <w:b w:val="1"/>
                <w:bCs w:val="1"/>
                <w:color w:val="auto"/>
              </w:rPr>
              <w:t>Total</w:t>
            </w:r>
          </w:p>
        </w:tc>
        <w:tc>
          <w:tcPr>
            <w:tcW w:w="0" w:type="dxa"/>
            <w:vAlign w:val="bottom"/>
          </w:tcPr>
          <w:p>
            <w:pPr>
              <w:spacing w:after="0"/>
              <w:rPr>
                <w:sz w:val="1"/>
                <w:szCs w:val="1"/>
                <w:color w:val="auto"/>
              </w:rPr>
            </w:pPr>
          </w:p>
        </w:tc>
      </w:tr>
      <w:tr>
        <w:trPr>
          <w:trHeight w:val="234"/>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auto"/>
              </w:rPr>
              <w:t>Net revenue</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80" w:type="dxa"/>
            <w:vAlign w:val="bottom"/>
            <w:tcBorders>
              <w:top w:val="single" w:sz="8" w:color="auto"/>
            </w:tcBorders>
          </w:tcPr>
          <w:p>
            <w:pPr>
              <w:jc w:val="right"/>
              <w:ind w:right="138"/>
              <w:spacing w:after="0"/>
              <w:rPr>
                <w:sz w:val="20"/>
                <w:szCs w:val="20"/>
                <w:color w:val="auto"/>
              </w:rPr>
            </w:pPr>
            <w:r>
              <w:rPr>
                <w:rFonts w:ascii="Times New Roman" w:cs="Times New Roman" w:eastAsia="Times New Roman" w:hAnsi="Times New Roman"/>
                <w:sz w:val="20"/>
                <w:szCs w:val="20"/>
                <w:color w:val="auto"/>
              </w:rPr>
              <w:t>55,921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20"/>
                <w:szCs w:val="20"/>
                <w:color w:val="auto"/>
              </w:rPr>
              <w:t>54,274</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48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20"/>
                <w:szCs w:val="20"/>
                <w:color w:val="auto"/>
              </w:rPr>
              <w:t>61,493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20"/>
                <w:szCs w:val="20"/>
                <w:color w:val="auto"/>
              </w:rPr>
              <w:t>14,092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20"/>
                <w:szCs w:val="20"/>
                <w:color w:val="auto"/>
                <w:w w:val="99"/>
              </w:rPr>
              <w:t>$</w:t>
            </w:r>
          </w:p>
        </w:tc>
        <w:tc>
          <w:tcPr>
            <w:tcW w:w="98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20"/>
                <w:szCs w:val="20"/>
                <w:color w:val="auto"/>
              </w:rPr>
              <w:t>185,780</w:t>
            </w:r>
          </w:p>
        </w:tc>
        <w:tc>
          <w:tcPr>
            <w:tcW w:w="0" w:type="dxa"/>
            <w:vAlign w:val="bottom"/>
          </w:tcPr>
          <w:p>
            <w:pPr>
              <w:spacing w:after="0"/>
              <w:rPr>
                <w:sz w:val="1"/>
                <w:szCs w:val="1"/>
                <w:color w:val="auto"/>
              </w:rPr>
            </w:pPr>
          </w:p>
        </w:tc>
      </w:tr>
      <w:tr>
        <w:trPr>
          <w:trHeight w:val="265"/>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auto"/>
              </w:rPr>
              <w:t>Cost of goods sold</w:t>
            </w: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20"/>
                <w:szCs w:val="20"/>
                <w:color w:val="auto"/>
              </w:rPr>
              <w:t>35,986</w:t>
            </w: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20"/>
                <w:szCs w:val="20"/>
                <w:color w:val="auto"/>
              </w:rPr>
              <w:t>32,275</w:t>
            </w:r>
          </w:p>
        </w:tc>
        <w:tc>
          <w:tcPr>
            <w:tcW w:w="1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20"/>
                <w:szCs w:val="20"/>
                <w:color w:val="auto"/>
              </w:rPr>
              <w:t>55,936</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20"/>
                <w:szCs w:val="20"/>
                <w:color w:val="auto"/>
              </w:rPr>
              <w:t>9,572</w:t>
            </w:r>
          </w:p>
        </w:tc>
        <w:tc>
          <w:tcPr>
            <w:tcW w:w="1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20"/>
                <w:szCs w:val="20"/>
                <w:color w:val="auto"/>
              </w:rPr>
              <w:t>133,769</w:t>
            </w:r>
          </w:p>
        </w:tc>
        <w:tc>
          <w:tcPr>
            <w:tcW w:w="0" w:type="dxa"/>
            <w:vAlign w:val="bottom"/>
          </w:tcPr>
          <w:p>
            <w:pPr>
              <w:spacing w:after="0"/>
              <w:rPr>
                <w:sz w:val="1"/>
                <w:szCs w:val="1"/>
                <w:color w:val="auto"/>
              </w:rPr>
            </w:pPr>
          </w:p>
        </w:tc>
      </w:tr>
      <w:tr>
        <w:trPr>
          <w:trHeight w:val="248"/>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auto"/>
              </w:rPr>
              <w:t>Gross profit</w:t>
            </w: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20"/>
                <w:szCs w:val="20"/>
                <w:color w:val="auto"/>
              </w:rPr>
              <w:t>19,935</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20"/>
                <w:szCs w:val="20"/>
                <w:color w:val="auto"/>
              </w:rPr>
              <w:t>21,999</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20"/>
                <w:szCs w:val="20"/>
                <w:color w:val="auto"/>
              </w:rPr>
              <w:t>5,557</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20"/>
                <w:szCs w:val="20"/>
                <w:color w:val="auto"/>
              </w:rPr>
              <w:t>4,520</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20"/>
                <w:szCs w:val="20"/>
                <w:color w:val="auto"/>
              </w:rPr>
              <w:t>52,011</w:t>
            </w:r>
          </w:p>
        </w:tc>
        <w:tc>
          <w:tcPr>
            <w:tcW w:w="0" w:type="dxa"/>
            <w:vAlign w:val="bottom"/>
          </w:tcPr>
          <w:p>
            <w:pPr>
              <w:spacing w:after="0"/>
              <w:rPr>
                <w:sz w:val="1"/>
                <w:szCs w:val="1"/>
                <w:color w:val="auto"/>
              </w:rPr>
            </w:pPr>
          </w:p>
        </w:tc>
      </w:tr>
      <w:tr>
        <w:trPr>
          <w:trHeight w:val="247"/>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auto"/>
              </w:rPr>
              <w:t>Gross margin</w:t>
            </w: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0" w:type="dxa"/>
            <w:vAlign w:val="bottom"/>
          </w:tcPr>
          <w:p>
            <w:pPr>
              <w:spacing w:after="0"/>
              <w:rPr>
                <w:sz w:val="1"/>
                <w:szCs w:val="1"/>
                <w:color w:val="auto"/>
              </w:rPr>
            </w:pPr>
          </w:p>
        </w:tc>
      </w:tr>
      <w:tr>
        <w:trPr>
          <w:trHeight w:val="234"/>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auto"/>
              </w:rPr>
              <w:t>Adjustments:</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40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Purchase price accounting step-up</w:t>
            </w:r>
          </w:p>
        </w:tc>
        <w:tc>
          <w:tcPr>
            <w:tcW w:w="180" w:type="dxa"/>
            <w:vAlign w:val="bottom"/>
          </w:tcPr>
          <w:p>
            <w:pPr>
              <w:spacing w:after="0"/>
              <w:rPr>
                <w:sz w:val="23"/>
                <w:szCs w:val="23"/>
                <w:color w:val="auto"/>
              </w:rPr>
            </w:pPr>
          </w:p>
        </w:tc>
        <w:tc>
          <w:tcPr>
            <w:tcW w:w="1080" w:type="dxa"/>
            <w:vAlign w:val="bottom"/>
          </w:tcPr>
          <w:p>
            <w:pPr>
              <w:jc w:val="right"/>
              <w:ind w:right="138"/>
              <w:spacing w:after="0"/>
              <w:rPr>
                <w:sz w:val="20"/>
                <w:szCs w:val="20"/>
                <w:color w:val="auto"/>
              </w:rPr>
            </w:pPr>
            <w:r>
              <w:rPr>
                <w:rFonts w:ascii="Times New Roman" w:cs="Times New Roman" w:eastAsia="Times New Roman" w:hAnsi="Times New Roman"/>
                <w:sz w:val="20"/>
                <w:szCs w:val="20"/>
                <w:color w:val="auto"/>
              </w:rPr>
              <w:t>59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3"/>
                <w:szCs w:val="23"/>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3"/>
                <w:szCs w:val="23"/>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3"/>
                <w:szCs w:val="23"/>
                <w:color w:val="auto"/>
              </w:rPr>
            </w:pPr>
          </w:p>
        </w:tc>
        <w:tc>
          <w:tcPr>
            <w:tcW w:w="980" w:type="dxa"/>
            <w:vAlign w:val="bottom"/>
          </w:tcPr>
          <w:p>
            <w:pPr>
              <w:jc w:val="right"/>
              <w:ind w:right="118"/>
              <w:spacing w:after="0"/>
              <w:rPr>
                <w:sz w:val="20"/>
                <w:szCs w:val="20"/>
                <w:color w:val="auto"/>
              </w:rPr>
            </w:pPr>
            <w:r>
              <w:rPr>
                <w:rFonts w:ascii="Times New Roman" w:cs="Times New Roman" w:eastAsia="Times New Roman" w:hAnsi="Times New Roman"/>
                <w:sz w:val="20"/>
                <w:szCs w:val="20"/>
                <w:color w:val="auto"/>
              </w:rPr>
              <w:t>59</w:t>
            </w:r>
          </w:p>
        </w:tc>
        <w:tc>
          <w:tcPr>
            <w:tcW w:w="0" w:type="dxa"/>
            <w:vAlign w:val="bottom"/>
          </w:tcPr>
          <w:p>
            <w:pPr>
              <w:spacing w:after="0"/>
              <w:rPr>
                <w:sz w:val="1"/>
                <w:szCs w:val="1"/>
                <w:color w:val="auto"/>
              </w:rPr>
            </w:pPr>
          </w:p>
        </w:tc>
      </w:tr>
      <w:tr>
        <w:trPr>
          <w:trHeight w:val="236"/>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auto"/>
              </w:rPr>
              <w:t>Adjusted gross profit</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8"/>
              <w:spacing w:after="0"/>
              <w:rPr>
                <w:sz w:val="20"/>
                <w:szCs w:val="20"/>
                <w:color w:val="auto"/>
              </w:rPr>
            </w:pPr>
            <w:r>
              <w:rPr>
                <w:rFonts w:ascii="Times New Roman" w:cs="Times New Roman" w:eastAsia="Times New Roman" w:hAnsi="Times New Roman"/>
                <w:sz w:val="20"/>
                <w:szCs w:val="20"/>
                <w:color w:val="auto"/>
              </w:rPr>
              <w:t>19,994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20"/>
                <w:szCs w:val="20"/>
                <w:color w:val="auto"/>
              </w:rPr>
              <w:t>21,999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20"/>
                <w:szCs w:val="20"/>
                <w:color w:val="auto"/>
              </w:rPr>
              <w:t>5,557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20"/>
                <w:szCs w:val="20"/>
                <w:color w:val="auto"/>
              </w:rPr>
              <w:t>4,520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20"/>
                <w:szCs w:val="20"/>
                <w:color w:val="auto"/>
              </w:rPr>
              <w:t>52,070</w:t>
            </w:r>
          </w:p>
        </w:tc>
        <w:tc>
          <w:tcPr>
            <w:tcW w:w="0" w:type="dxa"/>
            <w:vAlign w:val="bottom"/>
          </w:tcPr>
          <w:p>
            <w:pPr>
              <w:spacing w:after="0"/>
              <w:rPr>
                <w:sz w:val="1"/>
                <w:szCs w:val="1"/>
                <w:color w:val="auto"/>
              </w:rPr>
            </w:pPr>
          </w:p>
        </w:tc>
      </w:tr>
      <w:tr>
        <w:trPr>
          <w:trHeight w:val="267"/>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auto"/>
              </w:rPr>
              <w:t>Adjusted gross margin</w:t>
            </w: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w:t>
            </w:r>
          </w:p>
        </w:tc>
        <w:tc>
          <w:tcPr>
            <w:tcW w:w="1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1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(In thousands of U.S. dollars)</w:t>
            </w: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436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20"/>
                <w:szCs w:val="20"/>
                <w:b w:val="1"/>
                <w:bCs w:val="1"/>
                <w:color w:val="auto"/>
              </w:rPr>
              <w:t>For the three months ended February 29, 2024</w:t>
            </w:r>
          </w:p>
        </w:tc>
        <w:tc>
          <w:tcPr>
            <w:tcW w:w="12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404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Beverage</w:t>
            </w:r>
          </w:p>
        </w:tc>
        <w:tc>
          <w:tcPr>
            <w:tcW w:w="140" w:type="dxa"/>
            <w:vAlign w:val="bottom"/>
          </w:tcPr>
          <w:p>
            <w:pPr>
              <w:spacing w:after="0"/>
              <w:rPr>
                <w:sz w:val="21"/>
                <w:szCs w:val="21"/>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Cannabis</w:t>
            </w:r>
          </w:p>
        </w:tc>
        <w:tc>
          <w:tcPr>
            <w:tcW w:w="220" w:type="dxa"/>
            <w:vAlign w:val="bottom"/>
          </w:tcPr>
          <w:p>
            <w:pPr>
              <w:spacing w:after="0"/>
              <w:rPr>
                <w:sz w:val="21"/>
                <w:szCs w:val="21"/>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20"/>
                <w:szCs w:val="20"/>
                <w:b w:val="1"/>
                <w:bCs w:val="1"/>
                <w:color w:val="auto"/>
              </w:rPr>
              <w:t>Distribution</w:t>
            </w:r>
          </w:p>
        </w:tc>
        <w:tc>
          <w:tcPr>
            <w:tcW w:w="180" w:type="dxa"/>
            <w:vAlign w:val="bottom"/>
          </w:tcPr>
          <w:p>
            <w:pPr>
              <w:spacing w:after="0"/>
              <w:rPr>
                <w:sz w:val="21"/>
                <w:szCs w:val="21"/>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Wellness</w:t>
            </w:r>
          </w:p>
        </w:tc>
        <w:tc>
          <w:tcPr>
            <w:tcW w:w="1220" w:type="dxa"/>
            <w:vAlign w:val="bottom"/>
          </w:tcPr>
          <w:p>
            <w:pPr>
              <w:jc w:val="right"/>
              <w:ind w:right="278"/>
              <w:spacing w:after="0"/>
              <w:rPr>
                <w:sz w:val="20"/>
                <w:szCs w:val="20"/>
                <w:color w:val="auto"/>
              </w:rPr>
            </w:pPr>
            <w:r>
              <w:rPr>
                <w:rFonts w:ascii="Times New Roman" w:cs="Times New Roman" w:eastAsia="Times New Roman" w:hAnsi="Times New Roman"/>
                <w:sz w:val="20"/>
                <w:szCs w:val="20"/>
                <w:b w:val="1"/>
                <w:bCs w:val="1"/>
                <w:color w:val="auto"/>
              </w:rPr>
              <w:t>Total</w:t>
            </w:r>
          </w:p>
        </w:tc>
        <w:tc>
          <w:tcPr>
            <w:tcW w:w="0" w:type="dxa"/>
            <w:vAlign w:val="bottom"/>
          </w:tcPr>
          <w:p>
            <w:pPr>
              <w:spacing w:after="0"/>
              <w:rPr>
                <w:sz w:val="1"/>
                <w:szCs w:val="1"/>
                <w:color w:val="auto"/>
              </w:rPr>
            </w:pPr>
          </w:p>
        </w:tc>
      </w:tr>
      <w:tr>
        <w:trPr>
          <w:trHeight w:val="234"/>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auto"/>
              </w:rPr>
              <w:t>Net revenue</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80" w:type="dxa"/>
            <w:vAlign w:val="bottom"/>
            <w:tcBorders>
              <w:top w:val="single" w:sz="8" w:color="auto"/>
            </w:tcBorders>
          </w:tcPr>
          <w:p>
            <w:pPr>
              <w:jc w:val="right"/>
              <w:ind w:right="138"/>
              <w:spacing w:after="0"/>
              <w:rPr>
                <w:sz w:val="20"/>
                <w:szCs w:val="20"/>
                <w:color w:val="auto"/>
              </w:rPr>
            </w:pPr>
            <w:r>
              <w:rPr>
                <w:rFonts w:ascii="Times New Roman" w:cs="Times New Roman" w:eastAsia="Times New Roman" w:hAnsi="Times New Roman"/>
                <w:sz w:val="20"/>
                <w:szCs w:val="20"/>
                <w:color w:val="auto"/>
              </w:rPr>
              <w:t>54,688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20"/>
                <w:szCs w:val="20"/>
                <w:color w:val="auto"/>
              </w:rPr>
              <w:t>63,432</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48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20"/>
                <w:szCs w:val="20"/>
                <w:color w:val="auto"/>
              </w:rPr>
              <w:t>56,794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20"/>
                <w:szCs w:val="20"/>
                <w:color w:val="auto"/>
              </w:rPr>
              <w:t>13,426</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20"/>
                <w:szCs w:val="20"/>
                <w:color w:val="auto"/>
              </w:rPr>
              <w:t>$  188,340</w:t>
            </w:r>
          </w:p>
        </w:tc>
        <w:tc>
          <w:tcPr>
            <w:tcW w:w="0" w:type="dxa"/>
            <w:vAlign w:val="bottom"/>
          </w:tcPr>
          <w:p>
            <w:pPr>
              <w:spacing w:after="0"/>
              <w:rPr>
                <w:sz w:val="1"/>
                <w:szCs w:val="1"/>
                <w:color w:val="auto"/>
              </w:rPr>
            </w:pPr>
          </w:p>
        </w:tc>
      </w:tr>
      <w:tr>
        <w:trPr>
          <w:trHeight w:val="265"/>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auto"/>
              </w:rPr>
              <w:t>Cost of goods sold</w:t>
            </w: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20"/>
                <w:szCs w:val="20"/>
                <w:color w:val="auto"/>
              </w:rPr>
              <w:t>35,836</w:t>
            </w: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20"/>
                <w:szCs w:val="20"/>
                <w:color w:val="auto"/>
              </w:rPr>
              <w:t>42,518</w:t>
            </w:r>
          </w:p>
        </w:tc>
        <w:tc>
          <w:tcPr>
            <w:tcW w:w="1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20"/>
                <w:szCs w:val="20"/>
                <w:color w:val="auto"/>
              </w:rPr>
              <w:t>51,231</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20"/>
                <w:szCs w:val="20"/>
                <w:color w:val="auto"/>
              </w:rPr>
              <w:t>9,359</w:t>
            </w:r>
          </w:p>
        </w:tc>
        <w:tc>
          <w:tcPr>
            <w:tcW w:w="100" w:type="dxa"/>
            <w:vAlign w:val="bottom"/>
          </w:tcPr>
          <w:p>
            <w:pPr>
              <w:spacing w:after="0"/>
              <w:rPr>
                <w:sz w:val="23"/>
                <w:szCs w:val="23"/>
                <w:color w:val="auto"/>
              </w:rPr>
            </w:pPr>
          </w:p>
        </w:tc>
        <w:tc>
          <w:tcPr>
            <w:tcW w:w="122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20"/>
                <w:szCs w:val="20"/>
                <w:color w:val="auto"/>
              </w:rPr>
              <w:t>138,944</w:t>
            </w:r>
          </w:p>
        </w:tc>
        <w:tc>
          <w:tcPr>
            <w:tcW w:w="0" w:type="dxa"/>
            <w:vAlign w:val="bottom"/>
          </w:tcPr>
          <w:p>
            <w:pPr>
              <w:spacing w:after="0"/>
              <w:rPr>
                <w:sz w:val="1"/>
                <w:szCs w:val="1"/>
                <w:color w:val="auto"/>
              </w:rPr>
            </w:pPr>
          </w:p>
        </w:tc>
      </w:tr>
      <w:tr>
        <w:trPr>
          <w:trHeight w:val="248"/>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auto"/>
              </w:rPr>
              <w:t>Gross profit</w:t>
            </w: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20"/>
                <w:szCs w:val="20"/>
                <w:color w:val="auto"/>
              </w:rPr>
              <w:t>18,852</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20"/>
                <w:szCs w:val="20"/>
                <w:color w:val="auto"/>
              </w:rPr>
              <w:t>20,914</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20"/>
                <w:szCs w:val="20"/>
                <w:color w:val="auto"/>
              </w:rPr>
              <w:t>5,563</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20"/>
                <w:szCs w:val="20"/>
                <w:color w:val="auto"/>
              </w:rPr>
              <w:t>4,067</w:t>
            </w:r>
          </w:p>
        </w:tc>
        <w:tc>
          <w:tcPr>
            <w:tcW w:w="100" w:type="dxa"/>
            <w:vAlign w:val="bottom"/>
          </w:tcPr>
          <w:p>
            <w:pPr>
              <w:spacing w:after="0"/>
              <w:rPr>
                <w:sz w:val="21"/>
                <w:szCs w:val="21"/>
                <w:color w:val="auto"/>
              </w:rPr>
            </w:pPr>
          </w:p>
        </w:tc>
        <w:tc>
          <w:tcPr>
            <w:tcW w:w="122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20"/>
                <w:szCs w:val="20"/>
                <w:color w:val="auto"/>
              </w:rPr>
              <w:t>49,396</w:t>
            </w:r>
          </w:p>
        </w:tc>
        <w:tc>
          <w:tcPr>
            <w:tcW w:w="0" w:type="dxa"/>
            <w:vAlign w:val="bottom"/>
          </w:tcPr>
          <w:p>
            <w:pPr>
              <w:spacing w:after="0"/>
              <w:rPr>
                <w:sz w:val="1"/>
                <w:szCs w:val="1"/>
                <w:color w:val="auto"/>
              </w:rPr>
            </w:pPr>
          </w:p>
        </w:tc>
      </w:tr>
      <w:tr>
        <w:trPr>
          <w:trHeight w:val="247"/>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auto"/>
              </w:rPr>
              <w:t>Gross margin</w:t>
            </w: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100" w:type="dxa"/>
            <w:vAlign w:val="bottom"/>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0" w:type="dxa"/>
            <w:vAlign w:val="bottom"/>
          </w:tcPr>
          <w:p>
            <w:pPr>
              <w:spacing w:after="0"/>
              <w:rPr>
                <w:sz w:val="1"/>
                <w:szCs w:val="1"/>
                <w:color w:val="auto"/>
              </w:rPr>
            </w:pPr>
          </w:p>
        </w:tc>
      </w:tr>
      <w:tr>
        <w:trPr>
          <w:trHeight w:val="234"/>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auto"/>
              </w:rPr>
              <w:t>Adjustments:</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40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Purchase price accounting step-up</w:t>
            </w:r>
          </w:p>
        </w:tc>
        <w:tc>
          <w:tcPr>
            <w:tcW w:w="180" w:type="dxa"/>
            <w:vAlign w:val="bottom"/>
          </w:tcPr>
          <w:p>
            <w:pPr>
              <w:spacing w:after="0"/>
              <w:rPr>
                <w:sz w:val="23"/>
                <w:szCs w:val="23"/>
                <w:color w:val="auto"/>
              </w:rPr>
            </w:pPr>
          </w:p>
        </w:tc>
        <w:tc>
          <w:tcPr>
            <w:tcW w:w="1080" w:type="dxa"/>
            <w:vAlign w:val="bottom"/>
          </w:tcPr>
          <w:p>
            <w:pPr>
              <w:jc w:val="right"/>
              <w:ind w:right="138"/>
              <w:spacing w:after="0"/>
              <w:rPr>
                <w:sz w:val="20"/>
                <w:szCs w:val="20"/>
                <w:color w:val="auto"/>
              </w:rPr>
            </w:pPr>
            <w:r>
              <w:rPr>
                <w:rFonts w:ascii="Times New Roman" w:cs="Times New Roman" w:eastAsia="Times New Roman" w:hAnsi="Times New Roman"/>
                <w:sz w:val="20"/>
                <w:szCs w:val="20"/>
                <w:color w:val="auto"/>
              </w:rPr>
              <w:t>2,073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118"/>
              <w:spacing w:after="0"/>
              <w:rPr>
                <w:sz w:val="20"/>
                <w:szCs w:val="20"/>
                <w:color w:val="auto"/>
              </w:rPr>
            </w:pPr>
            <w:r>
              <w:rPr>
                <w:rFonts w:ascii="Times New Roman" w:cs="Times New Roman" w:eastAsia="Times New Roman" w:hAnsi="Times New Roman"/>
                <w:sz w:val="20"/>
                <w:szCs w:val="20"/>
                <w:color w:val="auto"/>
              </w:rPr>
              <w:t>174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3"/>
                <w:szCs w:val="23"/>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ind w:right="118"/>
              <w:spacing w:after="0"/>
              <w:rPr>
                <w:sz w:val="20"/>
                <w:szCs w:val="20"/>
                <w:color w:val="auto"/>
              </w:rPr>
            </w:pPr>
            <w:r>
              <w:rPr>
                <w:rFonts w:ascii="Times New Roman" w:cs="Times New Roman" w:eastAsia="Times New Roman" w:hAnsi="Times New Roman"/>
                <w:sz w:val="20"/>
                <w:szCs w:val="20"/>
                <w:color w:val="auto"/>
              </w:rPr>
              <w:t>2,247</w:t>
            </w:r>
          </w:p>
        </w:tc>
        <w:tc>
          <w:tcPr>
            <w:tcW w:w="0" w:type="dxa"/>
            <w:vAlign w:val="bottom"/>
          </w:tcPr>
          <w:p>
            <w:pPr>
              <w:spacing w:after="0"/>
              <w:rPr>
                <w:sz w:val="1"/>
                <w:szCs w:val="1"/>
                <w:color w:val="auto"/>
              </w:rPr>
            </w:pPr>
          </w:p>
        </w:tc>
      </w:tr>
      <w:tr>
        <w:trPr>
          <w:trHeight w:val="236"/>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auto"/>
              </w:rPr>
              <w:t>Adjusted gross profit</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8"/>
              <w:spacing w:after="0"/>
              <w:rPr>
                <w:sz w:val="20"/>
                <w:szCs w:val="20"/>
                <w:color w:val="auto"/>
              </w:rPr>
            </w:pPr>
            <w:r>
              <w:rPr>
                <w:rFonts w:ascii="Times New Roman" w:cs="Times New Roman" w:eastAsia="Times New Roman" w:hAnsi="Times New Roman"/>
                <w:sz w:val="20"/>
                <w:szCs w:val="20"/>
                <w:color w:val="auto"/>
              </w:rPr>
              <w:t>20,925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20"/>
                <w:szCs w:val="20"/>
                <w:color w:val="auto"/>
              </w:rPr>
              <w:t>21,088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20"/>
                <w:szCs w:val="20"/>
                <w:color w:val="auto"/>
              </w:rPr>
              <w:t>5,563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20"/>
                <w:szCs w:val="20"/>
                <w:color w:val="auto"/>
              </w:rPr>
              <w:t>4,067</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20"/>
                <w:szCs w:val="20"/>
                <w:color w:val="auto"/>
              </w:rPr>
              <w:t>51,643</w:t>
            </w:r>
          </w:p>
        </w:tc>
        <w:tc>
          <w:tcPr>
            <w:tcW w:w="0" w:type="dxa"/>
            <w:vAlign w:val="bottom"/>
          </w:tcPr>
          <w:p>
            <w:pPr>
              <w:spacing w:after="0"/>
              <w:rPr>
                <w:sz w:val="1"/>
                <w:szCs w:val="1"/>
                <w:color w:val="auto"/>
              </w:rPr>
            </w:pPr>
          </w:p>
        </w:tc>
      </w:tr>
      <w:tr>
        <w:trPr>
          <w:trHeight w:val="267"/>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auto"/>
              </w:rPr>
              <w:t>Adjusted gross margin</w:t>
            </w: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w:t>
            </w: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1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100" w:type="dxa"/>
            <w:vAlign w:val="bottom"/>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(In thousands of U.S. dollars)</w:t>
            </w:r>
          </w:p>
        </w:tc>
        <w:tc>
          <w:tcPr>
            <w:tcW w:w="12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4500" w:type="dxa"/>
            <w:vAlign w:val="bottom"/>
            <w:tcBorders>
              <w:bottom w:val="single" w:sz="8" w:color="auto"/>
            </w:tcBorders>
            <w:gridSpan w:val="8"/>
          </w:tcPr>
          <w:p>
            <w:pPr>
              <w:ind w:left="200"/>
              <w:spacing w:after="0"/>
              <w:rPr>
                <w:sz w:val="20"/>
                <w:szCs w:val="20"/>
                <w:color w:val="auto"/>
              </w:rPr>
            </w:pPr>
            <w:r>
              <w:rPr>
                <w:rFonts w:ascii="Times New Roman" w:cs="Times New Roman" w:eastAsia="Times New Roman" w:hAnsi="Times New Roman"/>
                <w:sz w:val="20"/>
                <w:szCs w:val="20"/>
                <w:b w:val="1"/>
                <w:bCs w:val="1"/>
                <w:color w:val="auto"/>
              </w:rPr>
              <w:t>For the nine months ended February 28, 2025</w:t>
            </w:r>
          </w:p>
        </w:tc>
        <w:tc>
          <w:tcPr>
            <w:tcW w:w="12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4040" w:type="dxa"/>
            <w:vAlign w:val="bottom"/>
            <w:vMerge w:val="continue"/>
          </w:tcPr>
          <w:p>
            <w:pPr>
              <w:spacing w:after="0"/>
              <w:rPr>
                <w:sz w:val="21"/>
                <w:szCs w:val="21"/>
                <w:color w:val="auto"/>
              </w:rPr>
            </w:pPr>
          </w:p>
        </w:tc>
        <w:tc>
          <w:tcPr>
            <w:tcW w:w="1360" w:type="dxa"/>
            <w:vAlign w:val="bottom"/>
            <w:gridSpan w:val="2"/>
          </w:tcPr>
          <w:p>
            <w:pPr>
              <w:ind w:left="220"/>
              <w:spacing w:after="0"/>
              <w:rPr>
                <w:sz w:val="20"/>
                <w:szCs w:val="20"/>
                <w:color w:val="auto"/>
              </w:rPr>
            </w:pPr>
            <w:r>
              <w:rPr>
                <w:rFonts w:ascii="Times New Roman" w:cs="Times New Roman" w:eastAsia="Times New Roman" w:hAnsi="Times New Roman"/>
                <w:sz w:val="20"/>
                <w:szCs w:val="20"/>
                <w:b w:val="1"/>
                <w:bCs w:val="1"/>
                <w:color w:val="auto"/>
              </w:rPr>
              <w:t>Beverage</w:t>
            </w:r>
          </w:p>
        </w:tc>
        <w:tc>
          <w:tcPr>
            <w:tcW w:w="1380" w:type="dxa"/>
            <w:vAlign w:val="bottom"/>
            <w:gridSpan w:val="2"/>
          </w:tcPr>
          <w:p>
            <w:pPr>
              <w:ind w:left="220"/>
              <w:spacing w:after="0"/>
              <w:rPr>
                <w:sz w:val="20"/>
                <w:szCs w:val="20"/>
                <w:color w:val="auto"/>
              </w:rPr>
            </w:pPr>
            <w:r>
              <w:rPr>
                <w:rFonts w:ascii="Times New Roman" w:cs="Times New Roman" w:eastAsia="Times New Roman" w:hAnsi="Times New Roman"/>
                <w:sz w:val="20"/>
                <w:szCs w:val="20"/>
                <w:b w:val="1"/>
                <w:bCs w:val="1"/>
                <w:color w:val="auto"/>
              </w:rPr>
              <w:t>Cannabis</w:t>
            </w:r>
          </w:p>
        </w:tc>
        <w:tc>
          <w:tcPr>
            <w:tcW w:w="220" w:type="dxa"/>
            <w:vAlign w:val="bottom"/>
          </w:tcPr>
          <w:p>
            <w:pPr>
              <w:spacing w:after="0"/>
              <w:rPr>
                <w:sz w:val="21"/>
                <w:szCs w:val="21"/>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20"/>
                <w:szCs w:val="20"/>
                <w:b w:val="1"/>
                <w:bCs w:val="1"/>
                <w:color w:val="auto"/>
              </w:rPr>
              <w:t>Distribution</w:t>
            </w:r>
          </w:p>
        </w:tc>
        <w:tc>
          <w:tcPr>
            <w:tcW w:w="180" w:type="dxa"/>
            <w:vAlign w:val="bottom"/>
          </w:tcPr>
          <w:p>
            <w:pPr>
              <w:spacing w:after="0"/>
              <w:rPr>
                <w:sz w:val="21"/>
                <w:szCs w:val="21"/>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Wellness</w:t>
            </w:r>
          </w:p>
        </w:tc>
        <w:tc>
          <w:tcPr>
            <w:tcW w:w="1220" w:type="dxa"/>
            <w:vAlign w:val="bottom"/>
          </w:tcPr>
          <w:p>
            <w:pPr>
              <w:jc w:val="right"/>
              <w:ind w:right="278"/>
              <w:spacing w:after="0"/>
              <w:rPr>
                <w:sz w:val="20"/>
                <w:szCs w:val="20"/>
                <w:color w:val="auto"/>
              </w:rPr>
            </w:pPr>
            <w:r>
              <w:rPr>
                <w:rFonts w:ascii="Times New Roman" w:cs="Times New Roman" w:eastAsia="Times New Roman" w:hAnsi="Times New Roman"/>
                <w:sz w:val="20"/>
                <w:szCs w:val="20"/>
                <w:b w:val="1"/>
                <w:bCs w:val="1"/>
                <w:color w:val="auto"/>
              </w:rPr>
              <w:t>Total</w:t>
            </w:r>
          </w:p>
        </w:tc>
        <w:tc>
          <w:tcPr>
            <w:tcW w:w="0" w:type="dxa"/>
            <w:vAlign w:val="bottom"/>
          </w:tcPr>
          <w:p>
            <w:pPr>
              <w:spacing w:after="0"/>
              <w:rPr>
                <w:sz w:val="1"/>
                <w:szCs w:val="1"/>
                <w:color w:val="auto"/>
              </w:rPr>
            </w:pPr>
          </w:p>
        </w:tc>
      </w:tr>
      <w:tr>
        <w:trPr>
          <w:trHeight w:val="234"/>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auto"/>
              </w:rPr>
              <w:t>Net revenue</w:t>
            </w:r>
          </w:p>
        </w:tc>
        <w:tc>
          <w:tcPr>
            <w:tcW w:w="1260" w:type="dxa"/>
            <w:vAlign w:val="bottom"/>
            <w:tcBorders>
              <w:top w:val="single" w:sz="8" w:color="auto"/>
            </w:tcBorders>
          </w:tcPr>
          <w:p>
            <w:pPr>
              <w:jc w:val="right"/>
              <w:ind w:right="138"/>
              <w:spacing w:after="0"/>
              <w:rPr>
                <w:sz w:val="20"/>
                <w:szCs w:val="20"/>
                <w:color w:val="auto"/>
              </w:rPr>
            </w:pPr>
            <w:r>
              <w:rPr>
                <w:rFonts w:ascii="Times New Roman" w:cs="Times New Roman" w:eastAsia="Times New Roman" w:hAnsi="Times New Roman"/>
                <w:sz w:val="20"/>
                <w:szCs w:val="20"/>
                <w:color w:val="auto"/>
              </w:rPr>
              <w:t>$   174,974</w:t>
            </w:r>
          </w:p>
        </w:tc>
        <w:tc>
          <w:tcPr>
            <w:tcW w:w="100" w:type="dxa"/>
            <w:vAlign w:val="bottom"/>
          </w:tcPr>
          <w:p>
            <w:pPr>
              <w:spacing w:after="0"/>
              <w:rPr>
                <w:sz w:val="20"/>
                <w:szCs w:val="20"/>
                <w:color w:val="auto"/>
              </w:rPr>
            </w:pPr>
          </w:p>
        </w:tc>
        <w:tc>
          <w:tcPr>
            <w:tcW w:w="126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20"/>
                <w:szCs w:val="20"/>
                <w:color w:val="auto"/>
              </w:rPr>
              <w:t>$   181,175</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48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20"/>
                <w:szCs w:val="20"/>
                <w:color w:val="auto"/>
              </w:rPr>
              <w:t>197,175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20"/>
                <w:szCs w:val="20"/>
                <w:color w:val="auto"/>
              </w:rPr>
              <w:t>43,450</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20"/>
                <w:szCs w:val="20"/>
                <w:color w:val="auto"/>
              </w:rPr>
              <w:t>$  596,774</w:t>
            </w:r>
          </w:p>
        </w:tc>
        <w:tc>
          <w:tcPr>
            <w:tcW w:w="0" w:type="dxa"/>
            <w:vAlign w:val="bottom"/>
          </w:tcPr>
          <w:p>
            <w:pPr>
              <w:spacing w:after="0"/>
              <w:rPr>
                <w:sz w:val="1"/>
                <w:szCs w:val="1"/>
                <w:color w:val="auto"/>
              </w:rPr>
            </w:pPr>
          </w:p>
        </w:tc>
      </w:tr>
      <w:tr>
        <w:trPr>
          <w:trHeight w:val="265"/>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auto"/>
              </w:rPr>
              <w:t>Cost of goods sold</w:t>
            </w:r>
          </w:p>
        </w:tc>
        <w:tc>
          <w:tcPr>
            <w:tcW w:w="126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20"/>
                <w:szCs w:val="20"/>
                <w:color w:val="auto"/>
              </w:rPr>
              <w:t>106,961</w:t>
            </w:r>
          </w:p>
        </w:tc>
        <w:tc>
          <w:tcPr>
            <w:tcW w:w="100" w:type="dxa"/>
            <w:vAlign w:val="bottom"/>
          </w:tcPr>
          <w:p>
            <w:pPr>
              <w:spacing w:after="0"/>
              <w:rPr>
                <w:sz w:val="23"/>
                <w:szCs w:val="23"/>
                <w:color w:val="auto"/>
              </w:rPr>
            </w:pPr>
          </w:p>
        </w:tc>
        <w:tc>
          <w:tcPr>
            <w:tcW w:w="1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20"/>
                <w:szCs w:val="20"/>
                <w:color w:val="auto"/>
              </w:rPr>
              <w:t>111,804</w:t>
            </w:r>
          </w:p>
        </w:tc>
        <w:tc>
          <w:tcPr>
            <w:tcW w:w="1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20"/>
                <w:szCs w:val="20"/>
                <w:color w:val="auto"/>
              </w:rPr>
              <w:t>175,281</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20"/>
                <w:szCs w:val="20"/>
                <w:color w:val="auto"/>
              </w:rPr>
              <w:t>29,791</w:t>
            </w:r>
          </w:p>
        </w:tc>
        <w:tc>
          <w:tcPr>
            <w:tcW w:w="100" w:type="dxa"/>
            <w:vAlign w:val="bottom"/>
          </w:tcPr>
          <w:p>
            <w:pPr>
              <w:spacing w:after="0"/>
              <w:rPr>
                <w:sz w:val="23"/>
                <w:szCs w:val="23"/>
                <w:color w:val="auto"/>
              </w:rPr>
            </w:pPr>
          </w:p>
        </w:tc>
        <w:tc>
          <w:tcPr>
            <w:tcW w:w="122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20"/>
                <w:szCs w:val="20"/>
                <w:color w:val="auto"/>
              </w:rPr>
              <w:t>423,837</w:t>
            </w:r>
          </w:p>
        </w:tc>
        <w:tc>
          <w:tcPr>
            <w:tcW w:w="0" w:type="dxa"/>
            <w:vAlign w:val="bottom"/>
          </w:tcPr>
          <w:p>
            <w:pPr>
              <w:spacing w:after="0"/>
              <w:rPr>
                <w:sz w:val="1"/>
                <w:szCs w:val="1"/>
                <w:color w:val="auto"/>
              </w:rPr>
            </w:pPr>
          </w:p>
        </w:tc>
      </w:tr>
      <w:tr>
        <w:trPr>
          <w:trHeight w:val="248"/>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auto"/>
              </w:rPr>
              <w:t>Gross profit</w:t>
            </w:r>
          </w:p>
        </w:tc>
        <w:tc>
          <w:tcPr>
            <w:tcW w:w="126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20"/>
                <w:szCs w:val="20"/>
                <w:color w:val="auto"/>
              </w:rPr>
              <w:t>68,013</w:t>
            </w:r>
          </w:p>
        </w:tc>
        <w:tc>
          <w:tcPr>
            <w:tcW w:w="100" w:type="dxa"/>
            <w:vAlign w:val="bottom"/>
          </w:tcPr>
          <w:p>
            <w:pPr>
              <w:spacing w:after="0"/>
              <w:rPr>
                <w:sz w:val="21"/>
                <w:szCs w:val="21"/>
                <w:color w:val="auto"/>
              </w:rPr>
            </w:pPr>
          </w:p>
        </w:tc>
        <w:tc>
          <w:tcPr>
            <w:tcW w:w="1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20"/>
                <w:szCs w:val="20"/>
                <w:color w:val="auto"/>
              </w:rPr>
              <w:t>69,371</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20"/>
                <w:szCs w:val="20"/>
                <w:color w:val="auto"/>
              </w:rPr>
              <w:t>21,894</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20"/>
                <w:szCs w:val="20"/>
                <w:color w:val="auto"/>
              </w:rPr>
              <w:t>13,659</w:t>
            </w:r>
          </w:p>
        </w:tc>
        <w:tc>
          <w:tcPr>
            <w:tcW w:w="100" w:type="dxa"/>
            <w:vAlign w:val="bottom"/>
          </w:tcPr>
          <w:p>
            <w:pPr>
              <w:spacing w:after="0"/>
              <w:rPr>
                <w:sz w:val="21"/>
                <w:szCs w:val="21"/>
                <w:color w:val="auto"/>
              </w:rPr>
            </w:pPr>
          </w:p>
        </w:tc>
        <w:tc>
          <w:tcPr>
            <w:tcW w:w="122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20"/>
                <w:szCs w:val="20"/>
                <w:color w:val="auto"/>
              </w:rPr>
              <w:t>172,937</w:t>
            </w:r>
          </w:p>
        </w:tc>
        <w:tc>
          <w:tcPr>
            <w:tcW w:w="0" w:type="dxa"/>
            <w:vAlign w:val="bottom"/>
          </w:tcPr>
          <w:p>
            <w:pPr>
              <w:spacing w:after="0"/>
              <w:rPr>
                <w:sz w:val="1"/>
                <w:szCs w:val="1"/>
                <w:color w:val="auto"/>
              </w:rPr>
            </w:pPr>
          </w:p>
        </w:tc>
      </w:tr>
      <w:tr>
        <w:trPr>
          <w:trHeight w:val="247"/>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auto"/>
              </w:rPr>
              <w:t>Gross margin</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w:t>
            </w:r>
          </w:p>
        </w:tc>
        <w:tc>
          <w:tcPr>
            <w:tcW w:w="100" w:type="dxa"/>
            <w:vAlign w:val="bottom"/>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100" w:type="dxa"/>
            <w:vAlign w:val="bottom"/>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0" w:type="dxa"/>
            <w:vAlign w:val="bottom"/>
          </w:tcPr>
          <w:p>
            <w:pPr>
              <w:spacing w:after="0"/>
              <w:rPr>
                <w:sz w:val="1"/>
                <w:szCs w:val="1"/>
                <w:color w:val="auto"/>
              </w:rPr>
            </w:pPr>
          </w:p>
        </w:tc>
      </w:tr>
      <w:tr>
        <w:trPr>
          <w:trHeight w:val="234"/>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auto"/>
              </w:rPr>
              <w:t>Adjustments:</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40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Purchase price accounting step-up</w:t>
            </w:r>
          </w:p>
        </w:tc>
        <w:tc>
          <w:tcPr>
            <w:tcW w:w="1260" w:type="dxa"/>
            <w:vAlign w:val="bottom"/>
          </w:tcPr>
          <w:p>
            <w:pPr>
              <w:jc w:val="right"/>
              <w:ind w:right="138"/>
              <w:spacing w:after="0"/>
              <w:rPr>
                <w:sz w:val="20"/>
                <w:szCs w:val="20"/>
                <w:color w:val="auto"/>
              </w:rPr>
            </w:pPr>
            <w:r>
              <w:rPr>
                <w:rFonts w:ascii="Times New Roman" w:cs="Times New Roman" w:eastAsia="Times New Roman" w:hAnsi="Times New Roman"/>
                <w:sz w:val="20"/>
                <w:szCs w:val="20"/>
                <w:color w:val="auto"/>
              </w:rPr>
              <w:t>1,610</w:t>
            </w:r>
          </w:p>
        </w:tc>
        <w:tc>
          <w:tcPr>
            <w:tcW w:w="100" w:type="dxa"/>
            <w:vAlign w:val="bottom"/>
          </w:tcPr>
          <w:p>
            <w:pPr>
              <w:spacing w:after="0"/>
              <w:rPr>
                <w:sz w:val="23"/>
                <w:szCs w:val="23"/>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3"/>
                <w:szCs w:val="23"/>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3"/>
                <w:szCs w:val="23"/>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ind w:right="118"/>
              <w:spacing w:after="0"/>
              <w:rPr>
                <w:sz w:val="20"/>
                <w:szCs w:val="20"/>
                <w:color w:val="auto"/>
              </w:rPr>
            </w:pPr>
            <w:r>
              <w:rPr>
                <w:rFonts w:ascii="Times New Roman" w:cs="Times New Roman" w:eastAsia="Times New Roman" w:hAnsi="Times New Roman"/>
                <w:sz w:val="20"/>
                <w:szCs w:val="20"/>
                <w:color w:val="auto"/>
              </w:rPr>
              <w:t>1,610</w:t>
            </w:r>
          </w:p>
        </w:tc>
        <w:tc>
          <w:tcPr>
            <w:tcW w:w="0" w:type="dxa"/>
            <w:vAlign w:val="bottom"/>
          </w:tcPr>
          <w:p>
            <w:pPr>
              <w:spacing w:after="0"/>
              <w:rPr>
                <w:sz w:val="1"/>
                <w:szCs w:val="1"/>
                <w:color w:val="auto"/>
              </w:rPr>
            </w:pPr>
          </w:p>
        </w:tc>
      </w:tr>
      <w:tr>
        <w:trPr>
          <w:trHeight w:val="236"/>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auto"/>
              </w:rPr>
              <w:t>Adjusted gross profit</w:t>
            </w:r>
          </w:p>
        </w:tc>
        <w:tc>
          <w:tcPr>
            <w:tcW w:w="1260" w:type="dxa"/>
            <w:vAlign w:val="bottom"/>
            <w:tcBorders>
              <w:top w:val="single" w:sz="8" w:color="auto"/>
            </w:tcBorders>
          </w:tcPr>
          <w:p>
            <w:pPr>
              <w:jc w:val="right"/>
              <w:ind w:right="138"/>
              <w:spacing w:after="0"/>
              <w:rPr>
                <w:sz w:val="20"/>
                <w:szCs w:val="20"/>
                <w:color w:val="auto"/>
              </w:rPr>
            </w:pPr>
            <w:r>
              <w:rPr>
                <w:rFonts w:ascii="Times New Roman" w:cs="Times New Roman" w:eastAsia="Times New Roman" w:hAnsi="Times New Roman"/>
                <w:sz w:val="20"/>
                <w:szCs w:val="20"/>
                <w:color w:val="auto"/>
              </w:rPr>
              <w:t>69,623</w:t>
            </w:r>
          </w:p>
        </w:tc>
        <w:tc>
          <w:tcPr>
            <w:tcW w:w="100" w:type="dxa"/>
            <w:vAlign w:val="bottom"/>
          </w:tcPr>
          <w:p>
            <w:pPr>
              <w:spacing w:after="0"/>
              <w:rPr>
                <w:sz w:val="20"/>
                <w:szCs w:val="20"/>
                <w:color w:val="auto"/>
              </w:rPr>
            </w:pPr>
          </w:p>
        </w:tc>
        <w:tc>
          <w:tcPr>
            <w:tcW w:w="126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20"/>
                <w:szCs w:val="20"/>
                <w:color w:val="auto"/>
              </w:rPr>
              <w:t>69,371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20"/>
                <w:szCs w:val="20"/>
                <w:color w:val="auto"/>
              </w:rPr>
              <w:t>21,894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20"/>
                <w:szCs w:val="20"/>
                <w:color w:val="auto"/>
              </w:rPr>
              <w:t>13,659</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20"/>
                <w:szCs w:val="20"/>
                <w:color w:val="auto"/>
              </w:rPr>
              <w:t>174,547</w:t>
            </w:r>
          </w:p>
        </w:tc>
        <w:tc>
          <w:tcPr>
            <w:tcW w:w="0" w:type="dxa"/>
            <w:vAlign w:val="bottom"/>
          </w:tcPr>
          <w:p>
            <w:pPr>
              <w:spacing w:after="0"/>
              <w:rPr>
                <w:sz w:val="1"/>
                <w:szCs w:val="1"/>
                <w:color w:val="auto"/>
              </w:rPr>
            </w:pPr>
          </w:p>
        </w:tc>
      </w:tr>
      <w:tr>
        <w:trPr>
          <w:trHeight w:val="267"/>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auto"/>
              </w:rPr>
              <w:t>Adjusted gross margin</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w:t>
            </w:r>
          </w:p>
        </w:tc>
        <w:tc>
          <w:tcPr>
            <w:tcW w:w="100" w:type="dxa"/>
            <w:vAlign w:val="bottom"/>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w:t>
            </w:r>
          </w:p>
        </w:tc>
        <w:tc>
          <w:tcPr>
            <w:tcW w:w="1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100" w:type="dxa"/>
            <w:vAlign w:val="bottom"/>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(In thousands of U.S. dollars)</w:t>
            </w:r>
          </w:p>
        </w:tc>
        <w:tc>
          <w:tcPr>
            <w:tcW w:w="12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4500" w:type="dxa"/>
            <w:vAlign w:val="bottom"/>
            <w:tcBorders>
              <w:bottom w:val="single" w:sz="8" w:color="auto"/>
            </w:tcBorders>
            <w:gridSpan w:val="8"/>
          </w:tcPr>
          <w:p>
            <w:pPr>
              <w:ind w:left="200"/>
              <w:spacing w:after="0"/>
              <w:rPr>
                <w:sz w:val="20"/>
                <w:szCs w:val="20"/>
                <w:color w:val="auto"/>
              </w:rPr>
            </w:pPr>
            <w:r>
              <w:rPr>
                <w:rFonts w:ascii="Times New Roman" w:cs="Times New Roman" w:eastAsia="Times New Roman" w:hAnsi="Times New Roman"/>
                <w:sz w:val="20"/>
                <w:szCs w:val="20"/>
                <w:b w:val="1"/>
                <w:bCs w:val="1"/>
                <w:color w:val="auto"/>
              </w:rPr>
              <w:t>For the nine months ended February 29, 2024</w:t>
            </w:r>
          </w:p>
        </w:tc>
        <w:tc>
          <w:tcPr>
            <w:tcW w:w="12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4040" w:type="dxa"/>
            <w:vAlign w:val="bottom"/>
            <w:vMerge w:val="continue"/>
          </w:tcPr>
          <w:p>
            <w:pPr>
              <w:spacing w:after="0"/>
              <w:rPr>
                <w:sz w:val="21"/>
                <w:szCs w:val="21"/>
                <w:color w:val="auto"/>
              </w:rPr>
            </w:pPr>
          </w:p>
        </w:tc>
        <w:tc>
          <w:tcPr>
            <w:tcW w:w="1360" w:type="dxa"/>
            <w:vAlign w:val="bottom"/>
            <w:gridSpan w:val="2"/>
          </w:tcPr>
          <w:p>
            <w:pPr>
              <w:ind w:left="220"/>
              <w:spacing w:after="0"/>
              <w:rPr>
                <w:sz w:val="20"/>
                <w:szCs w:val="20"/>
                <w:color w:val="auto"/>
              </w:rPr>
            </w:pPr>
            <w:r>
              <w:rPr>
                <w:rFonts w:ascii="Times New Roman" w:cs="Times New Roman" w:eastAsia="Times New Roman" w:hAnsi="Times New Roman"/>
                <w:sz w:val="20"/>
                <w:szCs w:val="20"/>
                <w:b w:val="1"/>
                <w:bCs w:val="1"/>
                <w:color w:val="auto"/>
              </w:rPr>
              <w:t>Beverage</w:t>
            </w:r>
          </w:p>
        </w:tc>
        <w:tc>
          <w:tcPr>
            <w:tcW w:w="1380" w:type="dxa"/>
            <w:vAlign w:val="bottom"/>
            <w:gridSpan w:val="2"/>
          </w:tcPr>
          <w:p>
            <w:pPr>
              <w:ind w:left="220"/>
              <w:spacing w:after="0"/>
              <w:rPr>
                <w:sz w:val="20"/>
                <w:szCs w:val="20"/>
                <w:color w:val="auto"/>
              </w:rPr>
            </w:pPr>
            <w:r>
              <w:rPr>
                <w:rFonts w:ascii="Times New Roman" w:cs="Times New Roman" w:eastAsia="Times New Roman" w:hAnsi="Times New Roman"/>
                <w:sz w:val="20"/>
                <w:szCs w:val="20"/>
                <w:b w:val="1"/>
                <w:bCs w:val="1"/>
                <w:color w:val="auto"/>
              </w:rPr>
              <w:t>Cannabis</w:t>
            </w:r>
          </w:p>
        </w:tc>
        <w:tc>
          <w:tcPr>
            <w:tcW w:w="220" w:type="dxa"/>
            <w:vAlign w:val="bottom"/>
          </w:tcPr>
          <w:p>
            <w:pPr>
              <w:spacing w:after="0"/>
              <w:rPr>
                <w:sz w:val="21"/>
                <w:szCs w:val="21"/>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20"/>
                <w:szCs w:val="20"/>
                <w:b w:val="1"/>
                <w:bCs w:val="1"/>
                <w:color w:val="auto"/>
              </w:rPr>
              <w:t>Distribution</w:t>
            </w:r>
          </w:p>
        </w:tc>
        <w:tc>
          <w:tcPr>
            <w:tcW w:w="180" w:type="dxa"/>
            <w:vAlign w:val="bottom"/>
          </w:tcPr>
          <w:p>
            <w:pPr>
              <w:spacing w:after="0"/>
              <w:rPr>
                <w:sz w:val="21"/>
                <w:szCs w:val="21"/>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Wellness</w:t>
            </w:r>
          </w:p>
        </w:tc>
        <w:tc>
          <w:tcPr>
            <w:tcW w:w="1220" w:type="dxa"/>
            <w:vAlign w:val="bottom"/>
          </w:tcPr>
          <w:p>
            <w:pPr>
              <w:jc w:val="right"/>
              <w:ind w:right="278"/>
              <w:spacing w:after="0"/>
              <w:rPr>
                <w:sz w:val="20"/>
                <w:szCs w:val="20"/>
                <w:color w:val="auto"/>
              </w:rPr>
            </w:pPr>
            <w:r>
              <w:rPr>
                <w:rFonts w:ascii="Times New Roman" w:cs="Times New Roman" w:eastAsia="Times New Roman" w:hAnsi="Times New Roman"/>
                <w:sz w:val="20"/>
                <w:szCs w:val="20"/>
                <w:b w:val="1"/>
                <w:bCs w:val="1"/>
                <w:color w:val="auto"/>
              </w:rPr>
              <w:t>Total</w:t>
            </w:r>
          </w:p>
        </w:tc>
        <w:tc>
          <w:tcPr>
            <w:tcW w:w="0" w:type="dxa"/>
            <w:vAlign w:val="bottom"/>
          </w:tcPr>
          <w:p>
            <w:pPr>
              <w:spacing w:after="0"/>
              <w:rPr>
                <w:sz w:val="1"/>
                <w:szCs w:val="1"/>
                <w:color w:val="auto"/>
              </w:rPr>
            </w:pPr>
          </w:p>
        </w:tc>
      </w:tr>
      <w:tr>
        <w:trPr>
          <w:trHeight w:val="234"/>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auto"/>
              </w:rPr>
              <w:t>Net revenue</w:t>
            </w:r>
          </w:p>
        </w:tc>
        <w:tc>
          <w:tcPr>
            <w:tcW w:w="1260" w:type="dxa"/>
            <w:vAlign w:val="bottom"/>
            <w:tcBorders>
              <w:top w:val="single" w:sz="8" w:color="auto"/>
            </w:tcBorders>
          </w:tcPr>
          <w:p>
            <w:pPr>
              <w:jc w:val="right"/>
              <w:ind w:right="138"/>
              <w:spacing w:after="0"/>
              <w:rPr>
                <w:sz w:val="20"/>
                <w:szCs w:val="20"/>
                <w:color w:val="auto"/>
              </w:rPr>
            </w:pPr>
            <w:r>
              <w:rPr>
                <w:rFonts w:ascii="Times New Roman" w:cs="Times New Roman" w:eastAsia="Times New Roman" w:hAnsi="Times New Roman"/>
                <w:sz w:val="20"/>
                <w:szCs w:val="20"/>
                <w:color w:val="auto"/>
              </w:rPr>
              <w:t>$   125,355</w:t>
            </w:r>
          </w:p>
        </w:tc>
        <w:tc>
          <w:tcPr>
            <w:tcW w:w="100" w:type="dxa"/>
            <w:vAlign w:val="bottom"/>
          </w:tcPr>
          <w:p>
            <w:pPr>
              <w:spacing w:after="0"/>
              <w:rPr>
                <w:sz w:val="20"/>
                <w:szCs w:val="20"/>
                <w:color w:val="auto"/>
              </w:rPr>
            </w:pPr>
          </w:p>
        </w:tc>
        <w:tc>
          <w:tcPr>
            <w:tcW w:w="126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20"/>
                <w:szCs w:val="20"/>
                <w:color w:val="auto"/>
              </w:rPr>
              <w:t>$   200,879</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48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20"/>
                <w:szCs w:val="20"/>
                <w:color w:val="auto"/>
              </w:rPr>
              <w:t>193,174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20"/>
                <w:szCs w:val="20"/>
                <w:color w:val="auto"/>
              </w:rPr>
              <w:t>39,652</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20"/>
                <w:szCs w:val="20"/>
                <w:color w:val="auto"/>
              </w:rPr>
              <w:t>$  559,060</w:t>
            </w:r>
          </w:p>
        </w:tc>
        <w:tc>
          <w:tcPr>
            <w:tcW w:w="0" w:type="dxa"/>
            <w:vAlign w:val="bottom"/>
          </w:tcPr>
          <w:p>
            <w:pPr>
              <w:spacing w:after="0"/>
              <w:rPr>
                <w:sz w:val="1"/>
                <w:szCs w:val="1"/>
                <w:color w:val="auto"/>
              </w:rPr>
            </w:pPr>
          </w:p>
        </w:tc>
      </w:tr>
      <w:tr>
        <w:trPr>
          <w:trHeight w:val="265"/>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auto"/>
              </w:rPr>
              <w:t>Cost of goods sold</w:t>
            </w:r>
          </w:p>
        </w:tc>
        <w:tc>
          <w:tcPr>
            <w:tcW w:w="126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20"/>
                <w:szCs w:val="20"/>
                <w:color w:val="auto"/>
              </w:rPr>
              <w:t>77,615</w:t>
            </w:r>
          </w:p>
        </w:tc>
        <w:tc>
          <w:tcPr>
            <w:tcW w:w="100" w:type="dxa"/>
            <w:vAlign w:val="bottom"/>
          </w:tcPr>
          <w:p>
            <w:pPr>
              <w:spacing w:after="0"/>
              <w:rPr>
                <w:sz w:val="23"/>
                <w:szCs w:val="23"/>
                <w:color w:val="auto"/>
              </w:rPr>
            </w:pPr>
          </w:p>
        </w:tc>
        <w:tc>
          <w:tcPr>
            <w:tcW w:w="1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20"/>
                <w:szCs w:val="20"/>
                <w:color w:val="auto"/>
              </w:rPr>
              <w:t>139,507</w:t>
            </w:r>
          </w:p>
        </w:tc>
        <w:tc>
          <w:tcPr>
            <w:tcW w:w="1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20"/>
                <w:szCs w:val="20"/>
                <w:color w:val="auto"/>
              </w:rPr>
              <w:t>172,846</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20"/>
                <w:szCs w:val="20"/>
                <w:color w:val="auto"/>
              </w:rPr>
              <w:t>28,091</w:t>
            </w:r>
          </w:p>
        </w:tc>
        <w:tc>
          <w:tcPr>
            <w:tcW w:w="100" w:type="dxa"/>
            <w:vAlign w:val="bottom"/>
          </w:tcPr>
          <w:p>
            <w:pPr>
              <w:spacing w:after="0"/>
              <w:rPr>
                <w:sz w:val="23"/>
                <w:szCs w:val="23"/>
                <w:color w:val="auto"/>
              </w:rPr>
            </w:pPr>
          </w:p>
        </w:tc>
        <w:tc>
          <w:tcPr>
            <w:tcW w:w="122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20"/>
                <w:szCs w:val="20"/>
                <w:color w:val="auto"/>
              </w:rPr>
              <w:t>418,059</w:t>
            </w:r>
          </w:p>
        </w:tc>
        <w:tc>
          <w:tcPr>
            <w:tcW w:w="0" w:type="dxa"/>
            <w:vAlign w:val="bottom"/>
          </w:tcPr>
          <w:p>
            <w:pPr>
              <w:spacing w:after="0"/>
              <w:rPr>
                <w:sz w:val="1"/>
                <w:szCs w:val="1"/>
                <w:color w:val="auto"/>
              </w:rPr>
            </w:pPr>
          </w:p>
        </w:tc>
      </w:tr>
      <w:tr>
        <w:trPr>
          <w:trHeight w:val="248"/>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auto"/>
              </w:rPr>
              <w:t>Gross profit</w:t>
            </w:r>
          </w:p>
        </w:tc>
        <w:tc>
          <w:tcPr>
            <w:tcW w:w="126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20"/>
                <w:szCs w:val="20"/>
                <w:color w:val="auto"/>
              </w:rPr>
              <w:t>47,740</w:t>
            </w:r>
          </w:p>
        </w:tc>
        <w:tc>
          <w:tcPr>
            <w:tcW w:w="100" w:type="dxa"/>
            <w:vAlign w:val="bottom"/>
          </w:tcPr>
          <w:p>
            <w:pPr>
              <w:spacing w:after="0"/>
              <w:rPr>
                <w:sz w:val="21"/>
                <w:szCs w:val="21"/>
                <w:color w:val="auto"/>
              </w:rPr>
            </w:pPr>
          </w:p>
        </w:tc>
        <w:tc>
          <w:tcPr>
            <w:tcW w:w="1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20"/>
                <w:szCs w:val="20"/>
                <w:color w:val="auto"/>
              </w:rPr>
              <w:t>61,372</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20"/>
                <w:szCs w:val="20"/>
                <w:color w:val="auto"/>
              </w:rPr>
              <w:t>20,328</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20"/>
                <w:szCs w:val="20"/>
                <w:color w:val="auto"/>
              </w:rPr>
              <w:t>11,561</w:t>
            </w:r>
          </w:p>
        </w:tc>
        <w:tc>
          <w:tcPr>
            <w:tcW w:w="100" w:type="dxa"/>
            <w:vAlign w:val="bottom"/>
          </w:tcPr>
          <w:p>
            <w:pPr>
              <w:spacing w:after="0"/>
              <w:rPr>
                <w:sz w:val="21"/>
                <w:szCs w:val="21"/>
                <w:color w:val="auto"/>
              </w:rPr>
            </w:pPr>
          </w:p>
        </w:tc>
        <w:tc>
          <w:tcPr>
            <w:tcW w:w="122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20"/>
                <w:szCs w:val="20"/>
                <w:color w:val="auto"/>
              </w:rPr>
              <w:t>141,001</w:t>
            </w:r>
          </w:p>
        </w:tc>
        <w:tc>
          <w:tcPr>
            <w:tcW w:w="0" w:type="dxa"/>
            <w:vAlign w:val="bottom"/>
          </w:tcPr>
          <w:p>
            <w:pPr>
              <w:spacing w:after="0"/>
              <w:rPr>
                <w:sz w:val="1"/>
                <w:szCs w:val="1"/>
                <w:color w:val="auto"/>
              </w:rPr>
            </w:pPr>
          </w:p>
        </w:tc>
      </w:tr>
      <w:tr>
        <w:trPr>
          <w:trHeight w:val="247"/>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auto"/>
              </w:rPr>
              <w:t>Gross margin</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w:t>
            </w:r>
          </w:p>
        </w:tc>
        <w:tc>
          <w:tcPr>
            <w:tcW w:w="100" w:type="dxa"/>
            <w:vAlign w:val="bottom"/>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100" w:type="dxa"/>
            <w:vAlign w:val="bottom"/>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0" w:type="dxa"/>
            <w:vAlign w:val="bottom"/>
          </w:tcPr>
          <w:p>
            <w:pPr>
              <w:spacing w:after="0"/>
              <w:rPr>
                <w:sz w:val="1"/>
                <w:szCs w:val="1"/>
                <w:color w:val="auto"/>
              </w:rPr>
            </w:pPr>
          </w:p>
        </w:tc>
      </w:tr>
      <w:tr>
        <w:trPr>
          <w:trHeight w:val="234"/>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auto"/>
              </w:rPr>
              <w:t>Adjustments:</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40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Purchase price accounting step-up</w:t>
            </w:r>
          </w:p>
        </w:tc>
        <w:tc>
          <w:tcPr>
            <w:tcW w:w="1260" w:type="dxa"/>
            <w:vAlign w:val="bottom"/>
          </w:tcPr>
          <w:p>
            <w:pPr>
              <w:jc w:val="right"/>
              <w:ind w:right="138"/>
              <w:spacing w:after="0"/>
              <w:rPr>
                <w:sz w:val="20"/>
                <w:szCs w:val="20"/>
                <w:color w:val="auto"/>
              </w:rPr>
            </w:pPr>
            <w:r>
              <w:rPr>
                <w:rFonts w:ascii="Times New Roman" w:cs="Times New Roman" w:eastAsia="Times New Roman" w:hAnsi="Times New Roman"/>
                <w:sz w:val="20"/>
                <w:szCs w:val="20"/>
                <w:color w:val="auto"/>
              </w:rPr>
              <w:t>4,426</w:t>
            </w:r>
          </w:p>
        </w:tc>
        <w:tc>
          <w:tcPr>
            <w:tcW w:w="100" w:type="dxa"/>
            <w:vAlign w:val="bottom"/>
          </w:tcPr>
          <w:p>
            <w:pPr>
              <w:spacing w:after="0"/>
              <w:rPr>
                <w:sz w:val="23"/>
                <w:szCs w:val="23"/>
                <w:color w:val="auto"/>
              </w:rPr>
            </w:pPr>
          </w:p>
        </w:tc>
        <w:tc>
          <w:tcPr>
            <w:tcW w:w="1260" w:type="dxa"/>
            <w:vAlign w:val="bottom"/>
          </w:tcPr>
          <w:p>
            <w:pPr>
              <w:jc w:val="right"/>
              <w:ind w:right="118"/>
              <w:spacing w:after="0"/>
              <w:rPr>
                <w:sz w:val="20"/>
                <w:szCs w:val="20"/>
                <w:color w:val="auto"/>
              </w:rPr>
            </w:pPr>
            <w:r>
              <w:rPr>
                <w:rFonts w:ascii="Times New Roman" w:cs="Times New Roman" w:eastAsia="Times New Roman" w:hAnsi="Times New Roman"/>
                <w:sz w:val="20"/>
                <w:szCs w:val="20"/>
                <w:color w:val="auto"/>
              </w:rPr>
              <w:t>7,628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3"/>
                <w:szCs w:val="23"/>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ind w:right="118"/>
              <w:spacing w:after="0"/>
              <w:rPr>
                <w:sz w:val="20"/>
                <w:szCs w:val="20"/>
                <w:color w:val="auto"/>
              </w:rPr>
            </w:pPr>
            <w:r>
              <w:rPr>
                <w:rFonts w:ascii="Times New Roman" w:cs="Times New Roman" w:eastAsia="Times New Roman" w:hAnsi="Times New Roman"/>
                <w:sz w:val="20"/>
                <w:szCs w:val="20"/>
                <w:color w:val="auto"/>
              </w:rPr>
              <w:t>12,054</w:t>
            </w:r>
          </w:p>
        </w:tc>
        <w:tc>
          <w:tcPr>
            <w:tcW w:w="0" w:type="dxa"/>
            <w:vAlign w:val="bottom"/>
          </w:tcPr>
          <w:p>
            <w:pPr>
              <w:spacing w:after="0"/>
              <w:rPr>
                <w:sz w:val="1"/>
                <w:szCs w:val="1"/>
                <w:color w:val="auto"/>
              </w:rPr>
            </w:pPr>
          </w:p>
        </w:tc>
      </w:tr>
      <w:tr>
        <w:trPr>
          <w:trHeight w:val="236"/>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auto"/>
              </w:rPr>
              <w:t>Adjusted gross profit</w:t>
            </w:r>
          </w:p>
        </w:tc>
        <w:tc>
          <w:tcPr>
            <w:tcW w:w="1260" w:type="dxa"/>
            <w:vAlign w:val="bottom"/>
            <w:tcBorders>
              <w:top w:val="single" w:sz="8" w:color="auto"/>
            </w:tcBorders>
          </w:tcPr>
          <w:p>
            <w:pPr>
              <w:jc w:val="right"/>
              <w:ind w:right="138"/>
              <w:spacing w:after="0"/>
              <w:rPr>
                <w:sz w:val="20"/>
                <w:szCs w:val="20"/>
                <w:color w:val="auto"/>
              </w:rPr>
            </w:pPr>
            <w:r>
              <w:rPr>
                <w:rFonts w:ascii="Times New Roman" w:cs="Times New Roman" w:eastAsia="Times New Roman" w:hAnsi="Times New Roman"/>
                <w:sz w:val="20"/>
                <w:szCs w:val="20"/>
                <w:color w:val="auto"/>
              </w:rPr>
              <w:t>52,166</w:t>
            </w:r>
          </w:p>
        </w:tc>
        <w:tc>
          <w:tcPr>
            <w:tcW w:w="100" w:type="dxa"/>
            <w:vAlign w:val="bottom"/>
          </w:tcPr>
          <w:p>
            <w:pPr>
              <w:spacing w:after="0"/>
              <w:rPr>
                <w:sz w:val="20"/>
                <w:szCs w:val="20"/>
                <w:color w:val="auto"/>
              </w:rPr>
            </w:pPr>
          </w:p>
        </w:tc>
        <w:tc>
          <w:tcPr>
            <w:tcW w:w="126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20"/>
                <w:szCs w:val="20"/>
                <w:color w:val="auto"/>
              </w:rPr>
              <w:t>69,000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20"/>
                <w:szCs w:val="20"/>
                <w:color w:val="auto"/>
              </w:rPr>
              <w:t>20,328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20"/>
                <w:szCs w:val="20"/>
                <w:color w:val="auto"/>
              </w:rPr>
              <w:t>11,561</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20"/>
                <w:szCs w:val="20"/>
                <w:color w:val="auto"/>
              </w:rPr>
              <w:t>153,055</w:t>
            </w:r>
          </w:p>
        </w:tc>
        <w:tc>
          <w:tcPr>
            <w:tcW w:w="0" w:type="dxa"/>
            <w:vAlign w:val="bottom"/>
          </w:tcPr>
          <w:p>
            <w:pPr>
              <w:spacing w:after="0"/>
              <w:rPr>
                <w:sz w:val="1"/>
                <w:szCs w:val="1"/>
                <w:color w:val="auto"/>
              </w:rPr>
            </w:pPr>
          </w:p>
        </w:tc>
      </w:tr>
      <w:tr>
        <w:trPr>
          <w:trHeight w:val="267"/>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auto"/>
              </w:rPr>
              <w:t>Adjusted gross margin</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100" w:type="dxa"/>
            <w:vAlign w:val="bottom"/>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1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100" w:type="dxa"/>
            <w:vAlign w:val="bottom"/>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70" w:orient="portrait"/>
          <w:cols w:equalWidth="0" w:num="1">
            <w:col w:w="11180"/>
          </w:cols>
          <w:pgMar w:left="340" w:top="114" w:right="379"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8180" w:type="dxa"/>
            <w:vAlign w:val="bottom"/>
            <w:gridSpan w:val="10"/>
          </w:tcPr>
          <w:p>
            <w:pPr>
              <w:spacing w:after="0"/>
              <w:rPr>
                <w:sz w:val="20"/>
                <w:szCs w:val="20"/>
                <w:color w:val="auto"/>
              </w:rPr>
            </w:pPr>
            <w:r>
              <w:rPr>
                <w:rFonts w:ascii="Times New Roman" w:cs="Times New Roman" w:eastAsia="Times New Roman" w:hAnsi="Times New Roman"/>
                <w:sz w:val="20"/>
                <w:szCs w:val="20"/>
                <w:b w:val="1"/>
                <w:bCs w:val="1"/>
                <w:color w:val="auto"/>
              </w:rPr>
              <w:t>Other Financial Information: Adjusted Earnings Before Interest, Taxes and Amortization</w:t>
            </w: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900" w:type="dxa"/>
            <w:vAlign w:val="bottom"/>
          </w:tcPr>
          <w:p>
            <w:pPr>
              <w:spacing w:after="0"/>
              <w:rPr>
                <w:sz w:val="19"/>
                <w:szCs w:val="19"/>
                <w:color w:val="auto"/>
              </w:rPr>
            </w:pPr>
          </w:p>
        </w:tc>
        <w:tc>
          <w:tcPr>
            <w:tcW w:w="2100" w:type="dxa"/>
            <w:vAlign w:val="bottom"/>
            <w:gridSpan w:val="4"/>
          </w:tcPr>
          <w:p>
            <w:pPr>
              <w:jc w:val="center"/>
              <w:ind w:right="100"/>
              <w:spacing w:after="0" w:line="229" w:lineRule="exact"/>
              <w:rPr>
                <w:sz w:val="20"/>
                <w:szCs w:val="20"/>
                <w:color w:val="auto"/>
              </w:rPr>
            </w:pPr>
            <w:r>
              <w:rPr>
                <w:rFonts w:ascii="Times New Roman" w:cs="Times New Roman" w:eastAsia="Times New Roman" w:hAnsi="Times New Roman"/>
                <w:sz w:val="20"/>
                <w:szCs w:val="20"/>
                <w:b w:val="1"/>
                <w:bCs w:val="1"/>
                <w:color w:val="auto"/>
              </w:rPr>
              <w:t>For the three months</w:t>
            </w:r>
          </w:p>
        </w:tc>
        <w:tc>
          <w:tcPr>
            <w:tcW w:w="10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20" w:type="dxa"/>
            <w:vAlign w:val="bottom"/>
            <w:gridSpan w:val="4"/>
          </w:tcPr>
          <w:p>
            <w:pPr>
              <w:jc w:val="center"/>
              <w:ind w:right="100"/>
              <w:spacing w:after="0" w:line="229" w:lineRule="exact"/>
              <w:rPr>
                <w:sz w:val="20"/>
                <w:szCs w:val="20"/>
                <w:color w:val="auto"/>
              </w:rPr>
            </w:pPr>
            <w:r>
              <w:rPr>
                <w:rFonts w:ascii="Times New Roman" w:cs="Times New Roman" w:eastAsia="Times New Roman" w:hAnsi="Times New Roman"/>
                <w:sz w:val="20"/>
                <w:szCs w:val="20"/>
                <w:b w:val="1"/>
                <w:bCs w:val="1"/>
                <w:color w:val="auto"/>
              </w:rPr>
              <w:t>For the nine</w:t>
            </w:r>
          </w:p>
        </w:tc>
        <w:tc>
          <w:tcPr>
            <w:tcW w:w="9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2900" w:type="dxa"/>
            <w:vAlign w:val="bottom"/>
          </w:tcPr>
          <w:p>
            <w:pPr>
              <w:spacing w:after="0"/>
              <w:rPr>
                <w:sz w:val="22"/>
                <w:szCs w:val="22"/>
                <w:color w:val="auto"/>
              </w:rPr>
            </w:pPr>
          </w:p>
        </w:tc>
        <w:tc>
          <w:tcPr>
            <w:tcW w:w="2100" w:type="dxa"/>
            <w:vAlign w:val="bottom"/>
            <w:gridSpan w:val="4"/>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ended</w:t>
            </w:r>
          </w:p>
        </w:tc>
        <w:tc>
          <w:tcPr>
            <w:tcW w:w="10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20" w:type="dxa"/>
            <w:vAlign w:val="bottom"/>
            <w:gridSpan w:val="4"/>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months ended</w:t>
            </w:r>
          </w:p>
        </w:tc>
        <w:tc>
          <w:tcPr>
            <w:tcW w:w="9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1"/>
        </w:trPr>
        <w:tc>
          <w:tcPr>
            <w:tcW w:w="2900" w:type="dxa"/>
            <w:vAlign w:val="bottom"/>
          </w:tcPr>
          <w:p>
            <w:pPr>
              <w:spacing w:after="0"/>
              <w:rPr>
                <w:sz w:val="24"/>
                <w:szCs w:val="24"/>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February</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February</w:t>
            </w:r>
          </w:p>
        </w:tc>
        <w:tc>
          <w:tcPr>
            <w:tcW w:w="1000" w:type="dxa"/>
            <w:vAlign w:val="bottom"/>
          </w:tcPr>
          <w:p>
            <w:pPr>
              <w:jc w:val="right"/>
              <w:ind w:right="78"/>
              <w:spacing w:after="0"/>
              <w:rPr>
                <w:sz w:val="20"/>
                <w:szCs w:val="20"/>
                <w:color w:val="auto"/>
              </w:rPr>
            </w:pPr>
            <w:r>
              <w:rPr>
                <w:rFonts w:ascii="Times New Roman" w:cs="Times New Roman" w:eastAsia="Times New Roman" w:hAnsi="Times New Roman"/>
                <w:sz w:val="20"/>
                <w:szCs w:val="20"/>
                <w:b w:val="1"/>
                <w:bCs w:val="1"/>
                <w:color w:val="auto"/>
              </w:rPr>
              <w:t>Change</w:t>
            </w: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February</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February</w:t>
            </w:r>
          </w:p>
        </w:tc>
        <w:tc>
          <w:tcPr>
            <w:tcW w:w="980" w:type="dxa"/>
            <w:vAlign w:val="bottom"/>
          </w:tcPr>
          <w:p>
            <w:pPr>
              <w:jc w:val="right"/>
              <w:ind w:right="78"/>
              <w:spacing w:after="0"/>
              <w:rPr>
                <w:sz w:val="20"/>
                <w:szCs w:val="20"/>
                <w:color w:val="auto"/>
              </w:rPr>
            </w:pPr>
            <w:r>
              <w:rPr>
                <w:rFonts w:ascii="Times New Roman" w:cs="Times New Roman" w:eastAsia="Times New Roman" w:hAnsi="Times New Roman"/>
                <w:sz w:val="20"/>
                <w:szCs w:val="20"/>
                <w:b w:val="1"/>
                <w:bCs w:val="1"/>
                <w:color w:val="auto"/>
              </w:rPr>
              <w:t>Change</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0" w:type="dxa"/>
            <w:vAlign w:val="bottom"/>
          </w:tcPr>
          <w:p>
            <w:pPr>
              <w:spacing w:after="0"/>
              <w:rPr>
                <w:sz w:val="1"/>
                <w:szCs w:val="1"/>
                <w:color w:val="auto"/>
              </w:rPr>
            </w:pPr>
          </w:p>
        </w:tc>
      </w:tr>
      <w:tr>
        <w:trPr>
          <w:trHeight w:val="161"/>
        </w:trPr>
        <w:tc>
          <w:tcPr>
            <w:tcW w:w="2900" w:type="dxa"/>
            <w:vAlign w:val="bottom"/>
          </w:tcPr>
          <w:p>
            <w:pPr>
              <w:spacing w:after="0"/>
              <w:rPr>
                <w:sz w:val="14"/>
                <w:szCs w:val="14"/>
                <w:color w:val="auto"/>
              </w:rPr>
            </w:pPr>
          </w:p>
        </w:tc>
        <w:tc>
          <w:tcPr>
            <w:tcW w:w="940" w:type="dxa"/>
            <w:vAlign w:val="bottom"/>
          </w:tcPr>
          <w:p>
            <w:pPr>
              <w:jc w:val="center"/>
              <w:spacing w:after="0" w:line="162" w:lineRule="exact"/>
              <w:rPr>
                <w:sz w:val="20"/>
                <w:szCs w:val="20"/>
                <w:color w:val="auto"/>
              </w:rPr>
            </w:pPr>
            <w:r>
              <w:rPr>
                <w:rFonts w:ascii="Times New Roman" w:cs="Times New Roman" w:eastAsia="Times New Roman" w:hAnsi="Times New Roman"/>
                <w:sz w:val="18"/>
                <w:szCs w:val="18"/>
                <w:b w:val="1"/>
                <w:bCs w:val="1"/>
                <w:color w:val="auto"/>
              </w:rPr>
              <w:t>28,</w:t>
            </w:r>
          </w:p>
        </w:tc>
        <w:tc>
          <w:tcPr>
            <w:tcW w:w="100" w:type="dxa"/>
            <w:vAlign w:val="bottom"/>
          </w:tcPr>
          <w:p>
            <w:pPr>
              <w:spacing w:after="0"/>
              <w:rPr>
                <w:sz w:val="14"/>
                <w:szCs w:val="14"/>
                <w:color w:val="auto"/>
              </w:rPr>
            </w:pPr>
          </w:p>
        </w:tc>
        <w:tc>
          <w:tcPr>
            <w:tcW w:w="960" w:type="dxa"/>
            <w:vAlign w:val="bottom"/>
          </w:tcPr>
          <w:p>
            <w:pPr>
              <w:jc w:val="center"/>
              <w:spacing w:after="0" w:line="162" w:lineRule="exact"/>
              <w:rPr>
                <w:sz w:val="20"/>
                <w:szCs w:val="20"/>
                <w:color w:val="auto"/>
              </w:rPr>
            </w:pPr>
            <w:r>
              <w:rPr>
                <w:rFonts w:ascii="Times New Roman" w:cs="Times New Roman" w:eastAsia="Times New Roman" w:hAnsi="Times New Roman"/>
                <w:sz w:val="18"/>
                <w:szCs w:val="18"/>
                <w:b w:val="1"/>
                <w:bCs w:val="1"/>
                <w:color w:val="auto"/>
              </w:rPr>
              <w:t>29,</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spacing w:after="0" w:line="162" w:lineRule="exact"/>
              <w:rPr>
                <w:sz w:val="20"/>
                <w:szCs w:val="20"/>
                <w:color w:val="auto"/>
              </w:rPr>
            </w:pPr>
            <w:r>
              <w:rPr>
                <w:rFonts w:ascii="Times New Roman" w:cs="Times New Roman" w:eastAsia="Times New Roman" w:hAnsi="Times New Roman"/>
                <w:sz w:val="18"/>
                <w:szCs w:val="18"/>
                <w:b w:val="1"/>
                <w:bCs w:val="1"/>
                <w:color w:val="auto"/>
              </w:rPr>
              <w:t>28,</w:t>
            </w:r>
          </w:p>
        </w:tc>
        <w:tc>
          <w:tcPr>
            <w:tcW w:w="100" w:type="dxa"/>
            <w:vAlign w:val="bottom"/>
          </w:tcPr>
          <w:p>
            <w:pPr>
              <w:spacing w:after="0"/>
              <w:rPr>
                <w:sz w:val="14"/>
                <w:szCs w:val="14"/>
                <w:color w:val="auto"/>
              </w:rPr>
            </w:pPr>
          </w:p>
        </w:tc>
        <w:tc>
          <w:tcPr>
            <w:tcW w:w="940" w:type="dxa"/>
            <w:vAlign w:val="bottom"/>
          </w:tcPr>
          <w:p>
            <w:pPr>
              <w:jc w:val="center"/>
              <w:spacing w:after="0" w:line="162" w:lineRule="exact"/>
              <w:rPr>
                <w:sz w:val="20"/>
                <w:szCs w:val="20"/>
                <w:color w:val="auto"/>
              </w:rPr>
            </w:pPr>
            <w:r>
              <w:rPr>
                <w:rFonts w:ascii="Times New Roman" w:cs="Times New Roman" w:eastAsia="Times New Roman" w:hAnsi="Times New Roman"/>
                <w:sz w:val="18"/>
                <w:szCs w:val="18"/>
                <w:b w:val="1"/>
                <w:bCs w:val="1"/>
                <w:color w:val="auto"/>
              </w:rPr>
              <w:t>29,</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29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(In thousands of U.S. dollars)</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2025</w:t>
            </w:r>
          </w:p>
        </w:tc>
        <w:tc>
          <w:tcPr>
            <w:tcW w:w="10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2024</w:t>
            </w:r>
          </w:p>
        </w:tc>
        <w:tc>
          <w:tcPr>
            <w:tcW w:w="100" w:type="dxa"/>
            <w:vAlign w:val="bottom"/>
          </w:tcPr>
          <w:p>
            <w:pPr>
              <w:spacing w:after="0"/>
              <w:rPr>
                <w:sz w:val="23"/>
                <w:szCs w:val="23"/>
                <w:color w:val="auto"/>
              </w:rPr>
            </w:pPr>
          </w:p>
        </w:tc>
        <w:tc>
          <w:tcPr>
            <w:tcW w:w="2120" w:type="dxa"/>
            <w:vAlign w:val="bottom"/>
            <w:gridSpan w:val="3"/>
          </w:tcPr>
          <w:p>
            <w:pPr>
              <w:ind w:left="440"/>
              <w:spacing w:after="0"/>
              <w:rPr>
                <w:sz w:val="20"/>
                <w:szCs w:val="20"/>
                <w:color w:val="auto"/>
              </w:rPr>
            </w:pPr>
            <w:r>
              <w:rPr>
                <w:rFonts w:ascii="Times New Roman" w:cs="Times New Roman" w:eastAsia="Times New Roman" w:hAnsi="Times New Roman"/>
                <w:sz w:val="20"/>
                <w:szCs w:val="20"/>
                <w:b w:val="1"/>
                <w:bCs w:val="1"/>
                <w:color w:val="auto"/>
              </w:rPr>
              <w:t>2025 vs. 2024</w:t>
            </w:r>
          </w:p>
        </w:tc>
        <w:tc>
          <w:tcPr>
            <w:tcW w:w="9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2025</w:t>
            </w:r>
          </w:p>
        </w:tc>
        <w:tc>
          <w:tcPr>
            <w:tcW w:w="10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2024</w:t>
            </w:r>
          </w:p>
        </w:tc>
        <w:tc>
          <w:tcPr>
            <w:tcW w:w="120" w:type="dxa"/>
            <w:vAlign w:val="bottom"/>
          </w:tcPr>
          <w:p>
            <w:pPr>
              <w:spacing w:after="0"/>
              <w:rPr>
                <w:sz w:val="23"/>
                <w:szCs w:val="23"/>
                <w:color w:val="auto"/>
              </w:rPr>
            </w:pPr>
          </w:p>
        </w:tc>
        <w:tc>
          <w:tcPr>
            <w:tcW w:w="1980" w:type="dxa"/>
            <w:vAlign w:val="bottom"/>
            <w:gridSpan w:val="2"/>
          </w:tcPr>
          <w:p>
            <w:pPr>
              <w:jc w:val="right"/>
              <w:ind w:right="318"/>
              <w:spacing w:after="0"/>
              <w:rPr>
                <w:sz w:val="20"/>
                <w:szCs w:val="20"/>
                <w:color w:val="auto"/>
              </w:rPr>
            </w:pPr>
            <w:r>
              <w:rPr>
                <w:rFonts w:ascii="Times New Roman" w:cs="Times New Roman" w:eastAsia="Times New Roman" w:hAnsi="Times New Roman"/>
                <w:sz w:val="20"/>
                <w:szCs w:val="20"/>
                <w:b w:val="1"/>
                <w:bCs w:val="1"/>
                <w:color w:val="auto"/>
              </w:rPr>
              <w:t>2025 vs. 2024</w:t>
            </w:r>
          </w:p>
        </w:tc>
        <w:tc>
          <w:tcPr>
            <w:tcW w:w="0" w:type="dxa"/>
            <w:vAlign w:val="bottom"/>
          </w:tcPr>
          <w:p>
            <w:pPr>
              <w:spacing w:after="0"/>
              <w:rPr>
                <w:sz w:val="1"/>
                <w:szCs w:val="1"/>
                <w:color w:val="auto"/>
              </w:rPr>
            </w:pPr>
          </w:p>
        </w:tc>
      </w:tr>
      <w:tr>
        <w:trPr>
          <w:trHeight w:val="236"/>
        </w:trPr>
        <w:tc>
          <w:tcPr>
            <w:tcW w:w="2900" w:type="dxa"/>
            <w:vAlign w:val="bottom"/>
          </w:tcPr>
          <w:p>
            <w:pPr>
              <w:spacing w:after="0"/>
              <w:rPr>
                <w:sz w:val="20"/>
                <w:szCs w:val="20"/>
                <w:color w:val="auto"/>
              </w:rPr>
            </w:pPr>
            <w:r>
              <w:rPr>
                <w:rFonts w:ascii="Times New Roman" w:cs="Times New Roman" w:eastAsia="Times New Roman" w:hAnsi="Times New Roman"/>
                <w:sz w:val="20"/>
                <w:szCs w:val="20"/>
                <w:color w:val="auto"/>
              </w:rPr>
              <w:t>Net loss</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$(793,534)</w:t>
            </w:r>
          </w:p>
        </w:tc>
        <w:tc>
          <w:tcPr>
            <w:tcW w:w="100" w:type="dxa"/>
            <w:vAlign w:val="bottom"/>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$(104,983)</w:t>
            </w:r>
          </w:p>
        </w:tc>
        <w:tc>
          <w:tcPr>
            <w:tcW w:w="100" w:type="dxa"/>
            <w:vAlign w:val="bottom"/>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$(688,551)</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656%</w:t>
            </w:r>
          </w:p>
        </w:tc>
        <w:tc>
          <w:tcPr>
            <w:tcW w:w="100" w:type="dxa"/>
            <w:vAlign w:val="bottom"/>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$(913,461)</w:t>
            </w:r>
          </w:p>
        </w:tc>
        <w:tc>
          <w:tcPr>
            <w:tcW w:w="100" w:type="dxa"/>
            <w:vAlign w:val="bottom"/>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$(207,029)</w:t>
            </w:r>
          </w:p>
        </w:tc>
        <w:tc>
          <w:tcPr>
            <w:tcW w:w="120" w:type="dxa"/>
            <w:vAlign w:val="bottom"/>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$(706,432)</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341%</w:t>
            </w:r>
          </w:p>
        </w:tc>
        <w:tc>
          <w:tcPr>
            <w:tcW w:w="0" w:type="dxa"/>
            <w:vAlign w:val="bottom"/>
          </w:tcPr>
          <w:p>
            <w:pPr>
              <w:spacing w:after="0"/>
              <w:rPr>
                <w:sz w:val="1"/>
                <w:szCs w:val="1"/>
                <w:color w:val="auto"/>
              </w:rPr>
            </w:pPr>
          </w:p>
        </w:tc>
      </w:tr>
      <w:tr>
        <w:trPr>
          <w:trHeight w:val="229"/>
        </w:trPr>
        <w:tc>
          <w:tcPr>
            <w:tcW w:w="290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Income tax expense (recovery),</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1,203</w:t>
            </w:r>
          </w:p>
        </w:tc>
        <w:tc>
          <w:tcPr>
            <w:tcW w:w="10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(2,871)</w:t>
            </w:r>
          </w:p>
        </w:tc>
        <w:tc>
          <w:tcPr>
            <w:tcW w:w="100" w:type="dxa"/>
            <w:vAlign w:val="bottom"/>
          </w:tcPr>
          <w:p>
            <w:pPr>
              <w:spacing w:after="0"/>
              <w:rPr>
                <w:sz w:val="19"/>
                <w:szCs w:val="19"/>
                <w:color w:val="auto"/>
              </w:rPr>
            </w:pPr>
          </w:p>
        </w:tc>
        <w:tc>
          <w:tcPr>
            <w:tcW w:w="1000" w:type="dxa"/>
            <w:vAlign w:val="bottom"/>
            <w:vMerge w:val="restart"/>
          </w:tcPr>
          <w:p>
            <w:pPr>
              <w:jc w:val="right"/>
              <w:ind w:right="38"/>
              <w:spacing w:after="0"/>
              <w:rPr>
                <w:sz w:val="20"/>
                <w:szCs w:val="20"/>
                <w:color w:val="auto"/>
              </w:rPr>
            </w:pPr>
            <w:r>
              <w:rPr>
                <w:rFonts w:ascii="Times New Roman" w:cs="Times New Roman" w:eastAsia="Times New Roman" w:hAnsi="Times New Roman"/>
                <w:sz w:val="20"/>
                <w:szCs w:val="20"/>
                <w:color w:val="auto"/>
              </w:rPr>
              <w:t>4,074</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(142)%</w:t>
            </w:r>
          </w:p>
        </w:tc>
        <w:tc>
          <w:tcPr>
            <w:tcW w:w="10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4,125</w:t>
            </w:r>
          </w:p>
        </w:tc>
        <w:tc>
          <w:tcPr>
            <w:tcW w:w="100" w:type="dxa"/>
            <w:vAlign w:val="bottom"/>
          </w:tcPr>
          <w:p>
            <w:pPr>
              <w:spacing w:after="0"/>
              <w:rPr>
                <w:sz w:val="19"/>
                <w:szCs w:val="19"/>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1,013</w:t>
            </w:r>
          </w:p>
        </w:tc>
        <w:tc>
          <w:tcPr>
            <w:tcW w:w="120" w:type="dxa"/>
            <w:vAlign w:val="bottom"/>
          </w:tcPr>
          <w:p>
            <w:pPr>
              <w:spacing w:after="0"/>
              <w:rPr>
                <w:sz w:val="19"/>
                <w:szCs w:val="19"/>
                <w:color w:val="auto"/>
              </w:rPr>
            </w:pPr>
          </w:p>
        </w:tc>
        <w:tc>
          <w:tcPr>
            <w:tcW w:w="980" w:type="dxa"/>
            <w:vAlign w:val="bottom"/>
            <w:vMerge w:val="restart"/>
          </w:tcPr>
          <w:p>
            <w:pPr>
              <w:jc w:val="right"/>
              <w:ind w:right="38"/>
              <w:spacing w:after="0"/>
              <w:rPr>
                <w:sz w:val="20"/>
                <w:szCs w:val="20"/>
                <w:color w:val="auto"/>
              </w:rPr>
            </w:pPr>
            <w:r>
              <w:rPr>
                <w:rFonts w:ascii="Times New Roman" w:cs="Times New Roman" w:eastAsia="Times New Roman" w:hAnsi="Times New Roman"/>
                <w:sz w:val="20"/>
                <w:szCs w:val="20"/>
                <w:color w:val="auto"/>
              </w:rPr>
              <w:t>3,112</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307%</w:t>
            </w:r>
          </w:p>
        </w:tc>
        <w:tc>
          <w:tcPr>
            <w:tcW w:w="0" w:type="dxa"/>
            <w:vAlign w:val="bottom"/>
          </w:tcPr>
          <w:p>
            <w:pPr>
              <w:spacing w:after="0"/>
              <w:rPr>
                <w:sz w:val="1"/>
                <w:szCs w:val="1"/>
                <w:color w:val="auto"/>
              </w:rPr>
            </w:pPr>
          </w:p>
        </w:tc>
      </w:tr>
      <w:tr>
        <w:trPr>
          <w:trHeight w:val="151"/>
        </w:trPr>
        <w:tc>
          <w:tcPr>
            <w:tcW w:w="29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net</w:t>
            </w:r>
          </w:p>
        </w:tc>
        <w:tc>
          <w:tcPr>
            <w:tcW w:w="9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90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2900" w:type="dxa"/>
            <w:vAlign w:val="bottom"/>
          </w:tcPr>
          <w:p>
            <w:pPr>
              <w:spacing w:after="0"/>
              <w:rPr>
                <w:sz w:val="20"/>
                <w:szCs w:val="20"/>
                <w:color w:val="auto"/>
              </w:rPr>
            </w:pPr>
            <w:r>
              <w:rPr>
                <w:rFonts w:ascii="Times New Roman" w:cs="Times New Roman" w:eastAsia="Times New Roman" w:hAnsi="Times New Roman"/>
                <w:sz w:val="20"/>
                <w:szCs w:val="20"/>
                <w:color w:val="auto"/>
              </w:rPr>
              <w:t>Interest expense, net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8,378</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8,517</w:t>
            </w: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25,986</w:t>
            </w: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26,977</w:t>
            </w: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(991)</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0" w:type="dxa"/>
            <w:vAlign w:val="bottom"/>
          </w:tcPr>
          <w:p>
            <w:pPr>
              <w:spacing w:after="0"/>
              <w:rPr>
                <w:sz w:val="1"/>
                <w:szCs w:val="1"/>
                <w:color w:val="auto"/>
              </w:rPr>
            </w:pPr>
          </w:p>
        </w:tc>
      </w:tr>
      <w:tr>
        <w:trPr>
          <w:trHeight w:val="229"/>
        </w:trPr>
        <w:tc>
          <w:tcPr>
            <w:tcW w:w="290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Non-operating income (expense),</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24,022</w:t>
            </w:r>
          </w:p>
        </w:tc>
        <w:tc>
          <w:tcPr>
            <w:tcW w:w="10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17,239</w:t>
            </w:r>
          </w:p>
        </w:tc>
        <w:tc>
          <w:tcPr>
            <w:tcW w:w="100" w:type="dxa"/>
            <w:vAlign w:val="bottom"/>
          </w:tcPr>
          <w:p>
            <w:pPr>
              <w:spacing w:after="0"/>
              <w:rPr>
                <w:sz w:val="19"/>
                <w:szCs w:val="19"/>
                <w:color w:val="auto"/>
              </w:rPr>
            </w:pPr>
          </w:p>
        </w:tc>
        <w:tc>
          <w:tcPr>
            <w:tcW w:w="1000" w:type="dxa"/>
            <w:vAlign w:val="bottom"/>
            <w:vMerge w:val="restart"/>
          </w:tcPr>
          <w:p>
            <w:pPr>
              <w:jc w:val="right"/>
              <w:ind w:right="38"/>
              <w:spacing w:after="0"/>
              <w:rPr>
                <w:sz w:val="20"/>
                <w:szCs w:val="20"/>
                <w:color w:val="auto"/>
              </w:rPr>
            </w:pPr>
            <w:r>
              <w:rPr>
                <w:rFonts w:ascii="Times New Roman" w:cs="Times New Roman" w:eastAsia="Times New Roman" w:hAnsi="Times New Roman"/>
                <w:sz w:val="20"/>
                <w:szCs w:val="20"/>
                <w:color w:val="auto"/>
              </w:rPr>
              <w:t>6,783</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39%</w:t>
            </w:r>
          </w:p>
        </w:tc>
        <w:tc>
          <w:tcPr>
            <w:tcW w:w="10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44,631</w:t>
            </w:r>
          </w:p>
        </w:tc>
        <w:tc>
          <w:tcPr>
            <w:tcW w:w="100" w:type="dxa"/>
            <w:vAlign w:val="bottom"/>
          </w:tcPr>
          <w:p>
            <w:pPr>
              <w:spacing w:after="0"/>
              <w:rPr>
                <w:sz w:val="19"/>
                <w:szCs w:val="19"/>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20,820</w:t>
            </w:r>
          </w:p>
        </w:tc>
        <w:tc>
          <w:tcPr>
            <w:tcW w:w="120" w:type="dxa"/>
            <w:vAlign w:val="bottom"/>
          </w:tcPr>
          <w:p>
            <w:pPr>
              <w:spacing w:after="0"/>
              <w:rPr>
                <w:sz w:val="19"/>
                <w:szCs w:val="19"/>
                <w:color w:val="auto"/>
              </w:rPr>
            </w:pPr>
          </w:p>
        </w:tc>
        <w:tc>
          <w:tcPr>
            <w:tcW w:w="980" w:type="dxa"/>
            <w:vAlign w:val="bottom"/>
            <w:vMerge w:val="restart"/>
          </w:tcPr>
          <w:p>
            <w:pPr>
              <w:jc w:val="right"/>
              <w:ind w:right="38"/>
              <w:spacing w:after="0"/>
              <w:rPr>
                <w:sz w:val="20"/>
                <w:szCs w:val="20"/>
                <w:color w:val="auto"/>
              </w:rPr>
            </w:pPr>
            <w:r>
              <w:rPr>
                <w:rFonts w:ascii="Times New Roman" w:cs="Times New Roman" w:eastAsia="Times New Roman" w:hAnsi="Times New Roman"/>
                <w:sz w:val="20"/>
                <w:szCs w:val="20"/>
                <w:color w:val="auto"/>
              </w:rPr>
              <w:t>23,811</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114%</w:t>
            </w:r>
          </w:p>
        </w:tc>
        <w:tc>
          <w:tcPr>
            <w:tcW w:w="0" w:type="dxa"/>
            <w:vAlign w:val="bottom"/>
          </w:tcPr>
          <w:p>
            <w:pPr>
              <w:spacing w:after="0"/>
              <w:rPr>
                <w:sz w:val="1"/>
                <w:szCs w:val="1"/>
                <w:color w:val="auto"/>
              </w:rPr>
            </w:pPr>
          </w:p>
        </w:tc>
      </w:tr>
      <w:tr>
        <w:trPr>
          <w:trHeight w:val="151"/>
        </w:trPr>
        <w:tc>
          <w:tcPr>
            <w:tcW w:w="29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net</w:t>
            </w:r>
          </w:p>
        </w:tc>
        <w:tc>
          <w:tcPr>
            <w:tcW w:w="9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29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20"/>
          </w:cols>
          <w:pgMar w:left="340" w:top="1228" w:right="339" w:bottom="0" w:gutter="0" w:footer="0" w:header="0"/>
        </w:sectPr>
      </w:pPr>
    </w:p>
    <w:p>
      <w:pPr>
        <w:spacing w:after="0"/>
        <w:rPr>
          <w:sz w:val="20"/>
          <w:szCs w:val="20"/>
          <w:color w:val="auto"/>
        </w:rPr>
      </w:pPr>
      <w:r>
        <w:rPr>
          <w:rFonts w:ascii="Times New Roman" w:cs="Times New Roman" w:eastAsia="Times New Roman" w:hAnsi="Times New Roman"/>
          <w:sz w:val="20"/>
          <w:szCs w:val="20"/>
          <w:color w:val="auto"/>
        </w:rPr>
        <w:t>Amortization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Stock-based compensation</w:t>
      </w:r>
    </w:p>
    <w:p>
      <w:pPr>
        <w:spacing w:after="0" w:line="24" w:lineRule="exact"/>
        <w:rPr>
          <w:sz w:val="20"/>
          <w:szCs w:val="20"/>
          <w:color w:val="auto"/>
        </w:rPr>
      </w:pPr>
    </w:p>
    <w:p>
      <w:pPr>
        <w:ind w:right="460"/>
        <w:spacing w:after="0" w:line="251" w:lineRule="auto"/>
        <w:rPr>
          <w:sz w:val="20"/>
          <w:szCs w:val="20"/>
          <w:color w:val="auto"/>
        </w:rPr>
      </w:pPr>
      <w:r>
        <w:rPr>
          <w:rFonts w:ascii="Times New Roman" w:cs="Times New Roman" w:eastAsia="Times New Roman" w:hAnsi="Times New Roman"/>
          <w:sz w:val="20"/>
          <w:szCs w:val="20"/>
          <w:color w:val="auto"/>
        </w:rPr>
        <w:t>Change in fair value of contingent consideration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820" w:type="dxa"/>
            <w:vAlign w:val="bottom"/>
          </w:tcPr>
          <w:p>
            <w:pPr>
              <w:jc w:val="right"/>
              <w:ind w:right="158"/>
              <w:spacing w:after="0"/>
              <w:rPr>
                <w:sz w:val="20"/>
                <w:szCs w:val="20"/>
                <w:color w:val="auto"/>
              </w:rPr>
            </w:pPr>
            <w:r>
              <w:rPr>
                <w:rFonts w:ascii="Times New Roman" w:cs="Times New Roman" w:eastAsia="Times New Roman" w:hAnsi="Times New Roman"/>
                <w:sz w:val="20"/>
                <w:szCs w:val="20"/>
                <w:color w:val="auto"/>
                <w:w w:val="98"/>
              </w:rPr>
              <w:t>33,546</w:t>
            </w:r>
          </w:p>
        </w:tc>
        <w:tc>
          <w:tcPr>
            <w:tcW w:w="1100" w:type="dxa"/>
            <w:vAlign w:val="bottom"/>
          </w:tcPr>
          <w:p>
            <w:pPr>
              <w:jc w:val="right"/>
              <w:ind w:right="198"/>
              <w:spacing w:after="0"/>
              <w:rPr>
                <w:sz w:val="20"/>
                <w:szCs w:val="20"/>
                <w:color w:val="auto"/>
              </w:rPr>
            </w:pPr>
            <w:r>
              <w:rPr>
                <w:rFonts w:ascii="Times New Roman" w:cs="Times New Roman" w:eastAsia="Times New Roman" w:hAnsi="Times New Roman"/>
                <w:sz w:val="20"/>
                <w:szCs w:val="20"/>
                <w:color w:val="auto"/>
              </w:rPr>
              <w:t>32,842</w:t>
            </w:r>
          </w:p>
        </w:tc>
        <w:tc>
          <w:tcPr>
            <w:tcW w:w="1060" w:type="dxa"/>
            <w:vAlign w:val="bottom"/>
          </w:tcPr>
          <w:p>
            <w:pPr>
              <w:jc w:val="right"/>
              <w:ind w:right="198"/>
              <w:spacing w:after="0"/>
              <w:rPr>
                <w:sz w:val="20"/>
                <w:szCs w:val="20"/>
                <w:color w:val="auto"/>
              </w:rPr>
            </w:pPr>
            <w:r>
              <w:rPr>
                <w:rFonts w:ascii="Times New Roman" w:cs="Times New Roman" w:eastAsia="Times New Roman" w:hAnsi="Times New Roman"/>
                <w:sz w:val="20"/>
                <w:szCs w:val="20"/>
                <w:color w:val="auto"/>
              </w:rPr>
              <w:t>704</w:t>
            </w:r>
          </w:p>
        </w:tc>
        <w:tc>
          <w:tcPr>
            <w:tcW w:w="1040" w:type="dxa"/>
            <w:vAlign w:val="bottom"/>
          </w:tcPr>
          <w:p>
            <w:pPr>
              <w:jc w:val="right"/>
              <w:ind w:right="158"/>
              <w:spacing w:after="0"/>
              <w:rPr>
                <w:sz w:val="20"/>
                <w:szCs w:val="20"/>
                <w:color w:val="auto"/>
              </w:rPr>
            </w:pPr>
            <w:r>
              <w:rPr>
                <w:rFonts w:ascii="Times New Roman" w:cs="Times New Roman" w:eastAsia="Times New Roman" w:hAnsi="Times New Roman"/>
                <w:sz w:val="20"/>
                <w:szCs w:val="20"/>
                <w:color w:val="auto"/>
              </w:rPr>
              <w:t>2%</w:t>
            </w:r>
          </w:p>
        </w:tc>
        <w:tc>
          <w:tcPr>
            <w:tcW w:w="980" w:type="dxa"/>
            <w:vAlign w:val="bottom"/>
          </w:tcPr>
          <w:p>
            <w:pPr>
              <w:jc w:val="right"/>
              <w:ind w:right="98"/>
              <w:spacing w:after="0"/>
              <w:rPr>
                <w:sz w:val="20"/>
                <w:szCs w:val="20"/>
                <w:color w:val="auto"/>
              </w:rPr>
            </w:pPr>
            <w:r>
              <w:rPr>
                <w:rFonts w:ascii="Times New Roman" w:cs="Times New Roman" w:eastAsia="Times New Roman" w:hAnsi="Times New Roman"/>
                <w:sz w:val="20"/>
                <w:szCs w:val="20"/>
                <w:color w:val="auto"/>
              </w:rPr>
              <w:t>99,410</w:t>
            </w:r>
          </w:p>
        </w:tc>
        <w:tc>
          <w:tcPr>
            <w:tcW w:w="1120" w:type="dxa"/>
            <w:vAlign w:val="bottom"/>
          </w:tcPr>
          <w:p>
            <w:pPr>
              <w:jc w:val="right"/>
              <w:ind w:right="178"/>
              <w:spacing w:after="0"/>
              <w:rPr>
                <w:sz w:val="20"/>
                <w:szCs w:val="20"/>
                <w:color w:val="auto"/>
              </w:rPr>
            </w:pPr>
            <w:r>
              <w:rPr>
                <w:rFonts w:ascii="Times New Roman" w:cs="Times New Roman" w:eastAsia="Times New Roman" w:hAnsi="Times New Roman"/>
                <w:sz w:val="20"/>
                <w:szCs w:val="20"/>
                <w:color w:val="auto"/>
              </w:rPr>
              <w:t>95,183</w:t>
            </w:r>
          </w:p>
        </w:tc>
        <w:tc>
          <w:tcPr>
            <w:tcW w:w="1060" w:type="dxa"/>
            <w:vAlign w:val="bottom"/>
          </w:tcPr>
          <w:p>
            <w:pPr>
              <w:jc w:val="right"/>
              <w:ind w:right="178"/>
              <w:spacing w:after="0"/>
              <w:rPr>
                <w:sz w:val="20"/>
                <w:szCs w:val="20"/>
                <w:color w:val="auto"/>
              </w:rPr>
            </w:pPr>
            <w:r>
              <w:rPr>
                <w:rFonts w:ascii="Times New Roman" w:cs="Times New Roman" w:eastAsia="Times New Roman" w:hAnsi="Times New Roman"/>
                <w:sz w:val="20"/>
                <w:szCs w:val="20"/>
                <w:color w:val="auto"/>
              </w:rPr>
              <w:t>4,227</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r>
      <w:tr>
        <w:trPr>
          <w:trHeight w:val="265"/>
        </w:trPr>
        <w:tc>
          <w:tcPr>
            <w:tcW w:w="820" w:type="dxa"/>
            <w:vAlign w:val="bottom"/>
          </w:tcPr>
          <w:p>
            <w:pPr>
              <w:jc w:val="right"/>
              <w:ind w:right="158"/>
              <w:spacing w:after="0"/>
              <w:rPr>
                <w:sz w:val="20"/>
                <w:szCs w:val="20"/>
                <w:color w:val="auto"/>
              </w:rPr>
            </w:pPr>
            <w:r>
              <w:rPr>
                <w:rFonts w:ascii="Times New Roman" w:cs="Times New Roman" w:eastAsia="Times New Roman" w:hAnsi="Times New Roman"/>
                <w:sz w:val="20"/>
                <w:szCs w:val="20"/>
                <w:color w:val="auto"/>
              </w:rPr>
              <w:t>4,035</w:t>
            </w:r>
          </w:p>
        </w:tc>
        <w:tc>
          <w:tcPr>
            <w:tcW w:w="1100" w:type="dxa"/>
            <w:vAlign w:val="bottom"/>
          </w:tcPr>
          <w:p>
            <w:pPr>
              <w:jc w:val="right"/>
              <w:ind w:right="198"/>
              <w:spacing w:after="0"/>
              <w:rPr>
                <w:sz w:val="20"/>
                <w:szCs w:val="20"/>
                <w:color w:val="auto"/>
              </w:rPr>
            </w:pPr>
            <w:r>
              <w:rPr>
                <w:rFonts w:ascii="Times New Roman" w:cs="Times New Roman" w:eastAsia="Times New Roman" w:hAnsi="Times New Roman"/>
                <w:sz w:val="20"/>
                <w:szCs w:val="20"/>
                <w:color w:val="auto"/>
              </w:rPr>
              <w:t>8,059</w:t>
            </w:r>
          </w:p>
        </w:tc>
        <w:tc>
          <w:tcPr>
            <w:tcW w:w="1060" w:type="dxa"/>
            <w:vAlign w:val="bottom"/>
          </w:tcPr>
          <w:p>
            <w:pPr>
              <w:jc w:val="right"/>
              <w:ind w:right="138"/>
              <w:spacing w:after="0"/>
              <w:rPr>
                <w:sz w:val="20"/>
                <w:szCs w:val="20"/>
                <w:color w:val="auto"/>
              </w:rPr>
            </w:pPr>
            <w:r>
              <w:rPr>
                <w:rFonts w:ascii="Times New Roman" w:cs="Times New Roman" w:eastAsia="Times New Roman" w:hAnsi="Times New Roman"/>
                <w:sz w:val="20"/>
                <w:szCs w:val="20"/>
                <w:color w:val="auto"/>
              </w:rPr>
              <w:t>(4,024)</w:t>
            </w:r>
          </w:p>
        </w:tc>
        <w:tc>
          <w:tcPr>
            <w:tcW w:w="1040" w:type="dxa"/>
            <w:vAlign w:val="bottom"/>
          </w:tcPr>
          <w:p>
            <w:pPr>
              <w:jc w:val="right"/>
              <w:ind w:right="98"/>
              <w:spacing w:after="0"/>
              <w:rPr>
                <w:sz w:val="20"/>
                <w:szCs w:val="20"/>
                <w:color w:val="auto"/>
              </w:rPr>
            </w:pPr>
            <w:r>
              <w:rPr>
                <w:rFonts w:ascii="Times New Roman" w:cs="Times New Roman" w:eastAsia="Times New Roman" w:hAnsi="Times New Roman"/>
                <w:sz w:val="20"/>
                <w:szCs w:val="20"/>
                <w:color w:val="auto"/>
              </w:rPr>
              <w:t>(50)%</w:t>
            </w:r>
          </w:p>
        </w:tc>
        <w:tc>
          <w:tcPr>
            <w:tcW w:w="980" w:type="dxa"/>
            <w:vAlign w:val="bottom"/>
          </w:tcPr>
          <w:p>
            <w:pPr>
              <w:jc w:val="right"/>
              <w:ind w:right="98"/>
              <w:spacing w:after="0"/>
              <w:rPr>
                <w:sz w:val="20"/>
                <w:szCs w:val="20"/>
                <w:color w:val="auto"/>
              </w:rPr>
            </w:pPr>
            <w:r>
              <w:rPr>
                <w:rFonts w:ascii="Times New Roman" w:cs="Times New Roman" w:eastAsia="Times New Roman" w:hAnsi="Times New Roman"/>
                <w:sz w:val="20"/>
                <w:szCs w:val="20"/>
                <w:color w:val="auto"/>
              </w:rPr>
              <w:t>18,189</w:t>
            </w:r>
          </w:p>
        </w:tc>
        <w:tc>
          <w:tcPr>
            <w:tcW w:w="1120" w:type="dxa"/>
            <w:vAlign w:val="bottom"/>
          </w:tcPr>
          <w:p>
            <w:pPr>
              <w:jc w:val="right"/>
              <w:ind w:right="178"/>
              <w:spacing w:after="0"/>
              <w:rPr>
                <w:sz w:val="20"/>
                <w:szCs w:val="20"/>
                <w:color w:val="auto"/>
              </w:rPr>
            </w:pPr>
            <w:r>
              <w:rPr>
                <w:rFonts w:ascii="Times New Roman" w:cs="Times New Roman" w:eastAsia="Times New Roman" w:hAnsi="Times New Roman"/>
                <w:sz w:val="20"/>
                <w:szCs w:val="20"/>
                <w:color w:val="auto"/>
              </w:rPr>
              <w:t>24,517</w:t>
            </w:r>
          </w:p>
        </w:tc>
        <w:tc>
          <w:tcPr>
            <w:tcW w:w="1060" w:type="dxa"/>
            <w:vAlign w:val="bottom"/>
          </w:tcPr>
          <w:p>
            <w:pPr>
              <w:jc w:val="right"/>
              <w:ind w:right="98"/>
              <w:spacing w:after="0"/>
              <w:rPr>
                <w:sz w:val="20"/>
                <w:szCs w:val="20"/>
                <w:color w:val="auto"/>
              </w:rPr>
            </w:pPr>
            <w:r>
              <w:rPr>
                <w:rFonts w:ascii="Times New Roman" w:cs="Times New Roman" w:eastAsia="Times New Roman" w:hAnsi="Times New Roman"/>
                <w:sz w:val="20"/>
                <w:szCs w:val="20"/>
                <w:color w:val="auto"/>
              </w:rPr>
              <w:t>(6,328)</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r>
      <w:tr>
        <w:trPr>
          <w:trHeight w:val="368"/>
        </w:trPr>
        <w:tc>
          <w:tcPr>
            <w:tcW w:w="820" w:type="dxa"/>
            <w:vAlign w:val="bottom"/>
          </w:tcPr>
          <w:p>
            <w:pPr>
              <w:jc w:val="right"/>
              <w:ind w:right="158"/>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138"/>
              <w:spacing w:after="0"/>
              <w:rPr>
                <w:sz w:val="20"/>
                <w:szCs w:val="20"/>
                <w:color w:val="auto"/>
              </w:rPr>
            </w:pPr>
            <w:r>
              <w:rPr>
                <w:rFonts w:ascii="Times New Roman" w:cs="Times New Roman" w:eastAsia="Times New Roman" w:hAnsi="Times New Roman"/>
                <w:sz w:val="20"/>
                <w:szCs w:val="20"/>
                <w:color w:val="auto"/>
              </w:rPr>
              <w:t>(5,983)</w:t>
            </w:r>
          </w:p>
        </w:tc>
        <w:tc>
          <w:tcPr>
            <w:tcW w:w="1060" w:type="dxa"/>
            <w:vAlign w:val="bottom"/>
          </w:tcPr>
          <w:p>
            <w:pPr>
              <w:jc w:val="right"/>
              <w:ind w:right="198"/>
              <w:spacing w:after="0"/>
              <w:rPr>
                <w:sz w:val="20"/>
                <w:szCs w:val="20"/>
                <w:color w:val="auto"/>
              </w:rPr>
            </w:pPr>
            <w:r>
              <w:rPr>
                <w:rFonts w:ascii="Times New Roman" w:cs="Times New Roman" w:eastAsia="Times New Roman" w:hAnsi="Times New Roman"/>
                <w:sz w:val="20"/>
                <w:szCs w:val="20"/>
                <w:color w:val="auto"/>
              </w:rPr>
              <w:t>5,983</w:t>
            </w:r>
          </w:p>
        </w:tc>
        <w:tc>
          <w:tcPr>
            <w:tcW w:w="1040" w:type="dxa"/>
            <w:vAlign w:val="bottom"/>
          </w:tcPr>
          <w:p>
            <w:pPr>
              <w:jc w:val="right"/>
              <w:ind w:right="98"/>
              <w:spacing w:after="0"/>
              <w:rPr>
                <w:sz w:val="20"/>
                <w:szCs w:val="20"/>
                <w:color w:val="auto"/>
              </w:rPr>
            </w:pPr>
            <w:r>
              <w:rPr>
                <w:rFonts w:ascii="Times New Roman" w:cs="Times New Roman" w:eastAsia="Times New Roman" w:hAnsi="Times New Roman"/>
                <w:sz w:val="20"/>
                <w:szCs w:val="20"/>
                <w:color w:val="auto"/>
              </w:rPr>
              <w:t>(100)%</w:t>
            </w:r>
          </w:p>
        </w:tc>
        <w:tc>
          <w:tcPr>
            <w:tcW w:w="980" w:type="dxa"/>
            <w:vAlign w:val="bottom"/>
          </w:tcPr>
          <w:p>
            <w:pPr>
              <w:jc w:val="right"/>
              <w:ind w:right="98"/>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ind w:right="98"/>
              <w:spacing w:after="0"/>
              <w:rPr>
                <w:sz w:val="20"/>
                <w:szCs w:val="20"/>
                <w:color w:val="auto"/>
              </w:rPr>
            </w:pPr>
            <w:r>
              <w:rPr>
                <w:rFonts w:ascii="Times New Roman" w:cs="Times New Roman" w:eastAsia="Times New Roman" w:hAnsi="Times New Roman"/>
                <w:sz w:val="20"/>
                <w:szCs w:val="20"/>
                <w:color w:val="auto"/>
              </w:rPr>
              <w:t>(16,790)</w:t>
            </w:r>
          </w:p>
        </w:tc>
        <w:tc>
          <w:tcPr>
            <w:tcW w:w="1060" w:type="dxa"/>
            <w:vAlign w:val="bottom"/>
          </w:tcPr>
          <w:p>
            <w:pPr>
              <w:jc w:val="right"/>
              <w:ind w:right="178"/>
              <w:spacing w:after="0"/>
              <w:rPr>
                <w:sz w:val="20"/>
                <w:szCs w:val="20"/>
                <w:color w:val="auto"/>
              </w:rPr>
            </w:pPr>
            <w:r>
              <w:rPr>
                <w:rFonts w:ascii="Times New Roman" w:cs="Times New Roman" w:eastAsia="Times New Roman" w:hAnsi="Times New Roman"/>
                <w:sz w:val="20"/>
                <w:szCs w:val="20"/>
                <w:color w:val="auto"/>
              </w:rPr>
              <w:t>16,790</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r>
    </w:tbl>
    <w:p>
      <w:pPr>
        <w:spacing w:after="0" w:line="114" w:lineRule="exact"/>
        <w:rPr>
          <w:sz w:val="20"/>
          <w:szCs w:val="20"/>
          <w:color w:val="auto"/>
        </w:rPr>
      </w:pPr>
    </w:p>
    <w:p>
      <w:pPr>
        <w:sectPr>
          <w:pgSz w:w="11900" w:h="16838" w:orient="portrait"/>
          <w:cols w:equalWidth="0" w:num="2">
            <w:col w:w="2460" w:space="720"/>
            <w:col w:w="8040"/>
          </w:cols>
          <w:pgMar w:left="340" w:top="1228" w:right="339" w:bottom="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2900" w:type="dxa"/>
            <w:vAlign w:val="bottom"/>
          </w:tcPr>
          <w:p>
            <w:pPr>
              <w:spacing w:after="0"/>
              <w:rPr>
                <w:sz w:val="20"/>
                <w:szCs w:val="20"/>
                <w:color w:val="auto"/>
              </w:rPr>
            </w:pPr>
            <w:r>
              <w:rPr>
                <w:rFonts w:ascii="Times New Roman" w:cs="Times New Roman" w:eastAsia="Times New Roman" w:hAnsi="Times New Roman"/>
                <w:sz w:val="20"/>
                <w:szCs w:val="20"/>
                <w:color w:val="auto"/>
              </w:rPr>
              <w:t>Impairments</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699,235</w:t>
            </w:r>
          </w:p>
        </w:tc>
        <w:tc>
          <w:tcPr>
            <w:tcW w:w="10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699,235</w:t>
            </w:r>
          </w:p>
        </w:tc>
        <w:tc>
          <w:tcPr>
            <w:tcW w:w="100" w:type="dxa"/>
            <w:vAlign w:val="bottom"/>
          </w:tcPr>
          <w:p>
            <w:pPr>
              <w:spacing w:after="0"/>
              <w:rPr>
                <w:sz w:val="21"/>
                <w:szCs w:val="21"/>
                <w:color w:val="auto"/>
              </w:rPr>
            </w:pPr>
          </w:p>
        </w:tc>
        <w:tc>
          <w:tcPr>
            <w:tcW w:w="122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auto"/>
              </w:rPr>
              <w:t>NM</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699,235</w:t>
            </w:r>
          </w:p>
        </w:tc>
        <w:tc>
          <w:tcPr>
            <w:tcW w:w="1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699,235</w:t>
            </w:r>
          </w:p>
        </w:tc>
        <w:tc>
          <w:tcPr>
            <w:tcW w:w="100" w:type="dxa"/>
            <w:vAlign w:val="bottom"/>
          </w:tcPr>
          <w:p>
            <w:pPr>
              <w:spacing w:after="0"/>
              <w:rPr>
                <w:sz w:val="21"/>
                <w:szCs w:val="21"/>
                <w:color w:val="auto"/>
              </w:rPr>
            </w:pPr>
          </w:p>
        </w:tc>
        <w:tc>
          <w:tcPr>
            <w:tcW w:w="940" w:type="dxa"/>
            <w:vAlign w:val="bottom"/>
          </w:tcPr>
          <w:p>
            <w:pPr>
              <w:jc w:val="right"/>
              <w:ind w:right="178"/>
              <w:spacing w:after="0"/>
              <w:rPr>
                <w:sz w:val="20"/>
                <w:szCs w:val="20"/>
                <w:color w:val="auto"/>
              </w:rPr>
            </w:pPr>
            <w:r>
              <w:rPr>
                <w:rFonts w:ascii="Times New Roman" w:cs="Times New Roman" w:eastAsia="Times New Roman" w:hAnsi="Times New Roman"/>
                <w:sz w:val="20"/>
                <w:szCs w:val="20"/>
                <w:color w:val="auto"/>
              </w:rPr>
              <w:t>NM</w:t>
            </w:r>
          </w:p>
        </w:tc>
        <w:tc>
          <w:tcPr>
            <w:tcW w:w="0" w:type="dxa"/>
            <w:vAlign w:val="bottom"/>
          </w:tcPr>
          <w:p>
            <w:pPr>
              <w:spacing w:after="0"/>
              <w:rPr>
                <w:sz w:val="1"/>
                <w:szCs w:val="1"/>
                <w:color w:val="auto"/>
              </w:rPr>
            </w:pPr>
          </w:p>
        </w:tc>
      </w:tr>
      <w:tr>
        <w:trPr>
          <w:trHeight w:val="229"/>
        </w:trPr>
        <w:tc>
          <w:tcPr>
            <w:tcW w:w="290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Other than temporary change in</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0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fair value of convertible notes</w:t>
            </w:r>
          </w:p>
        </w:tc>
        <w:tc>
          <w:tcPr>
            <w:tcW w:w="94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20,000</w:t>
            </w:r>
          </w:p>
        </w:tc>
        <w:tc>
          <w:tcPr>
            <w:tcW w:w="100" w:type="dxa"/>
            <w:vAlign w:val="bottom"/>
          </w:tcPr>
          <w:p>
            <w:pPr>
              <w:spacing w:after="0"/>
              <w:rPr>
                <w:sz w:val="19"/>
                <w:szCs w:val="19"/>
                <w:color w:val="auto"/>
              </w:rPr>
            </w:pPr>
          </w:p>
        </w:tc>
        <w:tc>
          <w:tcPr>
            <w:tcW w:w="96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42,681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(22,681)</w:t>
            </w:r>
          </w:p>
        </w:tc>
        <w:tc>
          <w:tcPr>
            <w:tcW w:w="100" w:type="dxa"/>
            <w:vAlign w:val="bottom"/>
          </w:tcPr>
          <w:p>
            <w:pPr>
              <w:spacing w:after="0"/>
              <w:rPr>
                <w:sz w:val="19"/>
                <w:szCs w:val="19"/>
                <w:color w:val="auto"/>
              </w:rPr>
            </w:pPr>
          </w:p>
        </w:tc>
        <w:tc>
          <w:tcPr>
            <w:tcW w:w="96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20,000</w:t>
            </w:r>
          </w:p>
        </w:tc>
        <w:tc>
          <w:tcPr>
            <w:tcW w:w="100" w:type="dxa"/>
            <w:vAlign w:val="bottom"/>
          </w:tcPr>
          <w:p>
            <w:pPr>
              <w:spacing w:after="0"/>
              <w:rPr>
                <w:sz w:val="19"/>
                <w:szCs w:val="19"/>
                <w:color w:val="auto"/>
              </w:rPr>
            </w:pPr>
          </w:p>
        </w:tc>
        <w:tc>
          <w:tcPr>
            <w:tcW w:w="94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42,681</w:t>
            </w:r>
          </w:p>
        </w:tc>
        <w:tc>
          <w:tcPr>
            <w:tcW w:w="120" w:type="dxa"/>
            <w:vAlign w:val="bottom"/>
          </w:tcPr>
          <w:p>
            <w:pPr>
              <w:spacing w:after="0"/>
              <w:rPr>
                <w:sz w:val="19"/>
                <w:szCs w:val="19"/>
                <w:color w:val="auto"/>
              </w:rPr>
            </w:pPr>
          </w:p>
        </w:tc>
        <w:tc>
          <w:tcPr>
            <w:tcW w:w="94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(22,681)</w:t>
            </w:r>
          </w:p>
        </w:tc>
        <w:tc>
          <w:tcPr>
            <w:tcW w:w="100" w:type="dxa"/>
            <w:vAlign w:val="bottom"/>
          </w:tcPr>
          <w:p>
            <w:pPr>
              <w:spacing w:after="0"/>
              <w:rPr>
                <w:sz w:val="19"/>
                <w:szCs w:val="19"/>
                <w:color w:val="auto"/>
              </w:rPr>
            </w:pPr>
          </w:p>
        </w:tc>
        <w:tc>
          <w:tcPr>
            <w:tcW w:w="94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(53)%</w:t>
            </w:r>
          </w:p>
        </w:tc>
        <w:tc>
          <w:tcPr>
            <w:tcW w:w="0" w:type="dxa"/>
            <w:vAlign w:val="bottom"/>
          </w:tcPr>
          <w:p>
            <w:pPr>
              <w:spacing w:after="0"/>
              <w:rPr>
                <w:sz w:val="1"/>
                <w:szCs w:val="1"/>
                <w:color w:val="auto"/>
              </w:rPr>
            </w:pPr>
          </w:p>
        </w:tc>
      </w:tr>
      <w:tr>
        <w:trPr>
          <w:trHeight w:val="254"/>
        </w:trPr>
        <w:tc>
          <w:tcPr>
            <w:tcW w:w="2900" w:type="dxa"/>
            <w:vAlign w:val="bottom"/>
          </w:tcPr>
          <w:p>
            <w:pPr>
              <w:spacing w:after="0"/>
              <w:rPr>
                <w:sz w:val="20"/>
                <w:szCs w:val="20"/>
                <w:color w:val="auto"/>
              </w:rPr>
            </w:pPr>
            <w:r>
              <w:rPr>
                <w:rFonts w:ascii="Times New Roman" w:cs="Times New Roman" w:eastAsia="Times New Roman" w:hAnsi="Times New Roman"/>
                <w:sz w:val="20"/>
                <w:szCs w:val="20"/>
                <w:color w:val="auto"/>
              </w:rPr>
              <w:t>receivable</w:t>
            </w: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2900" w:type="dxa"/>
            <w:vAlign w:val="bottom"/>
          </w:tcPr>
          <w:p>
            <w:pPr>
              <w:spacing w:after="0"/>
              <w:rPr>
                <w:sz w:val="20"/>
                <w:szCs w:val="20"/>
                <w:color w:val="auto"/>
              </w:rPr>
            </w:pPr>
            <w:r>
              <w:rPr>
                <w:rFonts w:ascii="Times New Roman" w:cs="Times New Roman" w:eastAsia="Times New Roman" w:hAnsi="Times New Roman"/>
                <w:sz w:val="20"/>
                <w:szCs w:val="20"/>
                <w:color w:val="auto"/>
              </w:rPr>
              <w:t>Project 420 business optimization</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2,600</w:t>
            </w:r>
          </w:p>
        </w:tc>
        <w:tc>
          <w:tcPr>
            <w:tcW w:w="100" w:type="dxa"/>
            <w:vAlign w:val="bottom"/>
          </w:tcPr>
          <w:p>
            <w:pPr>
              <w:spacing w:after="0"/>
              <w:rPr>
                <w:sz w:val="22"/>
                <w:szCs w:val="22"/>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2,600</w:t>
            </w:r>
          </w:p>
        </w:tc>
        <w:tc>
          <w:tcPr>
            <w:tcW w:w="100" w:type="dxa"/>
            <w:vAlign w:val="bottom"/>
          </w:tcPr>
          <w:p>
            <w:pPr>
              <w:spacing w:after="0"/>
              <w:rPr>
                <w:sz w:val="22"/>
                <w:szCs w:val="22"/>
                <w:color w:val="auto"/>
              </w:rPr>
            </w:pPr>
          </w:p>
        </w:tc>
        <w:tc>
          <w:tcPr>
            <w:tcW w:w="122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auto"/>
              </w:rPr>
              <w:t>NM</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2,600</w:t>
            </w:r>
          </w:p>
        </w:tc>
        <w:tc>
          <w:tcPr>
            <w:tcW w:w="1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2,600</w:t>
            </w:r>
          </w:p>
        </w:tc>
        <w:tc>
          <w:tcPr>
            <w:tcW w:w="100" w:type="dxa"/>
            <w:vAlign w:val="bottom"/>
          </w:tcPr>
          <w:p>
            <w:pPr>
              <w:spacing w:after="0"/>
              <w:rPr>
                <w:sz w:val="22"/>
                <w:szCs w:val="22"/>
                <w:color w:val="auto"/>
              </w:rPr>
            </w:pPr>
          </w:p>
        </w:tc>
        <w:tc>
          <w:tcPr>
            <w:tcW w:w="940" w:type="dxa"/>
            <w:vAlign w:val="bottom"/>
          </w:tcPr>
          <w:p>
            <w:pPr>
              <w:jc w:val="right"/>
              <w:ind w:right="178"/>
              <w:spacing w:after="0"/>
              <w:rPr>
                <w:sz w:val="20"/>
                <w:szCs w:val="20"/>
                <w:color w:val="auto"/>
              </w:rPr>
            </w:pPr>
            <w:r>
              <w:rPr>
                <w:rFonts w:ascii="Times New Roman" w:cs="Times New Roman" w:eastAsia="Times New Roman" w:hAnsi="Times New Roman"/>
                <w:sz w:val="20"/>
                <w:szCs w:val="20"/>
                <w:color w:val="auto"/>
              </w:rPr>
              <w:t>NM</w:t>
            </w:r>
          </w:p>
        </w:tc>
        <w:tc>
          <w:tcPr>
            <w:tcW w:w="0" w:type="dxa"/>
            <w:vAlign w:val="bottom"/>
          </w:tcPr>
          <w:p>
            <w:pPr>
              <w:spacing w:after="0"/>
              <w:rPr>
                <w:sz w:val="1"/>
                <w:szCs w:val="1"/>
                <w:color w:val="auto"/>
              </w:rPr>
            </w:pPr>
          </w:p>
        </w:tc>
      </w:tr>
      <w:tr>
        <w:trPr>
          <w:trHeight w:val="229"/>
        </w:trPr>
        <w:tc>
          <w:tcPr>
            <w:tcW w:w="290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Purchase price accounting step-</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59</w:t>
            </w:r>
          </w:p>
        </w:tc>
        <w:tc>
          <w:tcPr>
            <w:tcW w:w="10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2,247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(2,188)</w:t>
            </w:r>
          </w:p>
        </w:tc>
        <w:tc>
          <w:tcPr>
            <w:tcW w:w="10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1,610</w:t>
            </w:r>
          </w:p>
        </w:tc>
        <w:tc>
          <w:tcPr>
            <w:tcW w:w="100" w:type="dxa"/>
            <w:vAlign w:val="bottom"/>
          </w:tcPr>
          <w:p>
            <w:pPr>
              <w:spacing w:after="0"/>
              <w:rPr>
                <w:sz w:val="19"/>
                <w:szCs w:val="19"/>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12,054</w:t>
            </w:r>
          </w:p>
        </w:tc>
        <w:tc>
          <w:tcPr>
            <w:tcW w:w="120" w:type="dxa"/>
            <w:vAlign w:val="bottom"/>
          </w:tcPr>
          <w:p>
            <w:pPr>
              <w:spacing w:after="0"/>
              <w:rPr>
                <w:sz w:val="19"/>
                <w:szCs w:val="19"/>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(10,444)</w:t>
            </w:r>
          </w:p>
        </w:tc>
        <w:tc>
          <w:tcPr>
            <w:tcW w:w="100" w:type="dxa"/>
            <w:vAlign w:val="bottom"/>
          </w:tcPr>
          <w:p>
            <w:pPr>
              <w:spacing w:after="0"/>
              <w:rPr>
                <w:sz w:val="19"/>
                <w:szCs w:val="19"/>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(87)%</w:t>
            </w:r>
          </w:p>
        </w:tc>
        <w:tc>
          <w:tcPr>
            <w:tcW w:w="0" w:type="dxa"/>
            <w:vAlign w:val="bottom"/>
          </w:tcPr>
          <w:p>
            <w:pPr>
              <w:spacing w:after="0"/>
              <w:rPr>
                <w:sz w:val="1"/>
                <w:szCs w:val="1"/>
                <w:color w:val="auto"/>
              </w:rPr>
            </w:pPr>
          </w:p>
        </w:tc>
      </w:tr>
      <w:tr>
        <w:trPr>
          <w:trHeight w:val="151"/>
        </w:trPr>
        <w:tc>
          <w:tcPr>
            <w:tcW w:w="29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up</w:t>
            </w:r>
          </w:p>
        </w:tc>
        <w:tc>
          <w:tcPr>
            <w:tcW w:w="9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90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2900" w:type="dxa"/>
            <w:vAlign w:val="bottom"/>
          </w:tcPr>
          <w:p>
            <w:pPr>
              <w:spacing w:after="0"/>
              <w:rPr>
                <w:sz w:val="20"/>
                <w:szCs w:val="20"/>
                <w:color w:val="auto"/>
              </w:rPr>
            </w:pPr>
            <w:r>
              <w:rPr>
                <w:rFonts w:ascii="Times New Roman" w:cs="Times New Roman" w:eastAsia="Times New Roman" w:hAnsi="Times New Roman"/>
                <w:sz w:val="20"/>
                <w:szCs w:val="20"/>
                <w:color w:val="auto"/>
              </w:rPr>
              <w:t>Facility start-up and closure costs</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(400)</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1,300</w:t>
            </w: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(1,300)</w:t>
            </w: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0" w:type="dxa"/>
            <w:vAlign w:val="bottom"/>
          </w:tcPr>
          <w:p>
            <w:pPr>
              <w:spacing w:after="0"/>
              <w:rPr>
                <w:sz w:val="1"/>
                <w:szCs w:val="1"/>
                <w:color w:val="auto"/>
              </w:rPr>
            </w:pPr>
          </w:p>
        </w:tc>
      </w:tr>
      <w:tr>
        <w:trPr>
          <w:trHeight w:val="254"/>
        </w:trPr>
        <w:tc>
          <w:tcPr>
            <w:tcW w:w="2900" w:type="dxa"/>
            <w:vAlign w:val="bottom"/>
          </w:tcPr>
          <w:p>
            <w:pPr>
              <w:spacing w:after="0"/>
              <w:rPr>
                <w:sz w:val="20"/>
                <w:szCs w:val="20"/>
                <w:color w:val="auto"/>
              </w:rPr>
            </w:pPr>
            <w:r>
              <w:rPr>
                <w:rFonts w:ascii="Times New Roman" w:cs="Times New Roman" w:eastAsia="Times New Roman" w:hAnsi="Times New Roman"/>
                <w:sz w:val="20"/>
                <w:szCs w:val="20"/>
                <w:color w:val="auto"/>
              </w:rPr>
              <w:t>Litigation costs, net of recoveries</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2,758</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3,363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(605)</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5,254</w:t>
            </w: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8,439</w:t>
            </w: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(3,185)</w:t>
            </w: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c>
          <w:tcPr>
            <w:tcW w:w="0" w:type="dxa"/>
            <w:vAlign w:val="bottom"/>
          </w:tcPr>
          <w:p>
            <w:pPr>
              <w:spacing w:after="0"/>
              <w:rPr>
                <w:sz w:val="1"/>
                <w:szCs w:val="1"/>
                <w:color w:val="auto"/>
              </w:rPr>
            </w:pPr>
          </w:p>
        </w:tc>
      </w:tr>
      <w:tr>
        <w:trPr>
          <w:trHeight w:val="254"/>
        </w:trPr>
        <w:tc>
          <w:tcPr>
            <w:tcW w:w="2900" w:type="dxa"/>
            <w:vAlign w:val="bottom"/>
          </w:tcPr>
          <w:p>
            <w:pPr>
              <w:spacing w:after="0"/>
              <w:rPr>
                <w:sz w:val="20"/>
                <w:szCs w:val="20"/>
                <w:color w:val="auto"/>
              </w:rPr>
            </w:pPr>
            <w:r>
              <w:rPr>
                <w:rFonts w:ascii="Times New Roman" w:cs="Times New Roman" w:eastAsia="Times New Roman" w:hAnsi="Times New Roman"/>
                <w:sz w:val="20"/>
                <w:szCs w:val="20"/>
                <w:color w:val="auto"/>
              </w:rPr>
              <w:t>Restructuring costs</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6,133</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5,178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955</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17,249</w:t>
            </w: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8,748</w:t>
            </w: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8,501</w:t>
            </w: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w:t>
            </w:r>
          </w:p>
        </w:tc>
        <w:tc>
          <w:tcPr>
            <w:tcW w:w="0" w:type="dxa"/>
            <w:vAlign w:val="bottom"/>
          </w:tcPr>
          <w:p>
            <w:pPr>
              <w:spacing w:after="0"/>
              <w:rPr>
                <w:sz w:val="1"/>
                <w:szCs w:val="1"/>
                <w:color w:val="auto"/>
              </w:rPr>
            </w:pPr>
          </w:p>
        </w:tc>
      </w:tr>
      <w:tr>
        <w:trPr>
          <w:trHeight w:val="265"/>
        </w:trPr>
        <w:tc>
          <w:tcPr>
            <w:tcW w:w="2900" w:type="dxa"/>
            <w:vAlign w:val="bottom"/>
          </w:tcPr>
          <w:p>
            <w:pPr>
              <w:spacing w:after="0"/>
              <w:rPr>
                <w:sz w:val="20"/>
                <w:szCs w:val="20"/>
                <w:color w:val="auto"/>
              </w:rPr>
            </w:pPr>
            <w:r>
              <w:rPr>
                <w:rFonts w:ascii="Times New Roman" w:cs="Times New Roman" w:eastAsia="Times New Roman" w:hAnsi="Times New Roman"/>
                <w:sz w:val="20"/>
                <w:szCs w:val="20"/>
                <w:color w:val="auto"/>
              </w:rPr>
              <w:t>Transaction costs (income), net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605</w:t>
            </w:r>
          </w:p>
        </w:tc>
        <w:tc>
          <w:tcPr>
            <w:tcW w:w="100" w:type="dxa"/>
            <w:vAlign w:val="bottom"/>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3,465</w:t>
            </w:r>
          </w:p>
        </w:tc>
        <w:tc>
          <w:tcPr>
            <w:tcW w:w="1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(2,860)</w:t>
            </w:r>
          </w:p>
        </w:tc>
        <w:tc>
          <w:tcPr>
            <w:tcW w:w="100" w:type="dxa"/>
            <w:vAlign w:val="bottom"/>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(83)%</w:t>
            </w:r>
          </w:p>
        </w:tc>
        <w:tc>
          <w:tcPr>
            <w:tcW w:w="1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2,563</w:t>
            </w:r>
          </w:p>
        </w:tc>
        <w:tc>
          <w:tcPr>
            <w:tcW w:w="100" w:type="dxa"/>
            <w:vAlign w:val="bottom"/>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13,061</w:t>
            </w:r>
          </w:p>
        </w:tc>
        <w:tc>
          <w:tcPr>
            <w:tcW w:w="120" w:type="dxa"/>
            <w:vAlign w:val="bottom"/>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(10,498)</w:t>
            </w:r>
          </w:p>
        </w:tc>
        <w:tc>
          <w:tcPr>
            <w:tcW w:w="100" w:type="dxa"/>
            <w:vAlign w:val="bottom"/>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w:t>
            </w:r>
          </w:p>
        </w:tc>
        <w:tc>
          <w:tcPr>
            <w:tcW w:w="0" w:type="dxa"/>
            <w:vAlign w:val="bottom"/>
          </w:tcPr>
          <w:p>
            <w:pPr>
              <w:spacing w:after="0"/>
              <w:rPr>
                <w:sz w:val="1"/>
                <w:szCs w:val="1"/>
                <w:color w:val="auto"/>
              </w:rPr>
            </w:pPr>
          </w:p>
        </w:tc>
      </w:tr>
      <w:tr>
        <w:trPr>
          <w:trHeight w:val="248"/>
        </w:trPr>
        <w:tc>
          <w:tcPr>
            <w:tcW w:w="2900" w:type="dxa"/>
            <w:vAlign w:val="bottom"/>
          </w:tcPr>
          <w:p>
            <w:pPr>
              <w:spacing w:after="0"/>
              <w:rPr>
                <w:sz w:val="20"/>
                <w:szCs w:val="20"/>
                <w:color w:val="auto"/>
              </w:rPr>
            </w:pPr>
            <w:r>
              <w:rPr>
                <w:rFonts w:ascii="Times New Roman" w:cs="Times New Roman" w:eastAsia="Times New Roman" w:hAnsi="Times New Roman"/>
                <w:sz w:val="20"/>
                <w:szCs w:val="20"/>
                <w:color w:val="auto"/>
              </w:rPr>
              <w:t>Adjusted EBITDA</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   9,040</w:t>
            </w:r>
          </w:p>
        </w:tc>
        <w:tc>
          <w:tcPr>
            <w:tcW w:w="100" w:type="dxa"/>
            <w:vAlign w:val="bottom"/>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  10,154</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(1,114)</w:t>
            </w:r>
          </w:p>
        </w:tc>
        <w:tc>
          <w:tcPr>
            <w:tcW w:w="100" w:type="dxa"/>
            <w:vAlign w:val="bottom"/>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27,391</w:t>
            </w:r>
          </w:p>
        </w:tc>
        <w:tc>
          <w:tcPr>
            <w:tcW w:w="100" w:type="dxa"/>
            <w:vAlign w:val="bottom"/>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  30,974</w:t>
            </w:r>
          </w:p>
        </w:tc>
        <w:tc>
          <w:tcPr>
            <w:tcW w:w="120" w:type="dxa"/>
            <w:vAlign w:val="bottom"/>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  (3,583)</w:t>
            </w:r>
          </w:p>
        </w:tc>
        <w:tc>
          <w:tcPr>
            <w:tcW w:w="100" w:type="dxa"/>
            <w:vAlign w:val="bottom"/>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40" w:top="1228"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 thousands of U.S. dollars)</w:t>
      </w:r>
    </w:p>
    <w:p>
      <w:pPr>
        <w:spacing w:after="0" w:line="39" w:lineRule="exact"/>
        <w:rPr>
          <w:sz w:val="20"/>
          <w:szCs w:val="20"/>
          <w:color w:val="auto"/>
        </w:rPr>
      </w:pPr>
    </w:p>
    <w:p>
      <w:pPr>
        <w:ind w:right="280"/>
        <w:spacing w:after="0" w:line="247" w:lineRule="auto"/>
        <w:rPr>
          <w:sz w:val="20"/>
          <w:szCs w:val="20"/>
          <w:color w:val="auto"/>
        </w:rPr>
      </w:pPr>
      <w:r>
        <w:rPr>
          <w:rFonts w:ascii="Times New Roman" w:cs="Times New Roman" w:eastAsia="Times New Roman" w:hAnsi="Times New Roman"/>
          <w:sz w:val="20"/>
          <w:szCs w:val="20"/>
          <w:color w:val="auto"/>
        </w:rPr>
        <w:t>Net loss attributable to stockholders of Tilray Brands, Inc.</w:t>
      </w:r>
    </w:p>
    <w:p>
      <w:pPr>
        <w:spacing w:after="0" w:line="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20"/>
          <w:szCs w:val="20"/>
          <w:color w:val="auto"/>
        </w:rPr>
        <w:t>Non-operating income (expense), net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Amortization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Stock-based compensation</w:t>
      </w:r>
    </w:p>
    <w:p>
      <w:pPr>
        <w:spacing w:after="0" w:line="24" w:lineRule="exact"/>
        <w:rPr>
          <w:sz w:val="20"/>
          <w:szCs w:val="20"/>
          <w:color w:val="auto"/>
        </w:rPr>
      </w:pPr>
    </w:p>
    <w:p>
      <w:pPr>
        <w:ind w:right="740"/>
        <w:spacing w:after="0" w:line="251" w:lineRule="auto"/>
        <w:rPr>
          <w:sz w:val="20"/>
          <w:szCs w:val="20"/>
          <w:color w:val="auto"/>
        </w:rPr>
      </w:pPr>
      <w:r>
        <w:rPr>
          <w:rFonts w:ascii="Times New Roman" w:cs="Times New Roman" w:eastAsia="Times New Roman" w:hAnsi="Times New Roman"/>
          <w:sz w:val="20"/>
          <w:szCs w:val="20"/>
          <w:color w:val="auto"/>
        </w:rPr>
        <w:t>Change in fair value of contingent consideration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Impairments</w:t>
      </w:r>
    </w:p>
    <w:p>
      <w:pPr>
        <w:spacing w:after="0" w:line="24" w:lineRule="exact"/>
        <w:rPr>
          <w:sz w:val="20"/>
          <w:szCs w:val="20"/>
          <w:color w:val="auto"/>
        </w:rPr>
      </w:pPr>
    </w:p>
    <w:p>
      <w:pPr>
        <w:ind w:right="160"/>
        <w:spacing w:after="0" w:line="243" w:lineRule="auto"/>
        <w:rPr>
          <w:sz w:val="20"/>
          <w:szCs w:val="20"/>
          <w:color w:val="auto"/>
        </w:rPr>
      </w:pPr>
      <w:r>
        <w:rPr>
          <w:rFonts w:ascii="Times New Roman" w:cs="Times New Roman" w:eastAsia="Times New Roman" w:hAnsi="Times New Roman"/>
          <w:sz w:val="20"/>
          <w:szCs w:val="20"/>
          <w:color w:val="auto"/>
        </w:rPr>
        <w:t>Other than temporary change in fair value of convertible notes receivable, attributable to stockholders of Tilray Brands, Inc.</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Project 420 business optimization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Facility start-up and closure costs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Litigation costs, net of recoveries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Restructuring costs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Transaction costs (income)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Adjusted net income (loss)</w:t>
      </w:r>
    </w:p>
    <w:p>
      <w:pPr>
        <w:spacing w:after="0" w:line="50"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20"/>
          <w:szCs w:val="20"/>
          <w:color w:val="auto"/>
        </w:rPr>
        <w:t>Adjusted net income (loss) per share - basic and diluted</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Financial Information: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Free Cash Flow</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100" w:type="dxa"/>
            <w:vAlign w:val="bottom"/>
            <w:gridSpan w:val="6"/>
          </w:tcPr>
          <w:p>
            <w:pPr>
              <w:ind w:left="80"/>
              <w:spacing w:after="0"/>
              <w:rPr>
                <w:sz w:val="20"/>
                <w:szCs w:val="20"/>
                <w:color w:val="auto"/>
              </w:rPr>
            </w:pPr>
            <w:r>
              <w:rPr>
                <w:rFonts w:ascii="Times New Roman" w:cs="Times New Roman" w:eastAsia="Times New Roman" w:hAnsi="Times New Roman"/>
                <w:sz w:val="20"/>
                <w:szCs w:val="20"/>
                <w:b w:val="1"/>
                <w:bCs w:val="1"/>
                <w:color w:val="auto"/>
              </w:rPr>
              <w:t>For the three months</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gridSpan w:val="5"/>
          </w:tcPr>
          <w:p>
            <w:pPr>
              <w:jc w:val="center"/>
              <w:ind w:right="220"/>
              <w:spacing w:after="0"/>
              <w:rPr>
                <w:sz w:val="20"/>
                <w:szCs w:val="20"/>
                <w:color w:val="auto"/>
              </w:rPr>
            </w:pPr>
            <w:r>
              <w:rPr>
                <w:rFonts w:ascii="Times New Roman" w:cs="Times New Roman" w:eastAsia="Times New Roman" w:hAnsi="Times New Roman"/>
                <w:sz w:val="20"/>
                <w:szCs w:val="20"/>
                <w:b w:val="1"/>
                <w:bCs w:val="1"/>
                <w:color w:val="auto"/>
              </w:rPr>
              <w:t>For the nine</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54"/>
        </w:trPr>
        <w:tc>
          <w:tcPr>
            <w:tcW w:w="100" w:type="dxa"/>
            <w:vAlign w:val="bottom"/>
          </w:tcPr>
          <w:p>
            <w:pPr>
              <w:spacing w:after="0"/>
              <w:rPr>
                <w:sz w:val="22"/>
                <w:szCs w:val="22"/>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ended</w:t>
            </w: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0" w:type="dxa"/>
            <w:vAlign w:val="bottom"/>
            <w:gridSpan w:val="5"/>
          </w:tcPr>
          <w:p>
            <w:pPr>
              <w:jc w:val="center"/>
              <w:ind w:right="220"/>
              <w:spacing w:after="0"/>
              <w:rPr>
                <w:sz w:val="20"/>
                <w:szCs w:val="20"/>
                <w:color w:val="auto"/>
              </w:rPr>
            </w:pPr>
            <w:r>
              <w:rPr>
                <w:rFonts w:ascii="Times New Roman" w:cs="Times New Roman" w:eastAsia="Times New Roman" w:hAnsi="Times New Roman"/>
                <w:sz w:val="20"/>
                <w:szCs w:val="20"/>
                <w:b w:val="1"/>
                <w:bCs w:val="1"/>
                <w:color w:val="auto"/>
              </w:rPr>
              <w:t>months ended</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321"/>
        </w:trPr>
        <w:tc>
          <w:tcPr>
            <w:tcW w:w="1040" w:type="dxa"/>
            <w:vAlign w:val="bottom"/>
            <w:gridSpan w:val="3"/>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February</w:t>
            </w:r>
          </w:p>
        </w:tc>
        <w:tc>
          <w:tcPr>
            <w:tcW w:w="1060" w:type="dxa"/>
            <w:vAlign w:val="bottom"/>
            <w:gridSpan w:val="3"/>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February</w:t>
            </w:r>
          </w:p>
        </w:tc>
        <w:tc>
          <w:tcPr>
            <w:tcW w:w="120" w:type="dxa"/>
            <w:vAlign w:val="bottom"/>
          </w:tcPr>
          <w:p>
            <w:pPr>
              <w:spacing w:after="0"/>
              <w:rPr>
                <w:sz w:val="24"/>
                <w:szCs w:val="24"/>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Change</w:t>
            </w: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February</w:t>
            </w:r>
          </w:p>
        </w:tc>
        <w:tc>
          <w:tcPr>
            <w:tcW w:w="1060" w:type="dxa"/>
            <w:vAlign w:val="bottom"/>
            <w:gridSpan w:val="3"/>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February</w:t>
            </w:r>
          </w:p>
        </w:tc>
        <w:tc>
          <w:tcPr>
            <w:tcW w:w="12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Change</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 Change</w:t>
            </w:r>
          </w:p>
        </w:tc>
      </w:tr>
      <w:tr>
        <w:trPr>
          <w:trHeight w:val="161"/>
        </w:trPr>
        <w:tc>
          <w:tcPr>
            <w:tcW w:w="100" w:type="dxa"/>
            <w:vAlign w:val="bottom"/>
          </w:tcPr>
          <w:p>
            <w:pPr>
              <w:spacing w:after="0"/>
              <w:rPr>
                <w:sz w:val="14"/>
                <w:szCs w:val="14"/>
                <w:color w:val="auto"/>
              </w:rPr>
            </w:pPr>
          </w:p>
        </w:tc>
        <w:tc>
          <w:tcPr>
            <w:tcW w:w="840" w:type="dxa"/>
            <w:vAlign w:val="bottom"/>
          </w:tcPr>
          <w:p>
            <w:pPr>
              <w:jc w:val="center"/>
              <w:spacing w:after="0" w:line="162" w:lineRule="exact"/>
              <w:rPr>
                <w:sz w:val="20"/>
                <w:szCs w:val="20"/>
                <w:color w:val="auto"/>
              </w:rPr>
            </w:pPr>
            <w:r>
              <w:rPr>
                <w:rFonts w:ascii="Times New Roman" w:cs="Times New Roman" w:eastAsia="Times New Roman" w:hAnsi="Times New Roman"/>
                <w:sz w:val="18"/>
                <w:szCs w:val="18"/>
                <w:b w:val="1"/>
                <w:bCs w:val="1"/>
                <w:color w:val="auto"/>
              </w:rPr>
              <w:t>28,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center"/>
              <w:ind w:right="119"/>
              <w:spacing w:after="0" w:line="162" w:lineRule="exact"/>
              <w:rPr>
                <w:sz w:val="20"/>
                <w:szCs w:val="20"/>
                <w:color w:val="auto"/>
              </w:rPr>
            </w:pPr>
            <w:r>
              <w:rPr>
                <w:rFonts w:ascii="Times New Roman" w:cs="Times New Roman" w:eastAsia="Times New Roman" w:hAnsi="Times New Roman"/>
                <w:sz w:val="18"/>
                <w:szCs w:val="18"/>
                <w:b w:val="1"/>
                <w:bCs w:val="1"/>
                <w:color w:val="auto"/>
              </w:rPr>
              <w:t>29,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8"/>
                <w:szCs w:val="18"/>
                <w:b w:val="1"/>
                <w:bCs w:val="1"/>
                <w:color w:val="auto"/>
              </w:rPr>
              <w:t>28,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8"/>
                <w:szCs w:val="18"/>
                <w:b w:val="1"/>
                <w:bCs w:val="1"/>
                <w:color w:val="auto"/>
              </w:rPr>
              <w:t>29,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70"/>
        </w:trPr>
        <w:tc>
          <w:tcPr>
            <w:tcW w:w="100" w:type="dxa"/>
            <w:vAlign w:val="bottom"/>
          </w:tcPr>
          <w:p>
            <w:pPr>
              <w:spacing w:after="0"/>
              <w:rPr>
                <w:sz w:val="23"/>
                <w:szCs w:val="2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2025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2024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0" w:type="dxa"/>
            <w:vAlign w:val="bottom"/>
            <w:gridSpan w:val="4"/>
          </w:tcPr>
          <w:p>
            <w:pPr>
              <w:ind w:left="560"/>
              <w:spacing w:after="0"/>
              <w:rPr>
                <w:sz w:val="20"/>
                <w:szCs w:val="20"/>
                <w:color w:val="auto"/>
              </w:rPr>
            </w:pPr>
            <w:r>
              <w:rPr>
                <w:rFonts w:ascii="Times New Roman" w:cs="Times New Roman" w:eastAsia="Times New Roman" w:hAnsi="Times New Roman"/>
                <w:sz w:val="20"/>
                <w:szCs w:val="20"/>
                <w:b w:val="1"/>
                <w:bCs w:val="1"/>
                <w:color w:val="auto"/>
              </w:rPr>
              <w:t>Change</w:t>
            </w:r>
          </w:p>
        </w:tc>
        <w:tc>
          <w:tcPr>
            <w:tcW w:w="120" w:type="dxa"/>
            <w:vAlign w:val="bottom"/>
          </w:tcPr>
          <w:p>
            <w:pPr>
              <w:spacing w:after="0"/>
              <w:rPr>
                <w:sz w:val="23"/>
                <w:szCs w:val="23"/>
                <w:color w:val="auto"/>
              </w:rPr>
            </w:pPr>
          </w:p>
        </w:tc>
        <w:tc>
          <w:tcPr>
            <w:tcW w:w="840" w:type="dxa"/>
            <w:vAlign w:val="bottom"/>
          </w:tcPr>
          <w:p>
            <w:pPr>
              <w:jc w:val="center"/>
              <w:ind w:right="19"/>
              <w:spacing w:after="0"/>
              <w:rPr>
                <w:sz w:val="20"/>
                <w:szCs w:val="20"/>
                <w:color w:val="auto"/>
              </w:rPr>
            </w:pPr>
            <w:r>
              <w:rPr>
                <w:rFonts w:ascii="Times New Roman" w:cs="Times New Roman" w:eastAsia="Times New Roman" w:hAnsi="Times New Roman"/>
                <w:sz w:val="20"/>
                <w:szCs w:val="20"/>
                <w:b w:val="1"/>
                <w:bCs w:val="1"/>
                <w:color w:val="auto"/>
                <w:w w:val="99"/>
              </w:rPr>
              <w:t>2025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2024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60" w:type="dxa"/>
            <w:vAlign w:val="bottom"/>
            <w:gridSpan w:val="3"/>
          </w:tcPr>
          <w:p>
            <w:pPr>
              <w:jc w:val="right"/>
              <w:ind w:right="558"/>
              <w:spacing w:after="0"/>
              <w:rPr>
                <w:sz w:val="20"/>
                <w:szCs w:val="20"/>
                <w:color w:val="auto"/>
              </w:rPr>
            </w:pPr>
            <w:r>
              <w:rPr>
                <w:rFonts w:ascii="Times New Roman" w:cs="Times New Roman" w:eastAsia="Times New Roman" w:hAnsi="Times New Roman"/>
                <w:sz w:val="20"/>
                <w:szCs w:val="20"/>
                <w:b w:val="1"/>
                <w:bCs w:val="1"/>
                <w:color w:val="auto"/>
              </w:rPr>
              <w:t>Change</w:t>
            </w:r>
          </w:p>
        </w:tc>
      </w:tr>
      <w:tr>
        <w:trPr>
          <w:trHeight w:val="462"/>
        </w:trPr>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(789,436)</w:t>
            </w:r>
          </w:p>
        </w:tc>
        <w:tc>
          <w:tcPr>
            <w:tcW w:w="100" w:type="dxa"/>
            <w:vAlign w:val="bottom"/>
          </w:tcPr>
          <w:p>
            <w:pPr>
              <w:spacing w:after="0"/>
              <w:rPr>
                <w:sz w:val="24"/>
                <w:szCs w:val="24"/>
                <w:color w:val="auto"/>
              </w:rPr>
            </w:pP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(92,701)</w:t>
            </w:r>
          </w:p>
        </w:tc>
        <w:tc>
          <w:tcPr>
            <w:tcW w:w="10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(696,735)</w:t>
            </w:r>
          </w:p>
        </w:tc>
        <w:tc>
          <w:tcPr>
            <w:tcW w:w="1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752%</w:t>
            </w:r>
          </w:p>
        </w:tc>
        <w:tc>
          <w:tcPr>
            <w:tcW w:w="10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(913,943)</w:t>
            </w:r>
          </w:p>
        </w:tc>
        <w:tc>
          <w:tcPr>
            <w:tcW w:w="10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(213,234)</w:t>
            </w:r>
          </w:p>
        </w:tc>
        <w:tc>
          <w:tcPr>
            <w:tcW w:w="12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(700,709)</w:t>
            </w:r>
          </w:p>
        </w:tc>
        <w:tc>
          <w:tcPr>
            <w:tcW w:w="1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329%</w:t>
            </w:r>
          </w:p>
        </w:tc>
      </w:tr>
      <w:tr>
        <w:trPr>
          <w:trHeight w:val="597"/>
        </w:trPr>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24,022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17,239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6,783</w:t>
            </w: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44,631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20,820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23,811</w:t>
            </w: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w:t>
            </w:r>
          </w:p>
        </w:tc>
      </w:tr>
      <w:tr>
        <w:trPr>
          <w:trHeight w:val="357"/>
        </w:trPr>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33,546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32,842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704</w:t>
            </w: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99,410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95,183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4,227</w:t>
            </w: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r>
      <w:tr>
        <w:trPr>
          <w:trHeight w:val="265"/>
        </w:trPr>
        <w:tc>
          <w:tcPr>
            <w:tcW w:w="1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4,035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8,059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(4,024)</w:t>
            </w: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18,189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24,517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(6,328)</w:t>
            </w:r>
          </w:p>
        </w:tc>
        <w:tc>
          <w:tcPr>
            <w:tcW w:w="1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r>
      <w:tr>
        <w:trPr>
          <w:trHeight w:val="368"/>
        </w:trPr>
        <w:tc>
          <w:tcPr>
            <w:tcW w:w="10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(5,983)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5,983</w:t>
            </w: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(16,790)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16,790</w:t>
            </w: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r>
      <w:tr>
        <w:trPr>
          <w:trHeight w:val="368"/>
        </w:trPr>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699,235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699,235</w:t>
            </w:r>
          </w:p>
        </w:tc>
        <w:tc>
          <w:tcPr>
            <w:tcW w:w="100" w:type="dxa"/>
            <w:vAlign w:val="bottom"/>
          </w:tcPr>
          <w:p>
            <w:pPr>
              <w:spacing w:after="0"/>
              <w:rPr>
                <w:sz w:val="24"/>
                <w:szCs w:val="24"/>
                <w:color w:val="auto"/>
              </w:rPr>
            </w:pPr>
          </w:p>
        </w:tc>
        <w:tc>
          <w:tcPr>
            <w:tcW w:w="106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NM</w:t>
            </w: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699,235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699,235</w:t>
            </w:r>
          </w:p>
        </w:tc>
        <w:tc>
          <w:tcPr>
            <w:tcW w:w="100" w:type="dxa"/>
            <w:vAlign w:val="bottom"/>
          </w:tcPr>
          <w:p>
            <w:pPr>
              <w:spacing w:after="0"/>
              <w:rPr>
                <w:sz w:val="24"/>
                <w:szCs w:val="24"/>
                <w:color w:val="auto"/>
              </w:rPr>
            </w:pPr>
          </w:p>
        </w:tc>
        <w:tc>
          <w:tcPr>
            <w:tcW w:w="940" w:type="dxa"/>
            <w:vAlign w:val="bottom"/>
          </w:tcPr>
          <w:p>
            <w:pPr>
              <w:jc w:val="right"/>
              <w:ind w:right="178"/>
              <w:spacing w:after="0"/>
              <w:rPr>
                <w:sz w:val="20"/>
                <w:szCs w:val="20"/>
                <w:color w:val="auto"/>
              </w:rPr>
            </w:pPr>
            <w:r>
              <w:rPr>
                <w:rFonts w:ascii="Times New Roman" w:cs="Times New Roman" w:eastAsia="Times New Roman" w:hAnsi="Times New Roman"/>
                <w:sz w:val="20"/>
                <w:szCs w:val="20"/>
                <w:color w:val="auto"/>
              </w:rPr>
              <w:t>NM</w:t>
            </w:r>
          </w:p>
        </w:tc>
      </w:tr>
      <w:tr>
        <w:trPr>
          <w:trHeight w:val="712"/>
        </w:trPr>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13,600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29,023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(15,423)</w:t>
            </w: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13,600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29,023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(15,423)</w:t>
            </w: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r>
      <w:tr>
        <w:trPr>
          <w:trHeight w:val="701"/>
        </w:trPr>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2,600</w:t>
            </w:r>
          </w:p>
        </w:tc>
        <w:tc>
          <w:tcPr>
            <w:tcW w:w="100" w:type="dxa"/>
            <w:vAlign w:val="bottom"/>
          </w:tcPr>
          <w:p>
            <w:pPr>
              <w:spacing w:after="0"/>
              <w:rPr>
                <w:sz w:val="24"/>
                <w:szCs w:val="24"/>
                <w:color w:val="auto"/>
              </w:rPr>
            </w:pPr>
          </w:p>
        </w:tc>
        <w:tc>
          <w:tcPr>
            <w:tcW w:w="106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NM</w:t>
            </w: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2,600</w:t>
            </w:r>
          </w:p>
        </w:tc>
        <w:tc>
          <w:tcPr>
            <w:tcW w:w="100" w:type="dxa"/>
            <w:vAlign w:val="bottom"/>
          </w:tcPr>
          <w:p>
            <w:pPr>
              <w:spacing w:after="0"/>
              <w:rPr>
                <w:sz w:val="24"/>
                <w:szCs w:val="24"/>
                <w:color w:val="auto"/>
              </w:rPr>
            </w:pPr>
          </w:p>
        </w:tc>
        <w:tc>
          <w:tcPr>
            <w:tcW w:w="940" w:type="dxa"/>
            <w:vAlign w:val="bottom"/>
          </w:tcPr>
          <w:p>
            <w:pPr>
              <w:jc w:val="right"/>
              <w:ind w:right="178"/>
              <w:spacing w:after="0"/>
              <w:rPr>
                <w:sz w:val="20"/>
                <w:szCs w:val="20"/>
                <w:color w:val="auto"/>
              </w:rPr>
            </w:pPr>
            <w:r>
              <w:rPr>
                <w:rFonts w:ascii="Times New Roman" w:cs="Times New Roman" w:eastAsia="Times New Roman" w:hAnsi="Times New Roman"/>
                <w:sz w:val="20"/>
                <w:szCs w:val="20"/>
                <w:color w:val="auto"/>
              </w:rPr>
              <w:t>NM</w:t>
            </w:r>
          </w:p>
        </w:tc>
      </w:tr>
      <w:tr>
        <w:trPr>
          <w:trHeight w:val="254"/>
        </w:trPr>
        <w:tc>
          <w:tcPr>
            <w:tcW w:w="10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(400)</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(1,300)</w:t>
            </w: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r>
      <w:tr>
        <w:trPr>
          <w:trHeight w:val="254"/>
        </w:trPr>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2,758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3,363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(605)</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5,254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8,439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(3,185)</w:t>
            </w: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r>
      <w:tr>
        <w:trPr>
          <w:trHeight w:val="254"/>
        </w:trPr>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6,133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5,178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955</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17,249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8,748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8,501</w:t>
            </w: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w:t>
            </w:r>
          </w:p>
        </w:tc>
      </w:tr>
      <w:tr>
        <w:trPr>
          <w:trHeight w:val="266"/>
        </w:trPr>
        <w:tc>
          <w:tcPr>
            <w:tcW w:w="1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605</w:t>
            </w: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3,465</w:t>
            </w: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(2,860)</w:t>
            </w:r>
          </w:p>
        </w:tc>
        <w:tc>
          <w:tcPr>
            <w:tcW w:w="100" w:type="dxa"/>
            <w:vAlign w:val="bottom"/>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(83)%</w:t>
            </w: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2,563</w:t>
            </w: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13,061</w:t>
            </w:r>
          </w:p>
        </w:tc>
        <w:tc>
          <w:tcPr>
            <w:tcW w:w="1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(10,498)</w:t>
            </w:r>
          </w:p>
        </w:tc>
        <w:tc>
          <w:tcPr>
            <w:tcW w:w="100" w:type="dxa"/>
            <w:vAlign w:val="bottom"/>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w:t>
            </w:r>
          </w:p>
        </w:tc>
      </w:tr>
      <w:tr>
        <w:trPr>
          <w:trHeight w:val="248"/>
        </w:trPr>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(2,902)</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885</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(3,787)</w:t>
            </w:r>
          </w:p>
        </w:tc>
        <w:tc>
          <w:tcPr>
            <w:tcW w:w="100" w:type="dxa"/>
            <w:vAlign w:val="bottom"/>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(428)%</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(11,212)</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(28,933)</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17,721</w:t>
            </w:r>
          </w:p>
        </w:tc>
        <w:tc>
          <w:tcPr>
            <w:tcW w:w="100" w:type="dxa"/>
            <w:vAlign w:val="bottom"/>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332"/>
        </w:trPr>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auto"/>
              </w:rPr>
              <w:t>NM</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(0.01)</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(0.04)</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0.03</w:t>
            </w: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w:t>
            </w:r>
          </w:p>
        </w:tc>
      </w:tr>
      <w:tr>
        <w:trPr>
          <w:trHeight w:val="90"/>
        </w:trPr>
        <w:tc>
          <w:tcPr>
            <w:tcW w:w="10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80"/>
        <w:spacing w:after="0"/>
        <w:tabs>
          <w:tab w:leader="none" w:pos="4680" w:val="left"/>
        </w:tabs>
        <w:rPr>
          <w:sz w:val="20"/>
          <w:szCs w:val="20"/>
          <w:color w:val="auto"/>
        </w:rPr>
      </w:pPr>
      <w:r>
        <w:rPr>
          <w:rFonts w:ascii="Times New Roman" w:cs="Times New Roman" w:eastAsia="Times New Roman" w:hAnsi="Times New Roman"/>
          <w:sz w:val="20"/>
          <w:szCs w:val="20"/>
          <w:b w:val="1"/>
          <w:bCs w:val="1"/>
          <w:color w:val="auto"/>
        </w:rPr>
        <w:t>For the three months</w:t>
      </w:r>
      <w:r>
        <w:rPr>
          <w:sz w:val="20"/>
          <w:szCs w:val="20"/>
          <w:color w:val="auto"/>
        </w:rPr>
        <w:tab/>
      </w:r>
      <w:r>
        <w:rPr>
          <w:rFonts w:ascii="Times New Roman" w:cs="Times New Roman" w:eastAsia="Times New Roman" w:hAnsi="Times New Roman"/>
          <w:sz w:val="20"/>
          <w:szCs w:val="20"/>
          <w:b w:val="1"/>
          <w:bCs w:val="1"/>
          <w:color w:val="auto"/>
        </w:rPr>
        <w:t>For the nine</w:t>
      </w:r>
    </w:p>
    <w:p>
      <w:pPr>
        <w:sectPr>
          <w:pgSz w:w="11900" w:h="16838" w:orient="portrait"/>
          <w:cols w:equalWidth="0" w:num="2">
            <w:col w:w="2740" w:space="160"/>
            <w:col w:w="8320"/>
          </w:cols>
          <w:pgMar w:left="340" w:top="1228" w:right="339" w:bottom="0" w:gutter="0" w:footer="0" w:header="0"/>
          <w:type w:val="continuous"/>
        </w:sectPr>
      </w:pPr>
    </w:p>
    <w:bookmarkStart w:id="13" w:name="page14"/>
    <w:bookmarkEnd w:id="13"/>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 thousands of U.S. dollars)</w:t>
      </w:r>
    </w:p>
    <w:p>
      <w:pPr>
        <w:spacing w:after="0" w:line="39" w:lineRule="exact"/>
        <w:rPr>
          <w:sz w:val="20"/>
          <w:szCs w:val="20"/>
          <w:color w:val="auto"/>
        </w:rPr>
      </w:pPr>
    </w:p>
    <w:p>
      <w:pPr>
        <w:ind w:right="580"/>
        <w:spacing w:after="0" w:line="251" w:lineRule="auto"/>
        <w:rPr>
          <w:sz w:val="20"/>
          <w:szCs w:val="20"/>
          <w:color w:val="auto"/>
        </w:rPr>
      </w:pPr>
      <w:r>
        <w:rPr>
          <w:rFonts w:ascii="Times New Roman" w:cs="Times New Roman" w:eastAsia="Times New Roman" w:hAnsi="Times New Roman"/>
          <w:sz w:val="20"/>
          <w:szCs w:val="20"/>
          <w:color w:val="auto"/>
        </w:rPr>
        <w:t>Net cash used in operating activities</w:t>
      </w:r>
    </w:p>
    <w:p>
      <w:pPr>
        <w:spacing w:after="0" w:line="2"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20"/>
          <w:szCs w:val="20"/>
          <w:color w:val="auto"/>
        </w:rPr>
        <w:t>Less: investments in capital and intangible assets, net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Free cash flow</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Add: growth CAPEX</w:t>
      </w:r>
    </w:p>
    <w:p>
      <w:pPr>
        <w:spacing w:after="0" w:line="3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20"/>
          <w:szCs w:val="20"/>
          <w:color w:val="auto"/>
        </w:rPr>
        <w:t>Add: cash income taxes related to Aphria Diamond</w:t>
      </w:r>
    </w:p>
    <w:p>
      <w:pPr>
        <w:spacing w:after="0" w:line="1"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20"/>
          <w:szCs w:val="20"/>
          <w:color w:val="auto"/>
        </w:rPr>
        <w:t>Add: integration costs related to HEXO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Adjusted free cash flow</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5"/>
        </w:trPr>
        <w:tc>
          <w:tcPr>
            <w:tcW w:w="160" w:type="dxa"/>
            <w:vAlign w:val="bottom"/>
          </w:tcPr>
          <w:p>
            <w:pPr>
              <w:spacing w:after="0"/>
              <w:rPr>
                <w:sz w:val="22"/>
                <w:szCs w:val="22"/>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ended</w:t>
            </w: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0" w:type="dxa"/>
            <w:vAlign w:val="bottom"/>
            <w:gridSpan w:val="5"/>
          </w:tcPr>
          <w:p>
            <w:pPr>
              <w:ind w:left="280"/>
              <w:spacing w:after="0"/>
              <w:rPr>
                <w:sz w:val="20"/>
                <w:szCs w:val="20"/>
                <w:color w:val="auto"/>
              </w:rPr>
            </w:pPr>
            <w:r>
              <w:rPr>
                <w:rFonts w:ascii="Times New Roman" w:cs="Times New Roman" w:eastAsia="Times New Roman" w:hAnsi="Times New Roman"/>
                <w:sz w:val="20"/>
                <w:szCs w:val="20"/>
                <w:b w:val="1"/>
                <w:bCs w:val="1"/>
                <w:color w:val="auto"/>
              </w:rPr>
              <w:t>months ended</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321"/>
        </w:trPr>
        <w:tc>
          <w:tcPr>
            <w:tcW w:w="1040" w:type="dxa"/>
            <w:vAlign w:val="bottom"/>
            <w:gridSpan w:val="3"/>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February</w:t>
            </w:r>
          </w:p>
        </w:tc>
        <w:tc>
          <w:tcPr>
            <w:tcW w:w="1060" w:type="dxa"/>
            <w:vAlign w:val="bottom"/>
            <w:gridSpan w:val="3"/>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February</w:t>
            </w:r>
          </w:p>
        </w:tc>
        <w:tc>
          <w:tcPr>
            <w:tcW w:w="120" w:type="dxa"/>
            <w:vAlign w:val="bottom"/>
          </w:tcPr>
          <w:p>
            <w:pPr>
              <w:spacing w:after="0"/>
              <w:rPr>
                <w:sz w:val="24"/>
                <w:szCs w:val="24"/>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Change</w:t>
            </w: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February</w:t>
            </w:r>
          </w:p>
        </w:tc>
        <w:tc>
          <w:tcPr>
            <w:tcW w:w="1060" w:type="dxa"/>
            <w:vAlign w:val="bottom"/>
            <w:gridSpan w:val="3"/>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February</w:t>
            </w:r>
          </w:p>
        </w:tc>
        <w:tc>
          <w:tcPr>
            <w:tcW w:w="12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Change</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 Change</w:t>
            </w:r>
          </w:p>
        </w:tc>
      </w:tr>
      <w:tr>
        <w:trPr>
          <w:trHeight w:val="161"/>
        </w:trPr>
        <w:tc>
          <w:tcPr>
            <w:tcW w:w="160" w:type="dxa"/>
            <w:vAlign w:val="bottom"/>
          </w:tcPr>
          <w:p>
            <w:pPr>
              <w:spacing w:after="0"/>
              <w:rPr>
                <w:sz w:val="14"/>
                <w:szCs w:val="14"/>
                <w:color w:val="auto"/>
              </w:rPr>
            </w:pPr>
          </w:p>
        </w:tc>
        <w:tc>
          <w:tcPr>
            <w:tcW w:w="78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8"/>
                <w:szCs w:val="18"/>
                <w:b w:val="1"/>
                <w:bCs w:val="1"/>
                <w:color w:val="auto"/>
              </w:rPr>
              <w:t>28,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center"/>
              <w:ind w:right="119"/>
              <w:spacing w:after="0" w:line="162" w:lineRule="exact"/>
              <w:rPr>
                <w:sz w:val="20"/>
                <w:szCs w:val="20"/>
                <w:color w:val="auto"/>
              </w:rPr>
            </w:pPr>
            <w:r>
              <w:rPr>
                <w:rFonts w:ascii="Times New Roman" w:cs="Times New Roman" w:eastAsia="Times New Roman" w:hAnsi="Times New Roman"/>
                <w:sz w:val="18"/>
                <w:szCs w:val="18"/>
                <w:b w:val="1"/>
                <w:bCs w:val="1"/>
                <w:color w:val="auto"/>
              </w:rPr>
              <w:t>29,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8"/>
                <w:szCs w:val="18"/>
                <w:b w:val="1"/>
                <w:bCs w:val="1"/>
                <w:color w:val="auto"/>
              </w:rPr>
              <w:t>28,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8"/>
                <w:szCs w:val="18"/>
                <w:b w:val="1"/>
                <w:bCs w:val="1"/>
                <w:color w:val="auto"/>
              </w:rPr>
              <w:t>29,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70"/>
        </w:trPr>
        <w:tc>
          <w:tcPr>
            <w:tcW w:w="160" w:type="dxa"/>
            <w:vAlign w:val="bottom"/>
          </w:tcPr>
          <w:p>
            <w:pPr>
              <w:spacing w:after="0"/>
              <w:rPr>
                <w:sz w:val="23"/>
                <w:szCs w:val="23"/>
                <w:color w:val="auto"/>
              </w:rPr>
            </w:pPr>
          </w:p>
        </w:tc>
        <w:tc>
          <w:tcPr>
            <w:tcW w:w="780" w:type="dxa"/>
            <w:vAlign w:val="bottom"/>
          </w:tcPr>
          <w:p>
            <w:pPr>
              <w:jc w:val="center"/>
              <w:ind w:right="39"/>
              <w:spacing w:after="0"/>
              <w:rPr>
                <w:sz w:val="20"/>
                <w:szCs w:val="20"/>
                <w:color w:val="auto"/>
              </w:rPr>
            </w:pPr>
            <w:r>
              <w:rPr>
                <w:rFonts w:ascii="Times New Roman" w:cs="Times New Roman" w:eastAsia="Times New Roman" w:hAnsi="Times New Roman"/>
                <w:sz w:val="20"/>
                <w:szCs w:val="20"/>
                <w:b w:val="1"/>
                <w:bCs w:val="1"/>
                <w:color w:val="auto"/>
                <w:w w:val="99"/>
              </w:rPr>
              <w:t>2025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2024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0" w:type="dxa"/>
            <w:vAlign w:val="bottom"/>
            <w:gridSpan w:val="4"/>
          </w:tcPr>
          <w:p>
            <w:pPr>
              <w:ind w:left="320"/>
              <w:spacing w:after="0"/>
              <w:rPr>
                <w:sz w:val="20"/>
                <w:szCs w:val="20"/>
                <w:color w:val="auto"/>
              </w:rPr>
            </w:pPr>
            <w:r>
              <w:rPr>
                <w:rFonts w:ascii="Times New Roman" w:cs="Times New Roman" w:eastAsia="Times New Roman" w:hAnsi="Times New Roman"/>
                <w:sz w:val="20"/>
                <w:szCs w:val="20"/>
                <w:b w:val="1"/>
                <w:bCs w:val="1"/>
                <w:color w:val="auto"/>
              </w:rPr>
              <w:t>2025 vs. 2024</w:t>
            </w:r>
          </w:p>
        </w:tc>
        <w:tc>
          <w:tcPr>
            <w:tcW w:w="120" w:type="dxa"/>
            <w:vAlign w:val="bottom"/>
          </w:tcPr>
          <w:p>
            <w:pPr>
              <w:spacing w:after="0"/>
              <w:rPr>
                <w:sz w:val="23"/>
                <w:szCs w:val="23"/>
                <w:color w:val="auto"/>
              </w:rPr>
            </w:pPr>
          </w:p>
        </w:tc>
        <w:tc>
          <w:tcPr>
            <w:tcW w:w="840" w:type="dxa"/>
            <w:vAlign w:val="bottom"/>
          </w:tcPr>
          <w:p>
            <w:pPr>
              <w:jc w:val="center"/>
              <w:ind w:right="19"/>
              <w:spacing w:after="0"/>
              <w:rPr>
                <w:sz w:val="20"/>
                <w:szCs w:val="20"/>
                <w:color w:val="auto"/>
              </w:rPr>
            </w:pPr>
            <w:r>
              <w:rPr>
                <w:rFonts w:ascii="Times New Roman" w:cs="Times New Roman" w:eastAsia="Times New Roman" w:hAnsi="Times New Roman"/>
                <w:sz w:val="20"/>
                <w:szCs w:val="20"/>
                <w:b w:val="1"/>
                <w:bCs w:val="1"/>
                <w:color w:val="auto"/>
                <w:w w:val="99"/>
              </w:rPr>
              <w:t>2025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center"/>
              <w:ind w:right="39"/>
              <w:spacing w:after="0"/>
              <w:rPr>
                <w:sz w:val="20"/>
                <w:szCs w:val="20"/>
                <w:color w:val="auto"/>
              </w:rPr>
            </w:pPr>
            <w:r>
              <w:rPr>
                <w:rFonts w:ascii="Times New Roman" w:cs="Times New Roman" w:eastAsia="Times New Roman" w:hAnsi="Times New Roman"/>
                <w:sz w:val="20"/>
                <w:szCs w:val="20"/>
                <w:b w:val="1"/>
                <w:bCs w:val="1"/>
                <w:color w:val="auto"/>
                <w:w w:val="99"/>
              </w:rPr>
              <w:t>2024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60" w:type="dxa"/>
            <w:vAlign w:val="bottom"/>
            <w:gridSpan w:val="3"/>
          </w:tcPr>
          <w:p>
            <w:pPr>
              <w:jc w:val="right"/>
              <w:ind w:right="318"/>
              <w:spacing w:after="0"/>
              <w:rPr>
                <w:sz w:val="20"/>
                <w:szCs w:val="20"/>
                <w:color w:val="auto"/>
              </w:rPr>
            </w:pPr>
            <w:r>
              <w:rPr>
                <w:rFonts w:ascii="Times New Roman" w:cs="Times New Roman" w:eastAsia="Times New Roman" w:hAnsi="Times New Roman"/>
                <w:sz w:val="20"/>
                <w:szCs w:val="20"/>
                <w:b w:val="1"/>
                <w:bCs w:val="1"/>
                <w:color w:val="auto"/>
              </w:rPr>
              <w:t>2025 vs. 2024</w:t>
            </w:r>
          </w:p>
        </w:tc>
      </w:tr>
      <w:tr>
        <w:trPr>
          <w:trHeight w:val="348"/>
        </w:trPr>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(5,761)</w:t>
            </w:r>
          </w:p>
        </w:tc>
        <w:tc>
          <w:tcPr>
            <w:tcW w:w="100" w:type="dxa"/>
            <w:vAlign w:val="bottom"/>
          </w:tcPr>
          <w:p>
            <w:pPr>
              <w:spacing w:after="0"/>
              <w:rPr>
                <w:sz w:val="24"/>
                <w:szCs w:val="24"/>
                <w:color w:val="auto"/>
              </w:rPr>
            </w:pP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(15,361)</w:t>
            </w:r>
          </w:p>
        </w:tc>
        <w:tc>
          <w:tcPr>
            <w:tcW w:w="10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9,600</w:t>
            </w:r>
          </w:p>
        </w:tc>
        <w:tc>
          <w:tcPr>
            <w:tcW w:w="1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w:t>
            </w:r>
          </w:p>
        </w:tc>
        <w:tc>
          <w:tcPr>
            <w:tcW w:w="10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(81,792)</w:t>
            </w:r>
          </w:p>
        </w:tc>
        <w:tc>
          <w:tcPr>
            <w:tcW w:w="10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(61,612)</w:t>
            </w:r>
          </w:p>
        </w:tc>
        <w:tc>
          <w:tcPr>
            <w:tcW w:w="12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(20,180)</w:t>
            </w:r>
          </w:p>
        </w:tc>
        <w:tc>
          <w:tcPr>
            <w:tcW w:w="1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w:t>
            </w:r>
          </w:p>
        </w:tc>
      </w:tr>
      <w:tr>
        <w:trPr>
          <w:trHeight w:val="483"/>
        </w:trPr>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(14,212)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(8,727)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(5,485)</w:t>
            </w: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(25,753)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(18,373)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(7,380)</w:t>
            </w: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w:t>
            </w:r>
          </w:p>
        </w:tc>
      </w:tr>
      <w:tr>
        <w:trPr>
          <w:trHeight w:val="116"/>
        </w:trPr>
        <w:tc>
          <w:tcPr>
            <w:tcW w:w="1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r>
      <w:tr>
        <w:trPr>
          <w:trHeight w:val="247"/>
        </w:trPr>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(19,973)</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(24,088)</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4,115</w:t>
            </w:r>
          </w:p>
        </w:tc>
        <w:tc>
          <w:tcPr>
            <w:tcW w:w="100" w:type="dxa"/>
            <w:vAlign w:val="bottom"/>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u w:val="single" w:color="auto"/>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(107,545)</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(79,985)</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(27,560)</w:t>
            </w:r>
          </w:p>
        </w:tc>
        <w:tc>
          <w:tcPr>
            <w:tcW w:w="100" w:type="dxa"/>
            <w:vAlign w:val="bottom"/>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56"/>
        </w:trPr>
        <w:tc>
          <w:tcPr>
            <w:tcW w:w="1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8,802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(6,994)</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6,318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13,647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(7,329)</w:t>
            </w: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r>
      <w:tr>
        <w:trPr>
          <w:trHeight w:val="356"/>
        </w:trPr>
        <w:tc>
          <w:tcPr>
            <w:tcW w:w="16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(2,117)</w:t>
            </w: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16,333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(16,333)</w:t>
            </w: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r>
      <w:tr>
        <w:trPr>
          <w:trHeight w:val="483"/>
        </w:trPr>
        <w:tc>
          <w:tcPr>
            <w:tcW w:w="16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13,810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(13,810)</w:t>
            </w: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25,955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(25,955)</w:t>
            </w: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r>
      <w:tr>
        <w:trPr>
          <w:trHeight w:val="116"/>
        </w:trPr>
        <w:tc>
          <w:tcPr>
            <w:tcW w:w="1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r>
      <w:tr>
        <w:trPr>
          <w:trHeight w:val="247"/>
        </w:trPr>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(18,165)</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641</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(18,806)</w:t>
            </w:r>
          </w:p>
        </w:tc>
        <w:tc>
          <w:tcPr>
            <w:tcW w:w="100" w:type="dxa"/>
            <w:vAlign w:val="bottom"/>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(2934)%</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u w:val="single" w:color="auto"/>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(101,227)</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(24,050)</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(77,177)</w:t>
            </w:r>
          </w:p>
        </w:tc>
        <w:tc>
          <w:tcPr>
            <w:tcW w:w="100" w:type="dxa"/>
            <w:vAlign w:val="bottom"/>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321%</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2">
        <w:col w:w="2740" w:space="160"/>
        <w:col w:w="8320"/>
      </w:cols>
      <w:pgMar w:left="340" w:top="11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2025-04-08T06:04:26Z</dcterms:created>
  <dcterms:modified xsi:type="dcterms:W3CDTF">2025-04-08T06:04:26Z</dcterms:modified>
</cp:coreProperties>
</file>