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2025</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Settlement of Aphria Canadian Class Action and Related Individual 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2019, a putative securities class action was commenced in the Ontario Superior Court of Justice against Tilray Brands’ wholly-owned subsidiary, Aphria, Inc. (“</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and certain of its former officers and directors (the “</w:t>
      </w:r>
      <w:r>
        <w:rPr>
          <w:rFonts w:ascii="Times New Roman" w:cs="Times New Roman" w:eastAsia="Times New Roman" w:hAnsi="Times New Roman"/>
          <w:sz w:val="18"/>
          <w:szCs w:val="18"/>
          <w:b w:val="1"/>
          <w:bCs w:val="1"/>
          <w:color w:val="auto"/>
        </w:rPr>
        <w:t>Aphria Canadian Class Action</w:t>
      </w:r>
      <w:r>
        <w:rPr>
          <w:rFonts w:ascii="Times New Roman" w:cs="Times New Roman" w:eastAsia="Times New Roman" w:hAnsi="Times New Roman"/>
          <w:sz w:val="18"/>
          <w:szCs w:val="18"/>
          <w:color w:val="auto"/>
        </w:rPr>
        <w:t>”). The Aphria Canadian Class Action was subsequently amended in September 2022 to proceed only against Aphria and two of its former officers and directors as named defendants.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 plaintiff sought damages in the amount of CAD $875 million pursuant to Ontario securities legislation on behalf of all class members who acquired Aphria’s common shares between January 29, 2018 and December 3, 2018. The Aphria Canadian Class Action stemmed from Aphria’s acquisition of Nuuvera Inc. and LATAM Holdings Inc. in March and September 2018, respectively, alleging that the value of the acquired assets was misrepresented as being significantly higher than their actual worth, and that insiders at Aphria personally benefitted from the acquisitions at the expense of investors. Aphria and the individual defendants denied the allegations made in the Aphria Canadian Class Action and vigorously defended against them. Trial was scheduled to begin in January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2025, Aphria and the individual defendants successfully reached an agreement with the class plaintiff to settle the Aphria Canadian Class Action. The settlement agreement provides for the complete dismissal of the Aphria Canadian Class Action, with prejudice, in exchange for an aggregate payment from all defendants equal to CAD $30 million, or approximately US $21 million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The settlement agreement also provides for the dismissal, with prejudice, of the four individual Canadian lawsuits pursuing the same allegations of wrongdoing against Aphria and former and current officers and directors. The settlement does not constitute an admission of liability or wrongdoing by Aphria or the other defendants.</w:t>
      </w:r>
    </w:p>
    <w:p>
      <w:pPr>
        <w:spacing w:after="0" w:line="18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The Settlement Amount will be primarily funded by the outstanding balance under Aphria’s D&amp;O Insurance Policy and by the individual defendants. Aphria will fund the remaining unpaid portion of the Settlement Amount, currently estimated to equal approximately CAD $8.5 million (or approximately US $5.9 million). Aphria’s portion of the Settlement Amount is fully accrued on its balance sheet and the Settlement Amount will not result in a negative impact to earnings. The settlement is contingent upon Court approval, and a hearing for that purpose is scheduled for March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Current Report on Form 8-K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in this Current Report on Form 8-K include our statements regarding the funding of the Settlement Agreement and the impact of the Settlement Agreement on earnings.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493395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2025-02-07T15:45:35Z</dcterms:created>
  <dcterms:modified xsi:type="dcterms:W3CDTF">2025-02-07T15:45:35Z</dcterms:modified>
</cp:coreProperties>
</file>