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2025</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3840" w:type="dxa"/>
            <w:vAlign w:val="bottom"/>
          </w:tcPr>
          <w:p>
            <w:pPr>
              <w:spacing w:after="0"/>
              <w:rPr>
                <w:sz w:val="24"/>
                <w:szCs w:val="24"/>
                <w:color w:val="auto"/>
              </w:rPr>
            </w:pPr>
          </w:p>
        </w:tc>
        <w:tc>
          <w:tcPr>
            <w:tcW w:w="33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(844) 845-7291</w:t>
            </w:r>
          </w:p>
        </w:tc>
        <w:tc>
          <w:tcPr>
            <w:tcW w:w="2600" w:type="dxa"/>
            <w:vAlign w:val="bottom"/>
          </w:tcPr>
          <w:p>
            <w:pPr>
              <w:spacing w:after="0"/>
              <w:rPr>
                <w:sz w:val="24"/>
                <w:szCs w:val="24"/>
                <w:color w:val="auto"/>
              </w:rPr>
            </w:pP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March 25, 2025, Tilray Brands, Inc. (the “Company”) received written notice (the “Notice”) from the Nasdaq Listing Qualifications Department of the Nasdaq Stock Market, LLC (“Nasdaq”) notifying the Company that it is not in compliance with the minimum bid price requirement set forth in Nasdaq Listing Rule 5450(a)(1) for continued listing on The Nasdaq Global Select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Notice does not impact the listing of the Company’s common stock on The Nasdaq Global Select Market at this time. In accordance with Nasdaq Listing Rule 5810(c)(3)(A), the Company has 180 calendar days to regain compliance with the minimum bid price requirement. To regain compliance, the closing bid price of the Company’s common stock must be at least $1.00 per share for a minimum of ten consecutive business days before September 21, 2025. In the event that the Company does not regain compliance within this 180-day period, the Company may be eligible to transfer from the Nasdaq Global Select Market to the Nasdaq Capital Market and seek an additional compliance period of 180 calendar days if it meets the continued listing requirement for market value of publicly held shares and all other initial listing standards for The Nasdaq Capital Market, with the exception of the minimum bid price requirement, and provides written notice to Nasdaq of its intent to cure the deficiency during this second compliance period by effecting a reverse stock split if necessary. However, if it appears to the Nasdaq staff that the Company will not be able to cure the deficiency, or if the Company is otherwise not eligible, Nasdaq will provide notice to the Company that its common stock will be subject to delisting.</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actively monitor the closing bid price of its common stock and will evaluate available options to regain compliance with the minimum bid price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576"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2025-03-25T15:52:46Z</dcterms:created>
  <dcterms:modified xsi:type="dcterms:W3CDTF">2025-03-25T15:52:46Z</dcterms:modified>
</cp:coreProperties>
</file>