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178435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180340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Tilray,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tbl>
      <w:tblPr>
        <w:tblLayout w:type="fixed"/>
        <w:tblInd w:w="640" w:type="dxa"/>
        <w:tblCellMar>
          <w:top w:w="0" w:type="dxa"/>
          <w:left w:w="0" w:type="dxa"/>
          <w:bottom w:w="0" w:type="dxa"/>
          <w:right w:w="0" w:type="dxa"/>
        </w:tblCellMar>
      </w:tblPr>
      <w:tr>
        <w:trPr>
          <w:trHeight w:val="222"/>
        </w:trPr>
        <w:tc>
          <w:tcPr>
            <w:tcW w:w="3480" w:type="dxa"/>
            <w:vAlign w:val="bottom"/>
          </w:tcPr>
          <w:p>
            <w:pPr>
              <w:jc w:val="center"/>
              <w:ind w:right="921"/>
              <w:spacing w:after="0"/>
              <w:rPr>
                <w:sz w:val="20"/>
                <w:szCs w:val="20"/>
                <w:color w:val="auto"/>
              </w:rPr>
            </w:pPr>
            <w:r>
              <w:rPr>
                <w:rFonts w:ascii="Arial" w:cs="Arial" w:eastAsia="Arial" w:hAnsi="Arial"/>
                <w:sz w:val="18"/>
                <w:szCs w:val="18"/>
                <w:b w:val="1"/>
                <w:bCs w:val="1"/>
                <w:color w:val="auto"/>
                <w:w w:val="91"/>
              </w:rPr>
              <w:t>Delaware</w:t>
            </w:r>
          </w:p>
        </w:tc>
        <w:tc>
          <w:tcPr>
            <w:tcW w:w="3360" w:type="dxa"/>
            <w:vAlign w:val="bottom"/>
          </w:tcPr>
          <w:p>
            <w:pPr>
              <w:jc w:val="center"/>
              <w:ind w:right="305"/>
              <w:spacing w:after="0"/>
              <w:rPr>
                <w:sz w:val="20"/>
                <w:szCs w:val="20"/>
                <w:color w:val="auto"/>
              </w:rPr>
            </w:pPr>
            <w:r>
              <w:rPr>
                <w:rFonts w:ascii="Arial" w:cs="Arial" w:eastAsia="Arial" w:hAnsi="Arial"/>
                <w:sz w:val="18"/>
                <w:szCs w:val="18"/>
                <w:b w:val="1"/>
                <w:bCs w:val="1"/>
                <w:color w:val="auto"/>
                <w:w w:val="90"/>
              </w:rPr>
              <w:t>001-38594</w:t>
            </w:r>
          </w:p>
        </w:tc>
        <w:tc>
          <w:tcPr>
            <w:tcW w:w="2420" w:type="dxa"/>
            <w:vAlign w:val="bottom"/>
          </w:tcPr>
          <w:p>
            <w:pPr>
              <w:jc w:val="right"/>
              <w:ind w:right="24"/>
              <w:spacing w:after="0"/>
              <w:rPr>
                <w:sz w:val="20"/>
                <w:szCs w:val="20"/>
                <w:color w:val="auto"/>
              </w:rPr>
            </w:pPr>
            <w:r>
              <w:rPr>
                <w:rFonts w:ascii="Arial" w:cs="Arial" w:eastAsia="Arial" w:hAnsi="Arial"/>
                <w:sz w:val="18"/>
                <w:szCs w:val="18"/>
                <w:b w:val="1"/>
                <w:bCs w:val="1"/>
                <w:color w:val="auto"/>
              </w:rPr>
              <w:t>82-4310622</w:t>
            </w:r>
          </w:p>
        </w:tc>
      </w:tr>
      <w:tr>
        <w:trPr>
          <w:trHeight w:val="149"/>
        </w:trPr>
        <w:tc>
          <w:tcPr>
            <w:tcW w:w="3480" w:type="dxa"/>
            <w:vAlign w:val="bottom"/>
          </w:tcPr>
          <w:p>
            <w:pPr>
              <w:jc w:val="center"/>
              <w:ind w:right="921"/>
              <w:spacing w:after="0"/>
              <w:rPr>
                <w:sz w:val="20"/>
                <w:szCs w:val="20"/>
                <w:color w:val="auto"/>
              </w:rPr>
            </w:pPr>
            <w:r>
              <w:rPr>
                <w:rFonts w:ascii="Arial" w:cs="Arial" w:eastAsia="Arial" w:hAnsi="Arial"/>
                <w:sz w:val="13"/>
                <w:szCs w:val="13"/>
                <w:b w:val="1"/>
                <w:bCs w:val="1"/>
                <w:color w:val="auto"/>
                <w:w w:val="95"/>
              </w:rPr>
              <w:t>(State or Other Jurisdiction</w:t>
            </w:r>
          </w:p>
        </w:tc>
        <w:tc>
          <w:tcPr>
            <w:tcW w:w="3360" w:type="dxa"/>
            <w:vAlign w:val="bottom"/>
          </w:tcPr>
          <w:p>
            <w:pPr>
              <w:jc w:val="center"/>
              <w:ind w:right="285"/>
              <w:spacing w:after="0"/>
              <w:rPr>
                <w:sz w:val="20"/>
                <w:szCs w:val="20"/>
                <w:color w:val="auto"/>
              </w:rPr>
            </w:pPr>
            <w:r>
              <w:rPr>
                <w:rFonts w:ascii="Arial" w:cs="Arial" w:eastAsia="Arial" w:hAnsi="Arial"/>
                <w:sz w:val="13"/>
                <w:szCs w:val="13"/>
                <w:b w:val="1"/>
                <w:bCs w:val="1"/>
                <w:color w:val="auto"/>
                <w:w w:val="92"/>
              </w:rPr>
              <w:t>(Commission File</w:t>
            </w:r>
          </w:p>
        </w:tc>
        <w:tc>
          <w:tcPr>
            <w:tcW w:w="2420" w:type="dxa"/>
            <w:vAlign w:val="bottom"/>
          </w:tcPr>
          <w:p>
            <w:pPr>
              <w:jc w:val="center"/>
              <w:ind w:left="126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480" w:type="dxa"/>
            <w:vAlign w:val="bottom"/>
          </w:tcPr>
          <w:p>
            <w:pPr>
              <w:jc w:val="center"/>
              <w:ind w:right="921"/>
              <w:spacing w:after="0"/>
              <w:rPr>
                <w:sz w:val="20"/>
                <w:szCs w:val="20"/>
                <w:color w:val="auto"/>
              </w:rPr>
            </w:pPr>
            <w:r>
              <w:rPr>
                <w:rFonts w:ascii="Arial" w:cs="Arial" w:eastAsia="Arial" w:hAnsi="Arial"/>
                <w:sz w:val="13"/>
                <w:szCs w:val="13"/>
                <w:b w:val="1"/>
                <w:bCs w:val="1"/>
                <w:color w:val="auto"/>
                <w:w w:val="96"/>
              </w:rPr>
              <w:t>of Incorporation)</w:t>
            </w:r>
          </w:p>
        </w:tc>
        <w:tc>
          <w:tcPr>
            <w:tcW w:w="3360" w:type="dxa"/>
            <w:vAlign w:val="bottom"/>
          </w:tcPr>
          <w:p>
            <w:pPr>
              <w:jc w:val="center"/>
              <w:ind w:right="285"/>
              <w:spacing w:after="0"/>
              <w:rPr>
                <w:sz w:val="20"/>
                <w:szCs w:val="20"/>
                <w:color w:val="auto"/>
              </w:rPr>
            </w:pPr>
            <w:r>
              <w:rPr>
                <w:rFonts w:ascii="Arial" w:cs="Arial" w:eastAsia="Arial" w:hAnsi="Arial"/>
                <w:sz w:val="13"/>
                <w:szCs w:val="13"/>
                <w:b w:val="1"/>
                <w:bCs w:val="1"/>
                <w:color w:val="auto"/>
                <w:w w:val="97"/>
              </w:rPr>
              <w:t>Number)</w:t>
            </w:r>
          </w:p>
        </w:tc>
        <w:tc>
          <w:tcPr>
            <w:tcW w:w="2420" w:type="dxa"/>
            <w:vAlign w:val="bottom"/>
          </w:tcPr>
          <w:p>
            <w:pPr>
              <w:jc w:val="center"/>
              <w:ind w:left="1284"/>
              <w:spacing w:after="0"/>
              <w:rPr>
                <w:sz w:val="20"/>
                <w:szCs w:val="20"/>
                <w:color w:val="auto"/>
              </w:rPr>
            </w:pPr>
            <w:r>
              <w:rPr>
                <w:rFonts w:ascii="Arial" w:cs="Arial" w:eastAsia="Arial" w:hAnsi="Arial"/>
                <w:sz w:val="13"/>
                <w:szCs w:val="13"/>
                <w:b w:val="1"/>
                <w:bCs w:val="1"/>
                <w:color w:val="auto"/>
                <w:w w:val="96"/>
              </w:rPr>
              <w:t>Identification No.)</w:t>
            </w:r>
          </w:p>
        </w:tc>
      </w:tr>
      <w:tr>
        <w:trPr>
          <w:trHeight w:val="333"/>
        </w:trPr>
        <w:tc>
          <w:tcPr>
            <w:tcW w:w="3480" w:type="dxa"/>
            <w:vAlign w:val="bottom"/>
          </w:tcPr>
          <w:p>
            <w:pPr>
              <w:jc w:val="center"/>
              <w:ind w:right="921"/>
              <w:spacing w:after="0"/>
              <w:rPr>
                <w:sz w:val="20"/>
                <w:szCs w:val="20"/>
                <w:color w:val="auto"/>
              </w:rPr>
            </w:pPr>
            <w:r>
              <w:rPr>
                <w:rFonts w:ascii="Arial" w:cs="Arial" w:eastAsia="Arial" w:hAnsi="Arial"/>
                <w:sz w:val="18"/>
                <w:szCs w:val="18"/>
                <w:b w:val="1"/>
                <w:bCs w:val="1"/>
                <w:color w:val="auto"/>
                <w:w w:val="89"/>
              </w:rPr>
              <w:t>655 Madison Avenue, Suite 1900</w:t>
            </w:r>
          </w:p>
        </w:tc>
        <w:tc>
          <w:tcPr>
            <w:tcW w:w="336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22"/>
        </w:trPr>
        <w:tc>
          <w:tcPr>
            <w:tcW w:w="3480" w:type="dxa"/>
            <w:vAlign w:val="bottom"/>
          </w:tcPr>
          <w:p>
            <w:pPr>
              <w:jc w:val="center"/>
              <w:ind w:right="921"/>
              <w:spacing w:after="0"/>
              <w:rPr>
                <w:sz w:val="20"/>
                <w:szCs w:val="20"/>
                <w:color w:val="auto"/>
              </w:rPr>
            </w:pPr>
            <w:r>
              <w:rPr>
                <w:rFonts w:ascii="Arial" w:cs="Arial" w:eastAsia="Arial" w:hAnsi="Arial"/>
                <w:sz w:val="18"/>
                <w:szCs w:val="18"/>
                <w:b w:val="1"/>
                <w:bCs w:val="1"/>
                <w:color w:val="auto"/>
                <w:w w:val="95"/>
              </w:rPr>
              <w:t>New York, NY</w:t>
            </w:r>
          </w:p>
        </w:tc>
        <w:tc>
          <w:tcPr>
            <w:tcW w:w="3360" w:type="dxa"/>
            <w:vAlign w:val="bottom"/>
          </w:tcPr>
          <w:p>
            <w:pPr>
              <w:spacing w:after="0"/>
              <w:rPr>
                <w:sz w:val="19"/>
                <w:szCs w:val="19"/>
                <w:color w:val="auto"/>
              </w:rPr>
            </w:pPr>
          </w:p>
        </w:tc>
        <w:tc>
          <w:tcPr>
            <w:tcW w:w="2420" w:type="dxa"/>
            <w:vAlign w:val="bottom"/>
          </w:tcPr>
          <w:p>
            <w:pPr>
              <w:jc w:val="right"/>
              <w:ind w:right="244"/>
              <w:spacing w:after="0"/>
              <w:rPr>
                <w:sz w:val="20"/>
                <w:szCs w:val="20"/>
                <w:color w:val="auto"/>
              </w:rPr>
            </w:pPr>
            <w:r>
              <w:rPr>
                <w:rFonts w:ascii="Arial" w:cs="Arial" w:eastAsia="Arial" w:hAnsi="Arial"/>
                <w:sz w:val="18"/>
                <w:szCs w:val="18"/>
                <w:b w:val="1"/>
                <w:bCs w:val="1"/>
                <w:color w:val="auto"/>
              </w:rPr>
              <w:t>10065</w:t>
            </w:r>
          </w:p>
        </w:tc>
      </w:tr>
      <w:tr>
        <w:trPr>
          <w:trHeight w:val="174"/>
        </w:trPr>
        <w:tc>
          <w:tcPr>
            <w:tcW w:w="3480" w:type="dxa"/>
            <w:vAlign w:val="bottom"/>
          </w:tcPr>
          <w:p>
            <w:pPr>
              <w:jc w:val="center"/>
              <w:ind w:right="9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360" w:type="dxa"/>
            <w:vAlign w:val="bottom"/>
          </w:tcPr>
          <w:p>
            <w:pPr>
              <w:spacing w:after="0"/>
              <w:rPr>
                <w:sz w:val="15"/>
                <w:szCs w:val="15"/>
                <w:color w:val="auto"/>
              </w:rPr>
            </w:pPr>
          </w:p>
        </w:tc>
        <w:tc>
          <w:tcPr>
            <w:tcW w:w="2420" w:type="dxa"/>
            <w:vAlign w:val="bottom"/>
          </w:tcPr>
          <w:p>
            <w:pPr>
              <w:jc w:val="center"/>
              <w:ind w:left="1284"/>
              <w:spacing w:after="0"/>
              <w:rPr>
                <w:sz w:val="20"/>
                <w:szCs w:val="20"/>
                <w:color w:val="auto"/>
              </w:rPr>
            </w:pPr>
            <w:r>
              <w:rPr>
                <w:rFonts w:ascii="Arial" w:cs="Arial" w:eastAsia="Arial" w:hAnsi="Arial"/>
                <w:sz w:val="13"/>
                <w:szCs w:val="13"/>
                <w:b w:val="1"/>
                <w:bCs w:val="1"/>
                <w:color w:val="auto"/>
                <w:w w:val="96"/>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(844) 845-7291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1100 Maughan Rd.,</w:t>
      </w:r>
    </w:p>
    <w:p>
      <w:pPr>
        <w:jc w:val="center"/>
        <w:spacing w:after="0"/>
        <w:rPr>
          <w:sz w:val="20"/>
          <w:szCs w:val="20"/>
          <w:color w:val="auto"/>
        </w:rPr>
      </w:pPr>
      <w:r>
        <w:rPr>
          <w:rFonts w:ascii="Arial" w:cs="Arial" w:eastAsia="Arial" w:hAnsi="Arial"/>
          <w:sz w:val="13"/>
          <w:szCs w:val="13"/>
          <w:b w:val="1"/>
          <w:bCs w:val="1"/>
          <w:color w:val="auto"/>
        </w:rPr>
        <w:t>Nanaimo, BC, Canada</w:t>
      </w:r>
    </w:p>
    <w:p>
      <w:pPr>
        <w:jc w:val="center"/>
        <w:spacing w:after="0" w:line="225" w:lineRule="auto"/>
        <w:rPr>
          <w:sz w:val="20"/>
          <w:szCs w:val="20"/>
          <w:color w:val="auto"/>
        </w:rPr>
      </w:pPr>
      <w:r>
        <w:rPr>
          <w:rFonts w:ascii="Arial" w:cs="Arial" w:eastAsia="Arial" w:hAnsi="Arial"/>
          <w:sz w:val="13"/>
          <w:szCs w:val="13"/>
          <w:b w:val="1"/>
          <w:bCs w:val="1"/>
          <w:color w:val="auto"/>
        </w:rPr>
        <w:t>V9X 1J2</w:t>
      </w: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2 Common Stock, $0.0001 par</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TLRY</w:t>
            </w:r>
          </w:p>
        </w:tc>
        <w:tc>
          <w:tcPr>
            <w:tcW w:w="120" w:type="dxa"/>
            <w:vAlign w:val="bottom"/>
          </w:tcPr>
          <w:p>
            <w:pPr>
              <w:spacing w:after="0"/>
              <w:rPr>
                <w:sz w:val="16"/>
                <w:szCs w:val="16"/>
                <w:color w:val="auto"/>
              </w:rPr>
            </w:pPr>
          </w:p>
        </w:tc>
        <w:tc>
          <w:tcPr>
            <w:tcW w:w="50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Global Select Market LLC</w:t>
            </w:r>
          </w:p>
        </w:tc>
        <w:tc>
          <w:tcPr>
            <w:tcW w:w="0" w:type="dxa"/>
            <w:vAlign w:val="bottom"/>
          </w:tcPr>
          <w:p>
            <w:pPr>
              <w:spacing w:after="0"/>
              <w:rPr>
                <w:sz w:val="1"/>
                <w:szCs w:val="1"/>
                <w:color w:val="auto"/>
              </w:rPr>
            </w:pPr>
          </w:p>
        </w:tc>
      </w:t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value per share</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497840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ind w:left="20"/>
        <w:spacing w:after="0"/>
        <w:tabs>
          <w:tab w:leader="none" w:pos="12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July 28, 2021, Tilray, Inc. (“Tilray”) issued a press release announcing financial results for its fourth quarter and year ended May 31, 2020. A copy of the press release is furnished herewith as Exhibit 99.1.</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information in this current report on Form 8-K, including the press release attached as Exhibit 99.1 hereto, is being furnished, but shall not be deemed to be “filed” for purposes of Section 18 of the Securities Exchange Act of 1934, as amended, or otherwise subject to the liabilities of that section or Sections 11 and 12(a)(2) of the Securities Act of 1933, as amended. The information contained herein and in the accompanying exhibit shall not be incorporated by reference into any filing with the U.S. Securities and Exchange Commission made by Tilray, whether made before or after the date hereof, regardless of any general incorporation language in such filing.</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9.01</w:t>
            </w:r>
          </w:p>
        </w:tc>
        <w:tc>
          <w:tcPr>
            <w:tcW w:w="1016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350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0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5"/>
        </w:trPr>
        <w:tc>
          <w:tcPr>
            <w:tcW w:w="10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Number</w:t>
            </w:r>
          </w:p>
        </w:tc>
        <w:tc>
          <w:tcPr>
            <w:tcW w:w="10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1"/>
        </w:trPr>
        <w:tc>
          <w:tcPr>
            <w:tcW w:w="5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85"/>
              </w:rPr>
              <w:t>99.1</w:t>
            </w:r>
          </w:p>
        </w:tc>
        <w:tc>
          <w:tcPr>
            <w:tcW w:w="540" w:type="dxa"/>
            <w:vAlign w:val="bottom"/>
          </w:tcPr>
          <w:p>
            <w:pPr>
              <w:spacing w:after="0"/>
              <w:rPr>
                <w:sz w:val="24"/>
                <w:szCs w:val="24"/>
                <w:color w:val="auto"/>
              </w:rPr>
            </w:pPr>
          </w:p>
        </w:tc>
        <w:tc>
          <w:tcPr>
            <w:tcW w:w="10160" w:type="dxa"/>
            <w:vAlign w:val="bottom"/>
            <w:tcBorders>
              <w:top w:val="single" w:sz="8" w:color="auto"/>
            </w:tcBorders>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of Tilray, Inc., dated July 28, 2021</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0" w:type="dxa"/>
            <w:vAlign w:val="bottom"/>
          </w:tcPr>
          <w:p>
            <w:pPr>
              <w:jc w:val="right"/>
              <w:ind w:right="136"/>
              <w:spacing w:after="0"/>
              <w:rPr>
                <w:sz w:val="20"/>
                <w:szCs w:val="20"/>
                <w:color w:val="auto"/>
              </w:rPr>
            </w:pPr>
            <w:r>
              <w:rPr>
                <w:rFonts w:ascii="Arial" w:cs="Arial" w:eastAsia="Arial" w:hAnsi="Arial"/>
                <w:sz w:val="18"/>
                <w:szCs w:val="18"/>
                <w:color w:val="auto"/>
                <w:w w:val="99"/>
              </w:rPr>
              <w:t>104</w:t>
            </w:r>
          </w:p>
        </w:tc>
        <w:tc>
          <w:tcPr>
            <w:tcW w:w="540" w:type="dxa"/>
            <w:vAlign w:val="bottom"/>
          </w:tcPr>
          <w:p>
            <w:pPr>
              <w:spacing w:after="0"/>
              <w:rPr>
                <w:sz w:val="24"/>
                <w:szCs w:val="24"/>
                <w:color w:val="auto"/>
              </w:rPr>
            </w:pPr>
          </w:p>
        </w:tc>
        <w:tc>
          <w:tcPr>
            <w:tcW w:w="101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87"/>
        </w:trPr>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6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Tilray, Inc.</w:t>
      </w:r>
    </w:p>
    <w:p>
      <w:pPr>
        <w:spacing w:after="0" w:line="256" w:lineRule="exact"/>
        <w:rPr>
          <w:sz w:val="20"/>
          <w:szCs w:val="20"/>
          <w:color w:val="auto"/>
        </w:rPr>
      </w:pPr>
    </w:p>
    <w:p>
      <w:pPr>
        <w:spacing w:after="0"/>
        <w:tabs>
          <w:tab w:leader="none" w:pos="5720" w:val="left"/>
          <w:tab w:leader="none" w:pos="7960" w:val="left"/>
        </w:tabs>
        <w:rPr>
          <w:sz w:val="20"/>
          <w:szCs w:val="20"/>
          <w:color w:val="auto"/>
        </w:rPr>
      </w:pPr>
      <w:r>
        <w:rPr>
          <w:rFonts w:ascii="Arial" w:cs="Arial" w:eastAsia="Arial" w:hAnsi="Arial"/>
          <w:sz w:val="18"/>
          <w:szCs w:val="18"/>
          <w:color w:val="auto"/>
        </w:rPr>
        <w:t>Date: July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Chief Executive Officer and Chairman</w:t>
      </w:r>
    </w:p>
    <w:p>
      <w:pPr>
        <w:sectPr>
          <w:pgSz w:w="11900" w:h="16838" w:orient="portrait"/>
          <w:cols w:equalWidth="0" w:num="1">
            <w:col w:w="11200"/>
          </w:cols>
          <w:pgMar w:left="320" w:top="553" w:right="379" w:bottom="1440" w:gutter="0" w:footer="0" w:header="0"/>
        </w:sectPr>
      </w:pPr>
    </w:p>
    <w:bookmarkStart w:id="3" w:name="page4"/>
    <w:bookmarkEnd w:id="3"/>
    <w:p>
      <w:pPr>
        <w:ind w:left="10140"/>
        <w:spacing w:after="0"/>
        <w:rPr>
          <w:sz w:val="20"/>
          <w:szCs w:val="20"/>
          <w:color w:val="auto"/>
        </w:rPr>
      </w:pPr>
      <w:r>
        <w:rPr>
          <w:rFonts w:ascii="Arial" w:cs="Arial" w:eastAsia="Arial" w:hAnsi="Arial"/>
          <w:sz w:val="19"/>
          <w:szCs w:val="19"/>
          <w:b w:val="1"/>
          <w:bCs w:val="1"/>
          <w:color w:val="767171"/>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-120015</wp:posOffset>
            </wp:positionV>
            <wp:extent cx="224599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459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9660" w:val="left"/>
        </w:tabs>
        <w:rPr>
          <w:sz w:val="20"/>
          <w:szCs w:val="20"/>
          <w:color w:val="auto"/>
        </w:rPr>
      </w:pPr>
      <w:r>
        <w:rPr>
          <w:rFonts w:ascii="Arial" w:cs="Arial" w:eastAsia="Arial" w:hAnsi="Arial"/>
          <w:sz w:val="29"/>
          <w:szCs w:val="29"/>
          <w:b w:val="1"/>
          <w:bCs w:val="1"/>
          <w:color w:val="767171"/>
        </w:rPr>
        <w:t>PRESS RELEASE</w:t>
      </w:r>
      <w:r>
        <w:rPr>
          <w:sz w:val="20"/>
          <w:szCs w:val="20"/>
          <w:color w:val="auto"/>
        </w:rPr>
        <w:tab/>
      </w:r>
      <w:r>
        <w:rPr>
          <w:rFonts w:ascii="Arial" w:cs="Arial" w:eastAsia="Arial" w:hAnsi="Arial"/>
          <w:sz w:val="25"/>
          <w:szCs w:val="25"/>
          <w:b w:val="1"/>
          <w:bCs w:val="1"/>
          <w:color w:val="767171"/>
        </w:rPr>
        <w:t>July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Tilray, Inc. Reports 2021 Fiscal Year and Fourth Quarter Results</w:t>
      </w:r>
    </w:p>
    <w:p>
      <w:pPr>
        <w:spacing w:after="0" w:line="255" w:lineRule="exact"/>
        <w:rPr>
          <w:sz w:val="20"/>
          <w:szCs w:val="20"/>
          <w:color w:val="auto"/>
        </w:rPr>
      </w:pPr>
    </w:p>
    <w:p>
      <w:pPr>
        <w:ind w:left="2180"/>
        <w:spacing w:after="0"/>
        <w:rPr>
          <w:sz w:val="20"/>
          <w:szCs w:val="20"/>
          <w:color w:val="auto"/>
        </w:rPr>
      </w:pPr>
      <w:r>
        <w:rPr>
          <w:rFonts w:ascii="Arial" w:cs="Arial" w:eastAsia="Arial" w:hAnsi="Arial"/>
          <w:sz w:val="22"/>
          <w:szCs w:val="22"/>
          <w:b w:val="1"/>
          <w:bCs w:val="1"/>
          <w:i w:val="1"/>
          <w:iCs w:val="1"/>
          <w:color w:val="auto"/>
        </w:rPr>
        <w:t>Net Revenue Increased 27% to $513 Million Compared to Prior Year</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22"/>
          <w:szCs w:val="22"/>
          <w:b w:val="1"/>
          <w:bCs w:val="1"/>
          <w:i w:val="1"/>
          <w:iCs w:val="1"/>
          <w:color w:val="auto"/>
        </w:rPr>
        <w:t>Net Income of $33.6 Million, Adjusted EBITDA of $12.3 Million, Net Cash from Operating Activities of $8.3</w:t>
      </w:r>
    </w:p>
    <w:p>
      <w:pPr>
        <w:spacing w:after="0" w:line="16" w:lineRule="exact"/>
        <w:rPr>
          <w:sz w:val="20"/>
          <w:szCs w:val="20"/>
          <w:color w:val="auto"/>
        </w:rPr>
      </w:pPr>
    </w:p>
    <w:p>
      <w:pPr>
        <w:ind w:left="2740"/>
        <w:spacing w:after="0"/>
        <w:rPr>
          <w:sz w:val="20"/>
          <w:szCs w:val="20"/>
          <w:color w:val="auto"/>
        </w:rPr>
      </w:pPr>
      <w:r>
        <w:rPr>
          <w:rFonts w:ascii="Arial" w:cs="Arial" w:eastAsia="Arial" w:hAnsi="Arial"/>
          <w:sz w:val="22"/>
          <w:szCs w:val="22"/>
          <w:b w:val="1"/>
          <w:bCs w:val="1"/>
          <w:i w:val="1"/>
          <w:iCs w:val="1"/>
          <w:color w:val="auto"/>
        </w:rPr>
        <w:t>Million and Positive Free Cash Flow of $3.3 Million in Q4</w:t>
      </w:r>
    </w:p>
    <w:p>
      <w:pPr>
        <w:spacing w:after="0" w:line="207" w:lineRule="exact"/>
        <w:rPr>
          <w:sz w:val="20"/>
          <w:szCs w:val="20"/>
          <w:color w:val="auto"/>
        </w:rPr>
      </w:pPr>
    </w:p>
    <w:p>
      <w:pPr>
        <w:ind w:left="140"/>
        <w:spacing w:after="0"/>
        <w:rPr>
          <w:sz w:val="20"/>
          <w:szCs w:val="20"/>
          <w:color w:val="auto"/>
        </w:rPr>
      </w:pPr>
      <w:r>
        <w:rPr>
          <w:rFonts w:ascii="Arial" w:cs="Arial" w:eastAsia="Arial" w:hAnsi="Arial"/>
          <w:sz w:val="21"/>
          <w:szCs w:val="21"/>
          <w:b w:val="1"/>
          <w:bCs w:val="1"/>
          <w:i w:val="1"/>
          <w:iCs w:val="1"/>
          <w:color w:val="auto"/>
        </w:rPr>
        <w:t>Completed Business Combination with Aphria Inc., Achieved $35 Million in Synergies To Date; On-track for</w:t>
      </w:r>
    </w:p>
    <w:p>
      <w:pPr>
        <w:spacing w:after="0" w:line="28" w:lineRule="exact"/>
        <w:rPr>
          <w:sz w:val="20"/>
          <w:szCs w:val="20"/>
          <w:color w:val="auto"/>
        </w:rPr>
      </w:pPr>
    </w:p>
    <w:p>
      <w:pPr>
        <w:ind w:left="4720"/>
        <w:spacing w:after="0"/>
        <w:rPr>
          <w:sz w:val="20"/>
          <w:szCs w:val="20"/>
          <w:color w:val="auto"/>
        </w:rPr>
      </w:pPr>
      <w:r>
        <w:rPr>
          <w:rFonts w:ascii="Arial" w:cs="Arial" w:eastAsia="Arial" w:hAnsi="Arial"/>
          <w:sz w:val="22"/>
          <w:szCs w:val="22"/>
          <w:b w:val="1"/>
          <w:bCs w:val="1"/>
          <w:i w:val="1"/>
          <w:iCs w:val="1"/>
          <w:color w:val="auto"/>
        </w:rPr>
        <w:t>$80 Million Target</w:t>
      </w:r>
    </w:p>
    <w:p>
      <w:pPr>
        <w:spacing w:after="0" w:line="207" w:lineRule="exact"/>
        <w:rPr>
          <w:sz w:val="20"/>
          <w:szCs w:val="20"/>
          <w:color w:val="auto"/>
        </w:rPr>
      </w:pPr>
    </w:p>
    <w:p>
      <w:pPr>
        <w:ind w:left="2380"/>
        <w:spacing w:after="0"/>
        <w:rPr>
          <w:sz w:val="20"/>
          <w:szCs w:val="20"/>
          <w:color w:val="auto"/>
        </w:rPr>
      </w:pPr>
      <w:r>
        <w:rPr>
          <w:rFonts w:ascii="Arial" w:cs="Arial" w:eastAsia="Arial" w:hAnsi="Arial"/>
          <w:sz w:val="22"/>
          <w:szCs w:val="22"/>
          <w:b w:val="1"/>
          <w:bCs w:val="1"/>
          <w:i w:val="1"/>
          <w:iCs w:val="1"/>
          <w:color w:val="auto"/>
        </w:rPr>
        <w:t>Cannabis Revenue Grew 55% in Q4, #1 Market Share in Canada</w:t>
      </w:r>
    </w:p>
    <w:p>
      <w:pPr>
        <w:spacing w:after="0" w:line="233" w:lineRule="exact"/>
        <w:rPr>
          <w:sz w:val="20"/>
          <w:szCs w:val="20"/>
          <w:color w:val="auto"/>
        </w:rPr>
      </w:pPr>
    </w:p>
    <w:p>
      <w:pPr>
        <w:ind w:left="1480"/>
        <w:spacing w:after="0"/>
        <w:rPr>
          <w:sz w:val="20"/>
          <w:szCs w:val="20"/>
          <w:color w:val="auto"/>
        </w:rPr>
      </w:pPr>
      <w:r>
        <w:rPr>
          <w:rFonts w:ascii="Arial" w:cs="Arial" w:eastAsia="Arial" w:hAnsi="Arial"/>
          <w:sz w:val="22"/>
          <w:szCs w:val="22"/>
          <w:b w:val="1"/>
          <w:bCs w:val="1"/>
          <w:i w:val="1"/>
          <w:iCs w:val="1"/>
          <w:color w:val="auto"/>
        </w:rPr>
        <w:t>Leading EU GMP-Certified Medical Cannabis LP in Europe with Demand Growing</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21"/>
          <w:szCs w:val="21"/>
          <w:b w:val="1"/>
          <w:bCs w:val="1"/>
          <w:i w:val="1"/>
          <w:iCs w:val="1"/>
          <w:color w:val="auto"/>
        </w:rPr>
        <w:t>Executive Leadership Executing On Plan to Drive Accelerated Growth and Sustained Profitability in Global</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Cannabis Market</w:t>
      </w:r>
    </w:p>
    <w:p>
      <w:pPr>
        <w:spacing w:after="0" w:line="200" w:lineRule="exact"/>
        <w:rPr>
          <w:sz w:val="20"/>
          <w:szCs w:val="20"/>
          <w:color w:val="auto"/>
        </w:rPr>
      </w:pPr>
    </w:p>
    <w:p>
      <w:pPr>
        <w:spacing w:after="0" w:line="32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b w:val="1"/>
          <w:bCs w:val="1"/>
          <w:color w:val="auto"/>
        </w:rPr>
        <w:t xml:space="preserve">NEW YORK and LEAMINGTON, ONTARIO </w:t>
      </w:r>
      <w:r>
        <w:rPr>
          <w:rFonts w:ascii="Arial" w:cs="Arial" w:eastAsia="Arial" w:hAnsi="Arial"/>
          <w:sz w:val="20"/>
          <w:szCs w:val="20"/>
          <w:color w:val="auto"/>
        </w:rPr>
        <w:t>– July 28, 2021 -- Tilray, Inc. (“Tilray” or the “Company”) (Nasdaq: TLRY; TSX:</w:t>
      </w:r>
      <w:r>
        <w:rPr>
          <w:rFonts w:ascii="Arial" w:cs="Arial" w:eastAsia="Arial" w:hAnsi="Arial"/>
          <w:sz w:val="20"/>
          <w:szCs w:val="20"/>
          <w:b w:val="1"/>
          <w:bCs w:val="1"/>
          <w:color w:val="auto"/>
        </w:rPr>
        <w:t xml:space="preserve"> </w:t>
      </w:r>
      <w:r>
        <w:rPr>
          <w:rFonts w:ascii="Arial" w:cs="Arial" w:eastAsia="Arial" w:hAnsi="Arial"/>
          <w:sz w:val="20"/>
          <w:szCs w:val="20"/>
          <w:color w:val="auto"/>
        </w:rPr>
        <w:t>TLRY), a leading global cannabis-lifestyle and consumer packaged goods company, today reported financial results for the full fiscal year and fourth quarter ended May 31, 2021. Results for the full year and fourth quarter include legacy-Aphria’s fiscal 2021 financial results and four weeks of Tilray. All financial information in this press release is reported in U.S. dollars, unless otherwise indicated, and presented in accordance with accounting principles generally accepted in the U.S. (“GAAP”).</w:t>
      </w:r>
    </w:p>
    <w:p>
      <w:pPr>
        <w:spacing w:after="0" w:line="21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Irwin D. Simon, Tilray’s Chairman and Chief Executive Officer, stated, “Early results from the new Tilray affirm that, while the global cannabis market remains in its early stages, our vision, scale, access to resources and operational excellence position us optimally to capitalize on the opportunity. In a very short period of time since our business combination was finalized, we transformed and strengthened Tilray, delivered solid results amid continued COVID-19 lockdowns and restrictions and achieved $35 million in synergies to date – well on our way to delivering $80 million in cost savings over the next 16 months.”</w:t>
      </w:r>
    </w:p>
    <w:p>
      <w:pPr>
        <w:spacing w:after="0" w:line="212"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Mr. Simon continued, “These are early achievements but they provide the roadmap for our strategy and priorities moving forward. Tilray is now truly leading the global cannabis industry with low cost of production, leading brands, a well-developed distribution network, and unique partnerships that we believe will drive sustainable shareholder value in the quarters to come. We look forward to accelerating and refining our business-level strategies and roadmaps and to ensuring unmistakable, measurable progress as we build the leading consumer-packaged goods business in the cannabis industry.”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tabs>
          <w:tab w:leader="none" w:pos="9660" w:val="left"/>
        </w:tabs>
        <w:rPr>
          <w:sz w:val="20"/>
          <w:szCs w:val="20"/>
          <w:color w:val="auto"/>
        </w:rPr>
      </w:pPr>
      <w:r>
        <w:rPr>
          <w:rFonts w:ascii="Arial" w:cs="Arial" w:eastAsia="Arial" w:hAnsi="Arial"/>
          <w:sz w:val="29"/>
          <w:szCs w:val="29"/>
          <w:b w:val="1"/>
          <w:bCs w:val="1"/>
          <w:color w:val="767171"/>
        </w:rPr>
        <w:drawing>
          <wp:anchor simplePos="0" relativeHeight="251657728" behindDoc="1" locked="0" layoutInCell="0" allowOverlap="1">
            <wp:simplePos x="0" y="0"/>
            <wp:positionH relativeFrom="page">
              <wp:posOffset>868045</wp:posOffset>
            </wp:positionH>
            <wp:positionV relativeFrom="page">
              <wp:posOffset>97790</wp:posOffset>
            </wp:positionV>
            <wp:extent cx="224599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245995" cy="497205"/>
                    </a:xfrm>
                    <a:prstGeom prst="rect">
                      <a:avLst/>
                    </a:prstGeom>
                    <a:noFill/>
                  </pic:spPr>
                </pic:pic>
              </a:graphicData>
            </a:graphic>
          </wp:anchor>
        </w:drawing>
        <w:t>PRESS RELEASE</w:t>
      </w:r>
      <w:r>
        <w:rPr>
          <w:sz w:val="20"/>
          <w:szCs w:val="20"/>
          <w:color w:val="auto"/>
        </w:rPr>
        <w:tab/>
      </w:r>
      <w:r>
        <w:rPr>
          <w:rFonts w:ascii="Arial" w:cs="Arial" w:eastAsia="Arial" w:hAnsi="Arial"/>
          <w:sz w:val="25"/>
          <w:szCs w:val="25"/>
          <w:b w:val="1"/>
          <w:bCs w:val="1"/>
          <w:color w:val="767171"/>
        </w:rPr>
        <w:t>July 28, 2021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Financial Highlights - 2021 Fiscal Fourth Quarter</w:t>
      </w:r>
      <w:r>
        <w:rPr>
          <w:rFonts w:ascii="Arial" w:cs="Arial" w:eastAsia="Arial" w:hAnsi="Arial"/>
          <w:sz w:val="16"/>
          <w:szCs w:val="16"/>
          <w:b w:val="1"/>
          <w:bCs w:val="1"/>
          <w:color w:val="auto"/>
          <w:highlight w:val="white"/>
        </w:rPr>
        <w:t>1</w:t>
      </w:r>
    </w:p>
    <w:p>
      <w:pPr>
        <w:spacing w:after="0" w:line="240" w:lineRule="exact"/>
        <w:rPr>
          <w:sz w:val="20"/>
          <w:szCs w:val="20"/>
          <w:color w:val="auto"/>
        </w:rPr>
      </w:pPr>
    </w:p>
    <w:p>
      <w:pPr>
        <w:jc w:val="both"/>
        <w:ind w:left="800" w:hanging="401"/>
        <w:spacing w:after="0" w:line="237" w:lineRule="auto"/>
        <w:tabs>
          <w:tab w:leader="none" w:pos="800" w:val="left"/>
        </w:tabs>
        <w:numPr>
          <w:ilvl w:val="0"/>
          <w:numId w:val="2"/>
        </w:numPr>
        <w:rPr>
          <w:rFonts w:ascii="Arial" w:cs="Arial" w:eastAsia="Arial" w:hAnsi="Arial"/>
          <w:sz w:val="19"/>
          <w:szCs w:val="19"/>
          <w:color w:val="auto"/>
        </w:rPr>
      </w:pPr>
      <w:r>
        <w:rPr>
          <w:rFonts w:ascii="Arial" w:cs="Arial" w:eastAsia="Arial" w:hAnsi="Arial"/>
          <w:sz w:val="19"/>
          <w:szCs w:val="19"/>
          <w:color w:val="auto"/>
        </w:rPr>
        <w:t>Net revenue increased 25% to $142.2 million during the fourth quarter from $113.5 million in the prior year quarter. The increase was driven by 36% growth in net cannabis revenue to $53.7 million, which included four weeks of contribution from legacy-Tilray, a 10% decline in distribution revenue, net beverage alcohol revenue of $15.9 million following our SweetWater acquisition on November 25, 2020, and wellness revenue of $5.8 million from Manitoba Harvest.</w:t>
      </w:r>
    </w:p>
    <w:p>
      <w:pPr>
        <w:ind w:left="800" w:hanging="401"/>
        <w:spacing w:after="0"/>
        <w:tabs>
          <w:tab w:leader="none" w:pos="8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income of $33.6 million during the fourth quarter compared to net loss of $84.3 million in the prior year quarter.</w:t>
      </w:r>
    </w:p>
    <w:p>
      <w:pPr>
        <w:ind w:left="800" w:right="20" w:hanging="401"/>
        <w:spacing w:after="0" w:line="225" w:lineRule="auto"/>
        <w:tabs>
          <w:tab w:leader="none" w:pos="80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increased 285% to $12.3 million during the fourth quarter from $3.2 million in the prior year quarter marking the ninth consecutive quarter of positive Adjusted EBITDA.</w:t>
      </w:r>
    </w:p>
    <w:p>
      <w:pPr>
        <w:jc w:val="both"/>
        <w:ind w:left="800" w:hanging="401"/>
        <w:spacing w:after="0" w:line="225" w:lineRule="auto"/>
        <w:tabs>
          <w:tab w:leader="none" w:pos="800" w:val="left"/>
        </w:tabs>
        <w:numPr>
          <w:ilvl w:val="0"/>
          <w:numId w:val="2"/>
        </w:numPr>
        <w:rPr>
          <w:rFonts w:ascii="Arial" w:cs="Arial" w:eastAsia="Arial" w:hAnsi="Arial"/>
          <w:sz w:val="20"/>
          <w:szCs w:val="20"/>
          <w:color w:val="auto"/>
        </w:rPr>
      </w:pPr>
      <w:r>
        <w:rPr>
          <w:rFonts w:ascii="Arial" w:cs="Arial" w:eastAsia="Arial" w:hAnsi="Arial"/>
          <w:sz w:val="20"/>
          <w:szCs w:val="20"/>
          <w:color w:val="auto"/>
        </w:rPr>
        <w:t>Gross profit decreased 19% to $22.5 million during the fourth quarter from $27.8 million in the prior year quarter. Included in gross profit was a one-time inventory valuation adjustment of $19.9 million resulting from excess inventory quantities upon the business combination with Aphria. Adjusted gross profit, excluding inventory valuation adjustment, increased 53% to $42.4 million during the fourth quarter from $27.8 million in the prior year quarter.</w:t>
      </w:r>
    </w:p>
    <w:p>
      <w:pPr>
        <w:spacing w:after="0" w:line="1" w:lineRule="exact"/>
        <w:rPr>
          <w:rFonts w:ascii="Arial" w:cs="Arial" w:eastAsia="Arial" w:hAnsi="Arial"/>
          <w:sz w:val="20"/>
          <w:szCs w:val="20"/>
          <w:color w:val="auto"/>
        </w:rPr>
      </w:pPr>
    </w:p>
    <w:p>
      <w:pPr>
        <w:ind w:left="800" w:hanging="401"/>
        <w:spacing w:after="0"/>
        <w:tabs>
          <w:tab w:leader="none" w:pos="800" w:val="left"/>
        </w:tabs>
        <w:numPr>
          <w:ilvl w:val="0"/>
          <w:numId w:val="2"/>
        </w:numPr>
        <w:rPr>
          <w:rFonts w:ascii="Arial" w:cs="Arial" w:eastAsia="Arial" w:hAnsi="Arial"/>
          <w:sz w:val="20"/>
          <w:szCs w:val="20"/>
          <w:color w:val="auto"/>
        </w:rPr>
      </w:pPr>
      <w:r>
        <w:rPr>
          <w:rFonts w:ascii="Arial" w:cs="Arial" w:eastAsia="Arial" w:hAnsi="Arial"/>
          <w:sz w:val="20"/>
          <w:szCs w:val="20"/>
          <w:color w:val="auto"/>
        </w:rPr>
        <w:t>Free cash flow increased 112% to $3.3 million in the fourth quarter from ($28.3) million in the prior year quarter.</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Financial Highlights- 2021 Fiscal Year</w:t>
      </w:r>
    </w:p>
    <w:p>
      <w:pPr>
        <w:spacing w:after="0" w:line="240" w:lineRule="exact"/>
        <w:rPr>
          <w:sz w:val="20"/>
          <w:szCs w:val="20"/>
          <w:color w:val="auto"/>
        </w:rPr>
      </w:pPr>
    </w:p>
    <w:p>
      <w:pPr>
        <w:jc w:val="both"/>
        <w:ind w:left="800" w:hanging="401"/>
        <w:spacing w:after="0" w:line="225"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20"/>
          <w:szCs w:val="20"/>
          <w:color w:val="auto"/>
        </w:rPr>
        <w:t>Net revenue increased 27% to $513.1 million during 2021 from $405.3 million in 2020. The increase was driven by 55% growth in net cannabis revenue to $201.4 million, which included four weeks of contribution from legacy-Tilray, 1% growth in distribution revenue to $277.3 million, net beverage alcohol revenue of $28.6 million following our SweetWater acquisition on November 25, 2020, and wellness revenue of $5.8 million from Manitoba Harvest due to our Tilray reverse acquisition on April 30, 2021.</w:t>
      </w:r>
    </w:p>
    <w:p>
      <w:pPr>
        <w:spacing w:after="0" w:line="1" w:lineRule="exact"/>
        <w:rPr>
          <w:rFonts w:ascii="Arial" w:cs="Arial" w:eastAsia="Arial" w:hAnsi="Arial"/>
          <w:sz w:val="18"/>
          <w:szCs w:val="18"/>
          <w:color w:val="auto"/>
        </w:rPr>
      </w:pPr>
    </w:p>
    <w:p>
      <w:pPr>
        <w:jc w:val="both"/>
        <w:ind w:left="800" w:hanging="401"/>
        <w:spacing w:after="0" w:line="225"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20"/>
          <w:szCs w:val="20"/>
          <w:color w:val="auto"/>
        </w:rPr>
        <w:t>Net loss of $336.0 million in 2021 compared to net loss of $100.8 million in 2020 was driven by $63.6 million of transaction costs related to out-of-pocket fees to consummate our business combinations, and $170.5 million of non-cash unrealized loss on our convertible debentures.</w:t>
      </w:r>
    </w:p>
    <w:p>
      <w:pPr>
        <w:spacing w:after="0" w:line="1" w:lineRule="exact"/>
        <w:rPr>
          <w:rFonts w:ascii="Arial" w:cs="Arial" w:eastAsia="Arial" w:hAnsi="Arial"/>
          <w:sz w:val="18"/>
          <w:szCs w:val="18"/>
          <w:color w:val="auto"/>
        </w:rPr>
      </w:pPr>
    </w:p>
    <w:p>
      <w:pPr>
        <w:ind w:left="800" w:hanging="401"/>
        <w:spacing w:after="0" w:line="224" w:lineRule="auto"/>
        <w:tabs>
          <w:tab w:leader="none" w:pos="800" w:val="left"/>
        </w:tabs>
        <w:numPr>
          <w:ilvl w:val="0"/>
          <w:numId w:val="3"/>
        </w:numPr>
        <w:rPr>
          <w:rFonts w:ascii="Arial" w:cs="Arial" w:eastAsia="Arial" w:hAnsi="Arial"/>
          <w:sz w:val="22"/>
          <w:szCs w:val="22"/>
          <w:color w:val="auto"/>
        </w:rPr>
      </w:pPr>
      <w:r>
        <w:rPr>
          <w:rFonts w:ascii="Arial" w:cs="Arial" w:eastAsia="Arial" w:hAnsi="Arial"/>
          <w:sz w:val="20"/>
          <w:szCs w:val="20"/>
          <w:color w:val="auto"/>
        </w:rPr>
        <w:t>Adjusted EBITDA increased 598% to $40.8 million in 2021 from $5.8 million in 2020.</w:t>
      </w:r>
    </w:p>
    <w:p>
      <w:pPr>
        <w:spacing w:after="0" w:line="6" w:lineRule="exact"/>
        <w:rPr>
          <w:rFonts w:ascii="Arial" w:cs="Arial" w:eastAsia="Arial" w:hAnsi="Arial"/>
          <w:sz w:val="22"/>
          <w:szCs w:val="22"/>
          <w:color w:val="auto"/>
        </w:rPr>
      </w:pPr>
    </w:p>
    <w:p>
      <w:pPr>
        <w:jc w:val="both"/>
        <w:ind w:left="800" w:hanging="401"/>
        <w:spacing w:after="0" w:line="219" w:lineRule="auto"/>
        <w:tabs>
          <w:tab w:leader="none" w:pos="800" w:val="left"/>
        </w:tabs>
        <w:numPr>
          <w:ilvl w:val="0"/>
          <w:numId w:val="3"/>
        </w:numPr>
        <w:rPr>
          <w:rFonts w:ascii="Arial" w:cs="Arial" w:eastAsia="Arial" w:hAnsi="Arial"/>
          <w:sz w:val="22"/>
          <w:szCs w:val="22"/>
          <w:color w:val="auto"/>
        </w:rPr>
      </w:pPr>
      <w:r>
        <w:rPr>
          <w:rFonts w:ascii="Arial" w:cs="Arial" w:eastAsia="Arial" w:hAnsi="Arial"/>
          <w:sz w:val="20"/>
          <w:szCs w:val="20"/>
          <w:color w:val="auto"/>
        </w:rPr>
        <w:t>Gross profit increased 28% to $123.2 million during 2021 from $96.1 million in the prior year. Included in gross profit was a one-time inventory valuation adjustment of $19.9 million in Q4 resulting from excess inventory quantities upon the business combination with Aphria. Adjusted gross profit, excluding inventory valuation adjustment, increased 50% to $143.9 million in 2021 from $96.1 million in 2020.</w:t>
      </w:r>
    </w:p>
    <w:p>
      <w:pPr>
        <w:spacing w:after="0" w:line="3" w:lineRule="exact"/>
        <w:rPr>
          <w:rFonts w:ascii="Arial" w:cs="Arial" w:eastAsia="Arial" w:hAnsi="Arial"/>
          <w:sz w:val="22"/>
          <w:szCs w:val="22"/>
          <w:color w:val="auto"/>
        </w:rPr>
      </w:pPr>
    </w:p>
    <w:p>
      <w:pPr>
        <w:ind w:left="800" w:hanging="401"/>
        <w:spacing w:after="0" w:line="224" w:lineRule="auto"/>
        <w:tabs>
          <w:tab w:leader="none" w:pos="800" w:val="left"/>
        </w:tabs>
        <w:numPr>
          <w:ilvl w:val="0"/>
          <w:numId w:val="3"/>
        </w:numPr>
        <w:rPr>
          <w:rFonts w:ascii="Arial" w:cs="Arial" w:eastAsia="Arial" w:hAnsi="Arial"/>
          <w:sz w:val="22"/>
          <w:szCs w:val="22"/>
          <w:color w:val="auto"/>
        </w:rPr>
      </w:pPr>
      <w:r>
        <w:rPr>
          <w:rFonts w:ascii="Arial" w:cs="Arial" w:eastAsia="Arial" w:hAnsi="Arial"/>
          <w:sz w:val="20"/>
          <w:szCs w:val="20"/>
          <w:color w:val="auto"/>
        </w:rPr>
        <w:t>Ended the year with a strong balance sheet and liquidity, including cash and cash equivalents of $488.5 million.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40" w:right="60" w:hanging="132"/>
        <w:spacing w:after="0" w:line="263" w:lineRule="auto"/>
        <w:tabs>
          <w:tab w:leader="none" w:pos="14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This press release includes certain non-GAAP financial measures, which are intended to supplement, not substitute for, comparable GAAP financial measures. Reconciliations of non-GAAP financial measures to GAAP financial measures and other non-GAAP financial calculations are provided herein in the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14230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 w:name="page6"/>
    <w:bookmarkEnd w:id="5"/>
    <w:p>
      <w:pPr>
        <w:spacing w:after="0"/>
        <w:tabs>
          <w:tab w:leader="none" w:pos="9660" w:val="left"/>
        </w:tabs>
        <w:rPr>
          <w:sz w:val="20"/>
          <w:szCs w:val="20"/>
          <w:color w:val="auto"/>
        </w:rPr>
      </w:pPr>
      <w:r>
        <w:rPr>
          <w:rFonts w:ascii="Arial" w:cs="Arial" w:eastAsia="Arial" w:hAnsi="Arial"/>
          <w:sz w:val="29"/>
          <w:szCs w:val="29"/>
          <w:b w:val="1"/>
          <w:bCs w:val="1"/>
          <w:color w:val="767171"/>
        </w:rPr>
        <w:drawing>
          <wp:anchor simplePos="0" relativeHeight="251657728" behindDoc="1" locked="0" layoutInCell="0" allowOverlap="1">
            <wp:simplePos x="0" y="0"/>
            <wp:positionH relativeFrom="page">
              <wp:posOffset>868045</wp:posOffset>
            </wp:positionH>
            <wp:positionV relativeFrom="page">
              <wp:posOffset>97155</wp:posOffset>
            </wp:positionV>
            <wp:extent cx="2245995" cy="497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245995" cy="497205"/>
                    </a:xfrm>
                    <a:prstGeom prst="rect">
                      <a:avLst/>
                    </a:prstGeom>
                    <a:noFill/>
                  </pic:spPr>
                </pic:pic>
              </a:graphicData>
            </a:graphic>
          </wp:anchor>
        </w:drawing>
        <w:t>PRESS RELEASE</w:t>
      </w:r>
      <w:r>
        <w:rPr>
          <w:sz w:val="20"/>
          <w:szCs w:val="20"/>
          <w:color w:val="auto"/>
        </w:rPr>
        <w:tab/>
      </w:r>
      <w:r>
        <w:rPr>
          <w:rFonts w:ascii="Arial" w:cs="Arial" w:eastAsia="Arial" w:hAnsi="Arial"/>
          <w:sz w:val="25"/>
          <w:szCs w:val="25"/>
          <w:b w:val="1"/>
          <w:bCs w:val="1"/>
          <w:color w:val="767171"/>
        </w:rPr>
        <w:t>July 28, 2021</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Progress on Cost-Saving Synergies and Strengthening Financial Condition</w:t>
      </w:r>
    </w:p>
    <w:p>
      <w:pPr>
        <w:spacing w:after="0" w:line="236" w:lineRule="exact"/>
        <w:rPr>
          <w:sz w:val="20"/>
          <w:szCs w:val="20"/>
          <w:color w:val="auto"/>
        </w:rPr>
      </w:pPr>
    </w:p>
    <w:p>
      <w:pPr>
        <w:ind w:right="200"/>
        <w:spacing w:after="0" w:line="230" w:lineRule="auto"/>
        <w:rPr>
          <w:sz w:val="20"/>
          <w:szCs w:val="20"/>
          <w:color w:val="auto"/>
        </w:rPr>
      </w:pPr>
      <w:r>
        <w:rPr>
          <w:rFonts w:ascii="Arial" w:cs="Arial" w:eastAsia="Arial" w:hAnsi="Arial"/>
          <w:sz w:val="20"/>
          <w:szCs w:val="20"/>
          <w:color w:val="auto"/>
        </w:rPr>
        <w:t>The Company expects to deliver significant cost synergies totaling approximately $80 million within eighteen months of closing the Aphria Tilray business combination and plans to achieve cost synergies in the key areas of cultivation and production, cannabis and product purchasing, sales, and marketing, and corporate expenses. To date, the Company has achieved $35 million in synergies.</w:t>
      </w:r>
    </w:p>
    <w:p>
      <w:pPr>
        <w:spacing w:after="0" w:line="188" w:lineRule="exact"/>
        <w:rPr>
          <w:sz w:val="20"/>
          <w:szCs w:val="20"/>
          <w:color w:val="auto"/>
        </w:rPr>
      </w:pPr>
    </w:p>
    <w:p>
      <w:pPr>
        <w:ind w:right="2380"/>
        <w:spacing w:after="0" w:line="492" w:lineRule="auto"/>
        <w:rPr>
          <w:sz w:val="20"/>
          <w:szCs w:val="20"/>
          <w:color w:val="auto"/>
        </w:rPr>
      </w:pPr>
      <w:r>
        <w:rPr>
          <w:rFonts w:ascii="Arial" w:cs="Arial" w:eastAsia="Arial" w:hAnsi="Arial"/>
          <w:sz w:val="19"/>
          <w:szCs w:val="19"/>
          <w:b w:val="1"/>
          <w:bCs w:val="1"/>
          <w:color w:val="auto"/>
        </w:rPr>
        <w:t xml:space="preserve">Recent Business Developments Reflect Strong, Ongoing Global Growth and Opportunity </w:t>
      </w:r>
      <w:r>
        <w:rPr>
          <w:rFonts w:ascii="Arial" w:cs="Arial" w:eastAsia="Arial" w:hAnsi="Arial"/>
          <w:sz w:val="19"/>
          <w:szCs w:val="19"/>
          <w:i w:val="1"/>
          <w:iCs w:val="1"/>
          <w:color w:val="auto"/>
        </w:rPr>
        <w:t>Recent Progress on Expanding International Medical Business and Canadian Adult-Use Product Line</w:t>
      </w:r>
    </w:p>
    <w:p>
      <w:pPr>
        <w:spacing w:after="0" w:line="3" w:lineRule="exact"/>
        <w:rPr>
          <w:sz w:val="20"/>
          <w:szCs w:val="20"/>
          <w:color w:val="auto"/>
        </w:rPr>
      </w:pPr>
    </w:p>
    <w:p>
      <w:pPr>
        <w:ind w:left="800" w:hanging="401"/>
        <w:spacing w:after="0"/>
        <w:tabs>
          <w:tab w:leader="none" w:pos="800" w:val="left"/>
        </w:tabs>
        <w:numPr>
          <w:ilvl w:val="0"/>
          <w:numId w:val="5"/>
        </w:numPr>
        <w:rPr>
          <w:rFonts w:ascii="Arial" w:cs="Arial" w:eastAsia="Arial" w:hAnsi="Arial"/>
          <w:sz w:val="22"/>
          <w:szCs w:val="22"/>
          <w:color w:val="auto"/>
        </w:rPr>
      </w:pPr>
      <w:r>
        <w:rPr>
          <w:rFonts w:ascii="Arial" w:cs="Arial" w:eastAsia="Arial" w:hAnsi="Arial"/>
          <w:sz w:val="20"/>
          <w:szCs w:val="20"/>
          <w:color w:val="auto"/>
        </w:rPr>
        <w:t>Tilray has been gaining market share nationally in Canada month-over-month since April 2021.</w:t>
      </w:r>
    </w:p>
    <w:p>
      <w:pPr>
        <w:spacing w:after="0" w:line="5" w:lineRule="exact"/>
        <w:rPr>
          <w:rFonts w:ascii="Arial" w:cs="Arial" w:eastAsia="Arial" w:hAnsi="Arial"/>
          <w:sz w:val="22"/>
          <w:szCs w:val="22"/>
          <w:color w:val="auto"/>
        </w:rPr>
      </w:pPr>
    </w:p>
    <w:p>
      <w:pPr>
        <w:ind w:left="800" w:right="20" w:hanging="401"/>
        <w:spacing w:after="0" w:line="214" w:lineRule="auto"/>
        <w:tabs>
          <w:tab w:leader="none" w:pos="800" w:val="left"/>
        </w:tabs>
        <w:numPr>
          <w:ilvl w:val="0"/>
          <w:numId w:val="5"/>
        </w:numPr>
        <w:rPr>
          <w:rFonts w:ascii="Arial" w:cs="Arial" w:eastAsia="Arial" w:hAnsi="Arial"/>
          <w:sz w:val="22"/>
          <w:szCs w:val="22"/>
          <w:color w:val="auto"/>
        </w:rPr>
      </w:pPr>
      <w:r>
        <w:rPr>
          <w:rFonts w:ascii="Arial" w:cs="Arial" w:eastAsia="Arial" w:hAnsi="Arial"/>
          <w:sz w:val="20"/>
          <w:szCs w:val="20"/>
          <w:color w:val="auto"/>
        </w:rPr>
        <w:t>On July 19, 2021, our wholly-own subsidiary, SweetWater Brewing Company, the 11</w:t>
      </w:r>
      <w:r>
        <w:rPr>
          <w:rFonts w:ascii="Arial" w:cs="Arial" w:eastAsia="Arial" w:hAnsi="Arial"/>
          <w:sz w:val="16"/>
          <w:szCs w:val="16"/>
          <w:color w:val="auto"/>
        </w:rPr>
        <w:t>th</w:t>
      </w:r>
      <w:r>
        <w:rPr>
          <w:rFonts w:ascii="Arial" w:cs="Arial" w:eastAsia="Arial" w:hAnsi="Arial"/>
          <w:sz w:val="20"/>
          <w:szCs w:val="20"/>
          <w:color w:val="auto"/>
        </w:rPr>
        <w:t xml:space="preserve"> largest craft brewer in the U.S.</w:t>
      </w:r>
      <w:r>
        <w:rPr>
          <w:rFonts w:ascii="Arial" w:cs="Arial" w:eastAsia="Arial" w:hAnsi="Arial"/>
          <w:sz w:val="16"/>
          <w:szCs w:val="16"/>
          <w:color w:val="auto"/>
        </w:rPr>
        <w:t>2</w:t>
      </w:r>
      <w:r>
        <w:rPr>
          <w:rFonts w:ascii="Arial" w:cs="Arial" w:eastAsia="Arial" w:hAnsi="Arial"/>
          <w:sz w:val="20"/>
          <w:szCs w:val="20"/>
          <w:color w:val="auto"/>
        </w:rPr>
        <w:t>, announced the launch of 420 Imperial IPA, the first line extension off of its flagship 420 brand.</w:t>
      </w:r>
    </w:p>
    <w:p>
      <w:pPr>
        <w:spacing w:after="0" w:line="1" w:lineRule="exact"/>
        <w:rPr>
          <w:rFonts w:ascii="Arial" w:cs="Arial" w:eastAsia="Arial" w:hAnsi="Arial"/>
          <w:sz w:val="22"/>
          <w:szCs w:val="22"/>
          <w:color w:val="auto"/>
        </w:rPr>
      </w:pPr>
    </w:p>
    <w:p>
      <w:pPr>
        <w:ind w:left="800" w:hanging="401"/>
        <w:spacing w:after="0" w:line="214" w:lineRule="auto"/>
        <w:tabs>
          <w:tab w:leader="none" w:pos="800" w:val="left"/>
        </w:tabs>
        <w:numPr>
          <w:ilvl w:val="0"/>
          <w:numId w:val="5"/>
        </w:numPr>
        <w:rPr>
          <w:rFonts w:ascii="Arial" w:cs="Arial" w:eastAsia="Arial" w:hAnsi="Arial"/>
          <w:sz w:val="22"/>
          <w:szCs w:val="22"/>
          <w:color w:val="auto"/>
        </w:rPr>
      </w:pPr>
      <w:r>
        <w:rPr>
          <w:rFonts w:ascii="Arial" w:cs="Arial" w:eastAsia="Arial" w:hAnsi="Arial"/>
          <w:sz w:val="20"/>
          <w:szCs w:val="20"/>
          <w:color w:val="auto"/>
        </w:rPr>
        <w:t>On July 12, 2021, SweetWater Brewing Company announced its West Coast expansion including a new Colorado Brewery and the opening of SweetWater Mountain Taphouse at Denver International Airport.</w:t>
      </w:r>
    </w:p>
    <w:p>
      <w:pPr>
        <w:spacing w:after="0" w:line="1" w:lineRule="exact"/>
        <w:rPr>
          <w:rFonts w:ascii="Arial" w:cs="Arial" w:eastAsia="Arial" w:hAnsi="Arial"/>
          <w:sz w:val="22"/>
          <w:szCs w:val="22"/>
          <w:color w:val="auto"/>
        </w:rPr>
      </w:pPr>
    </w:p>
    <w:p>
      <w:pPr>
        <w:ind w:left="800" w:hanging="401"/>
        <w:spacing w:after="0" w:line="214" w:lineRule="auto"/>
        <w:tabs>
          <w:tab w:leader="none" w:pos="800" w:val="left"/>
        </w:tabs>
        <w:numPr>
          <w:ilvl w:val="0"/>
          <w:numId w:val="5"/>
        </w:numPr>
        <w:rPr>
          <w:rFonts w:ascii="Arial" w:cs="Arial" w:eastAsia="Arial" w:hAnsi="Arial"/>
          <w:sz w:val="22"/>
          <w:szCs w:val="22"/>
          <w:color w:val="auto"/>
        </w:rPr>
      </w:pPr>
      <w:r>
        <w:rPr>
          <w:rFonts w:ascii="Arial" w:cs="Arial" w:eastAsia="Arial" w:hAnsi="Arial"/>
          <w:sz w:val="20"/>
          <w:szCs w:val="20"/>
          <w:color w:val="auto"/>
        </w:rPr>
        <w:t>On July 7, 2021, we announced the completion and shipment of the first successful EU GMP-certified medical cannabis harvest grown in Germany for German distribution.</w:t>
      </w:r>
    </w:p>
    <w:p>
      <w:pPr>
        <w:spacing w:after="0" w:line="1" w:lineRule="exact"/>
        <w:rPr>
          <w:rFonts w:ascii="Arial" w:cs="Arial" w:eastAsia="Arial" w:hAnsi="Arial"/>
          <w:sz w:val="22"/>
          <w:szCs w:val="22"/>
          <w:color w:val="auto"/>
        </w:rPr>
      </w:pPr>
    </w:p>
    <w:p>
      <w:pPr>
        <w:jc w:val="both"/>
        <w:ind w:left="800" w:hanging="401"/>
        <w:spacing w:after="0" w:line="218" w:lineRule="auto"/>
        <w:tabs>
          <w:tab w:leader="none" w:pos="800" w:val="left"/>
        </w:tabs>
        <w:numPr>
          <w:ilvl w:val="0"/>
          <w:numId w:val="5"/>
        </w:numPr>
        <w:rPr>
          <w:rFonts w:ascii="Arial" w:cs="Arial" w:eastAsia="Arial" w:hAnsi="Arial"/>
          <w:sz w:val="22"/>
          <w:szCs w:val="22"/>
          <w:color w:val="auto"/>
        </w:rPr>
      </w:pPr>
      <w:r>
        <w:rPr>
          <w:rFonts w:ascii="Arial" w:cs="Arial" w:eastAsia="Arial" w:hAnsi="Arial"/>
          <w:sz w:val="20"/>
          <w:szCs w:val="20"/>
          <w:color w:val="auto"/>
        </w:rPr>
        <w:t>On June 30, 2021, we announced the first cross-brand product collaboration between Canadian craft-cannabis brand Broken Coast and SweetWater to launch U.S. distribution of “Broken Coast BC Lager” and introduce the cannabis brand to consumers across the country.</w:t>
      </w:r>
    </w:p>
    <w:p>
      <w:pPr>
        <w:ind w:left="800" w:right="20" w:hanging="401"/>
        <w:spacing w:after="0" w:line="214" w:lineRule="auto"/>
        <w:tabs>
          <w:tab w:leader="none" w:pos="800" w:val="left"/>
        </w:tabs>
        <w:numPr>
          <w:ilvl w:val="0"/>
          <w:numId w:val="5"/>
        </w:numPr>
        <w:rPr>
          <w:rFonts w:ascii="Arial" w:cs="Arial" w:eastAsia="Arial" w:hAnsi="Arial"/>
          <w:sz w:val="22"/>
          <w:szCs w:val="22"/>
          <w:color w:val="auto"/>
        </w:rPr>
      </w:pPr>
      <w:r>
        <w:rPr>
          <w:rFonts w:ascii="Arial" w:cs="Arial" w:eastAsia="Arial" w:hAnsi="Arial"/>
          <w:sz w:val="20"/>
          <w:szCs w:val="20"/>
          <w:color w:val="auto"/>
        </w:rPr>
        <w:t>On June 25, 2021, our leading Canadian cannabis brand, RIFF, launched new multi-pack of cannabis pre-rolls across Canada.</w:t>
      </w:r>
    </w:p>
    <w:p>
      <w:pPr>
        <w:spacing w:after="0" w:line="1" w:lineRule="exact"/>
        <w:rPr>
          <w:rFonts w:ascii="Arial" w:cs="Arial" w:eastAsia="Arial" w:hAnsi="Arial"/>
          <w:sz w:val="22"/>
          <w:szCs w:val="22"/>
          <w:color w:val="auto"/>
        </w:rPr>
      </w:pPr>
    </w:p>
    <w:p>
      <w:pPr>
        <w:jc w:val="both"/>
        <w:ind w:left="800" w:hanging="401"/>
        <w:spacing w:after="0" w:line="218" w:lineRule="auto"/>
        <w:tabs>
          <w:tab w:leader="none" w:pos="800" w:val="left"/>
        </w:tabs>
        <w:numPr>
          <w:ilvl w:val="0"/>
          <w:numId w:val="5"/>
        </w:numPr>
        <w:rPr>
          <w:rFonts w:ascii="Arial" w:cs="Arial" w:eastAsia="Arial" w:hAnsi="Arial"/>
          <w:sz w:val="22"/>
          <w:szCs w:val="22"/>
          <w:color w:val="auto"/>
        </w:rPr>
      </w:pPr>
      <w:r>
        <w:rPr>
          <w:rFonts w:ascii="Arial" w:cs="Arial" w:eastAsia="Arial" w:hAnsi="Arial"/>
          <w:sz w:val="20"/>
          <w:szCs w:val="20"/>
          <w:color w:val="auto"/>
        </w:rPr>
        <w:t>On June 8, 2021, we launched our new medical cannabis brand, Symbios, across Canada. Symbios is the inaugural brand from the ‘new’ Tilray developed to offer patients a broader spectrum of medical cannabis formats and cannabinoid ratios at a better price point.</w:t>
      </w:r>
    </w:p>
    <w:p>
      <w:pPr>
        <w:ind w:left="800" w:hanging="401"/>
        <w:spacing w:after="0" w:line="224" w:lineRule="auto"/>
        <w:tabs>
          <w:tab w:leader="none" w:pos="800" w:val="left"/>
        </w:tabs>
        <w:numPr>
          <w:ilvl w:val="0"/>
          <w:numId w:val="5"/>
        </w:numPr>
        <w:rPr>
          <w:rFonts w:ascii="Arial" w:cs="Arial" w:eastAsia="Arial" w:hAnsi="Arial"/>
          <w:sz w:val="22"/>
          <w:szCs w:val="22"/>
          <w:color w:val="auto"/>
        </w:rPr>
      </w:pPr>
      <w:r>
        <w:rPr>
          <w:rFonts w:ascii="Arial" w:cs="Arial" w:eastAsia="Arial" w:hAnsi="Arial"/>
          <w:sz w:val="20"/>
          <w:szCs w:val="20"/>
          <w:color w:val="auto"/>
        </w:rPr>
        <w:t>On April 27, 2021, Tilray was named to TIME’s inaugural list of the TIME100 Most Influential Companies in the world.</w:t>
      </w:r>
    </w:p>
    <w:p>
      <w:pPr>
        <w:spacing w:after="0" w:line="158"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Brewers Association Top 50 Brewing Companies by Sales Volume Report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4230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6" w:name="page7"/>
    <w:bookmarkEnd w:id="6"/>
    <w:p>
      <w:pPr>
        <w:spacing w:after="0"/>
        <w:tabs>
          <w:tab w:leader="none" w:pos="9660" w:val="left"/>
        </w:tabs>
        <w:rPr>
          <w:sz w:val="20"/>
          <w:szCs w:val="20"/>
          <w:color w:val="auto"/>
        </w:rPr>
      </w:pPr>
      <w:r>
        <w:rPr>
          <w:rFonts w:ascii="Arial" w:cs="Arial" w:eastAsia="Arial" w:hAnsi="Arial"/>
          <w:sz w:val="29"/>
          <w:szCs w:val="29"/>
          <w:b w:val="1"/>
          <w:bCs w:val="1"/>
          <w:color w:val="767171"/>
        </w:rPr>
        <w:drawing>
          <wp:anchor simplePos="0" relativeHeight="251657728" behindDoc="1" locked="0" layoutInCell="0" allowOverlap="1">
            <wp:simplePos x="0" y="0"/>
            <wp:positionH relativeFrom="page">
              <wp:posOffset>868045</wp:posOffset>
            </wp:positionH>
            <wp:positionV relativeFrom="page">
              <wp:posOffset>97155</wp:posOffset>
            </wp:positionV>
            <wp:extent cx="2245995"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45995" cy="497205"/>
                    </a:xfrm>
                    <a:prstGeom prst="rect">
                      <a:avLst/>
                    </a:prstGeom>
                    <a:noFill/>
                  </pic:spPr>
                </pic:pic>
              </a:graphicData>
            </a:graphic>
          </wp:anchor>
        </w:drawing>
        <w:t>PRESS RELEASE</w:t>
      </w:r>
      <w:r>
        <w:rPr>
          <w:sz w:val="20"/>
          <w:szCs w:val="20"/>
          <w:color w:val="auto"/>
        </w:rPr>
        <w:tab/>
      </w:r>
      <w:r>
        <w:rPr>
          <w:rFonts w:ascii="Arial" w:cs="Arial" w:eastAsia="Arial" w:hAnsi="Arial"/>
          <w:sz w:val="25"/>
          <w:szCs w:val="25"/>
          <w:b w:val="1"/>
          <w:bCs w:val="1"/>
          <w:color w:val="767171"/>
        </w:rPr>
        <w:t>July 28, 2021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24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Tilray will host a conference call to discuss these results today at 8:30 a.m. ET. Investors interested in participating in the live call can dial (877) 407-0792 from Canada and the U.S. or (201) 689-8263 from international locations.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There will also be a simultaneous, live webcast available on the Investors section of the Company’s website at www.tilray.com.</w:t>
      </w:r>
    </w:p>
    <w:p>
      <w:pPr>
        <w:spacing w:after="0"/>
        <w:rPr>
          <w:sz w:val="20"/>
          <w:szCs w:val="20"/>
          <w:color w:val="auto"/>
        </w:rPr>
      </w:pPr>
      <w:r>
        <w:rPr>
          <w:rFonts w:ascii="Arial" w:cs="Arial" w:eastAsia="Arial" w:hAnsi="Arial"/>
          <w:sz w:val="20"/>
          <w:szCs w:val="20"/>
          <w:color w:val="auto"/>
        </w:rPr>
        <w:t>The webcast will also be archived after the call concludes.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About Tilray®</w:t>
      </w:r>
    </w:p>
    <w:p>
      <w:pPr>
        <w:spacing w:after="0" w:line="240"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Tilray, Inc. is a leading global cannabis-lifestyle and consumer packaged goods company with operations in Canada, the United States, Europe, Australia, and Latin America that is changing people's lives for the better – one person at a time – by inspiring and empowering the worldwide community to live their very best life by providing them with products that meet the needs of their mind, body, and soul and invoke a sense of wellbeing. Tilray’s mission is to be the trusted partner for its patients and consumers by providing them with a cultivated experience and health and wellbeing through high-quality, differentiated brands and innovative products. A pioneer in cannabis research, cultivation, and distribution, Tilray’s unprecedented production platform supports over 20 brands in over 20 countries, including comprehensive cannabis offerings, hemp-based foods, and alcoholic beverages.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on how we open a world of wellbeing, visit www.Tilray.com.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Cautionary Statement Concerning Forward-Looking Statements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statements contained in this press release constitute "forward-looking statements" within the meaning of federal securities laws, including the Private Securities Litigation Reform Act of 1995. Forward-looking statements are predictions based on expectations and projections about future events and are not statements of historical fact. You can identify forward-looking statements by the use of forward-</w:t>
      </w:r>
      <w:r>
        <w:rPr>
          <w:rFonts w:ascii="Arial" w:cs="Arial" w:eastAsia="Arial" w:hAnsi="Arial"/>
          <w:sz w:val="18"/>
          <w:szCs w:val="18"/>
          <w:color w:val="auto"/>
          <w:highlight w:val="white"/>
        </w:rPr>
        <w:t xml:space="preserve">looking terminology such as "plan," "continue," "expect," "anticipate," "intend," "predict," "project," "estimate," "likely," "believe," "might," "seek," "may," "will," "remain," "potential," "can," "should," "could," "future" and similar expressions, or the negative of those expressions, or </w:t>
      </w:r>
      <w:r>
        <w:rPr>
          <w:rFonts w:ascii="Arial" w:cs="Arial" w:eastAsia="Arial" w:hAnsi="Arial"/>
          <w:sz w:val="18"/>
          <w:szCs w:val="18"/>
          <w:color w:val="auto"/>
        </w:rPr>
        <w:t xml:space="preserve">similar words or phrases that are predictions of or indicate future events or trends and that do not relate solely to historical matters. You can also identify forward-looking statements by discussions of the Company's strategic initiatives, including productivity and synergies initiatives, </w:t>
      </w:r>
      <w:r>
        <w:rPr>
          <w:rFonts w:ascii="Arial" w:cs="Arial" w:eastAsia="Arial" w:hAnsi="Arial"/>
          <w:sz w:val="18"/>
          <w:szCs w:val="18"/>
          <w:color w:val="auto"/>
          <w:highlight w:val="white"/>
        </w:rPr>
        <w:t>our future performance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-1032510</wp:posOffset>
            </wp:positionV>
            <wp:extent cx="7132320" cy="386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-389890</wp:posOffset>
            </wp:positionV>
            <wp:extent cx="7123430"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257175"/>
                    </a:xfrm>
                    <a:prstGeom prst="rect">
                      <a:avLst/>
                    </a:prstGeom>
                    <a:noFill/>
                  </pic:spPr>
                </pic:pic>
              </a:graphicData>
            </a:graphic>
          </wp:anchor>
        </w:drawing>
      </w:r>
    </w:p>
    <w:p>
      <w:pPr>
        <w:spacing w:after="0" w:line="18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highlight w:val="white"/>
        </w:rPr>
        <w:t xml:space="preserve">Forward-looking statements involve known and unknown risks, uncertainties and other factors which may cause the actual results, levels of activity, performance or achievements of the Company, or industry results, to be materially different from any future results, levels of activity, performance or achievements expressed or implied by such forward-looking statements, and you should not rely on them as predictions of </w:t>
      </w:r>
      <w:r>
        <w:rPr>
          <w:rFonts w:ascii="Arial" w:cs="Arial" w:eastAsia="Arial" w:hAnsi="Arial"/>
          <w:sz w:val="18"/>
          <w:szCs w:val="18"/>
          <w:color w:val="auto"/>
        </w:rPr>
        <w:t>future events. Forward-looking statements depend on assumptions, data or methods that may be incorrect or imprecise and may not be able to be realized. We do not guarantee that the transactions and events described will happen as described (or that they will happen at all). Forward-looking statements include statements regarding our intentions, beliefs, projections, outlook, analyses or current expectations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jc w:val="both"/>
        <w:spacing w:after="0" w:line="241" w:lineRule="auto"/>
        <w:rPr>
          <w:sz w:val="20"/>
          <w:szCs w:val="20"/>
          <w:color w:val="auto"/>
        </w:rPr>
      </w:pPr>
      <w:r>
        <w:rPr>
          <w:rFonts w:ascii="Arial" w:cs="Arial" w:eastAsia="Arial" w:hAnsi="Arial"/>
          <w:sz w:val="18"/>
          <w:szCs w:val="18"/>
          <w:color w:val="auto"/>
        </w:rPr>
        <w:t xml:space="preserve">our business as well </w:t>
      </w:r>
      <w:r>
        <w:rPr>
          <w:rFonts w:ascii="Arial" w:cs="Arial" w:eastAsia="Arial" w:hAnsi="Arial"/>
          <w:sz w:val="21"/>
          <w:szCs w:val="21"/>
          <w:color w:val="auto"/>
        </w:rPr>
        <w:t>as</w:t>
      </w:r>
      <w:r>
        <w:rPr>
          <w:rFonts w:ascii="Arial" w:cs="Arial" w:eastAsia="Arial" w:hAnsi="Arial"/>
          <w:sz w:val="18"/>
          <w:szCs w:val="18"/>
          <w:color w:val="auto"/>
        </w:rPr>
        <w:t xml:space="preserve"> challenges and uncertainty resulting from the COVID-19 pandemic. Certain material factors, estimates, goals, projections or assumptions were used in drawing the conclusions contained in the forward- looking statements throughout this communication. Many factors could cause actual results, performance or achievement to be materially different from any forward-looking statements, and other risks and uncertainties not presently known to the Company or that the Company deems immaterial could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7" w:name="page8"/>
    <w:bookmarkEnd w:id="7"/>
    <w:p>
      <w:pPr>
        <w:spacing w:after="0"/>
        <w:tabs>
          <w:tab w:leader="none" w:pos="9660" w:val="left"/>
        </w:tabs>
        <w:rPr>
          <w:sz w:val="20"/>
          <w:szCs w:val="20"/>
          <w:color w:val="auto"/>
        </w:rPr>
      </w:pPr>
      <w:r>
        <w:rPr>
          <w:rFonts w:ascii="Arial" w:cs="Arial" w:eastAsia="Arial" w:hAnsi="Arial"/>
          <w:sz w:val="29"/>
          <w:szCs w:val="29"/>
          <w:b w:val="1"/>
          <w:bCs w:val="1"/>
          <w:color w:val="767171"/>
        </w:rPr>
        <w:drawing>
          <wp:anchor simplePos="0" relativeHeight="251657728" behindDoc="1" locked="0" layoutInCell="0" allowOverlap="1">
            <wp:simplePos x="0" y="0"/>
            <wp:positionH relativeFrom="page">
              <wp:posOffset>868045</wp:posOffset>
            </wp:positionH>
            <wp:positionV relativeFrom="page">
              <wp:posOffset>97155</wp:posOffset>
            </wp:positionV>
            <wp:extent cx="2245995" cy="497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2245995" cy="497205"/>
                    </a:xfrm>
                    <a:prstGeom prst="rect">
                      <a:avLst/>
                    </a:prstGeom>
                    <a:noFill/>
                  </pic:spPr>
                </pic:pic>
              </a:graphicData>
            </a:graphic>
          </wp:anchor>
        </w:drawing>
        <w:t>PRESS RELEASE</w:t>
      </w:r>
      <w:r>
        <w:rPr>
          <w:sz w:val="20"/>
          <w:szCs w:val="20"/>
          <w:color w:val="auto"/>
        </w:rPr>
        <w:tab/>
      </w:r>
      <w:r>
        <w:rPr>
          <w:rFonts w:ascii="Arial" w:cs="Arial" w:eastAsia="Arial" w:hAnsi="Arial"/>
          <w:sz w:val="25"/>
          <w:szCs w:val="25"/>
          <w:b w:val="1"/>
          <w:bCs w:val="1"/>
          <w:color w:val="767171"/>
        </w:rPr>
        <w:t>July 28, 2021</w:t>
      </w:r>
    </w:p>
    <w:p>
      <w:pPr>
        <w:spacing w:after="0" w:line="3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also cause actual results or events to differ materially from those expressed in the forward-looking statements contained herein. For a more detailed discussion of these risks and other factors, see the Annual Report on Form 10-K of Tilray for the fiscal year ended May 31, 2021. The forward-looking statements included in this communication are made as of the date of this communication and the Company does not undertake any obligation to publicly update such forward-looking statements to reflect new information, subsequent events or otherwise unless required by applicable securities 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highlight w:val="white"/>
        </w:rPr>
        <w:t>Use of Non-U.S. GAAP Financial Measures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and the accompanying tables include non-GAAP financial measures, including adjusted gross margin, Adjusted EBITDA and free cash flow. Management believes that the non-GAAP financial measures presented provide useful additional information to investors about current trends in the Company's operations and are useful for period-over-period comparisons of operations. These non-GAAP financial measures should not be considered in isolation or as a substitute for the comparable GAAP measures. In addition, these non-GAAP measures may not be the same as similar measures provided by other companies due to potential differences in methods of calculation and items being excluded. They should be read only in connection with the Company's Consolidated Statements of Operations and Cash Flows presented in accordance with GAAP.</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Adjusted EBITDA is calculated as net income (loss) before inventory valuation adjustments; interest expenses, net; other expenses (income), net; deferred income tax (recoveries) expenses, current income tax expenses (benefit); foreign exchange gain (loss), net; depreciation and amortization expenses; stock-based compensation expenses; loss from equity method investments; loss on disposal of property and equipment; amortization of inventory step-up; severance costs; impairment of assets; and change in fair value of warrant liability. A reconciliation of Adjusted EBITDA to net loss, the most directly comparable GAAP measure, has been provided in the financial statement tables included below in this press release. Gross margin, excluding inventory valuation adjustments, is calculated as revenue less cost of sales adjusted to add back inventory valuation adjustments and amortization of inventory step-up, divided by revenue. A reconciliation of Gross margin, excluding inventory valuation adjustments, to gross margin, the most directly comparable GAAP measure, has been provided in the financial statement tables included below in this press release. Free cash flow is comprised of two GAAP measures deducted from</w:t>
      </w:r>
    </w:p>
    <w:p>
      <w:pPr>
        <w:spacing w:after="0" w:line="1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each other which are net cash flow provided by (used in) operating activities less investments in capital and intangible assets. A reconciliation of net cash flow provided by (used in) operating activities to free cash flow, the most directly comparable GAAP measure, has been provided in the financial statement tables included below in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highlight w:val="white"/>
        </w:rPr>
        <w:t>For further information:</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Media: Berrin Noorata, </w:t>
      </w:r>
      <w:r>
        <w:rPr>
          <w:rFonts w:ascii="Arial" w:cs="Arial" w:eastAsia="Arial" w:hAnsi="Arial"/>
          <w:sz w:val="21"/>
          <w:szCs w:val="21"/>
          <w:u w:val="single" w:color="auto"/>
          <w:color w:val="auto"/>
        </w:rPr>
        <w:t>news@tilray.com</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Investors: Raphael Gross, +1-203-682-8253, </w:t>
      </w:r>
      <w:r>
        <w:rPr>
          <w:rFonts w:ascii="Arial" w:cs="Arial" w:eastAsia="Arial" w:hAnsi="Arial"/>
          <w:sz w:val="21"/>
          <w:szCs w:val="21"/>
          <w:u w:val="single" w:color="auto"/>
          <w:color w:val="auto"/>
        </w:rPr>
        <w:t>Raphael.Gross@icrinc.com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8" w:name="page9"/>
    <w:bookmarkEnd w:id="8"/>
    <w:p>
      <w:pPr>
        <w:spacing w:after="0"/>
        <w:tabs>
          <w:tab w:leader="none" w:pos="9660" w:val="left"/>
        </w:tabs>
        <w:rPr>
          <w:sz w:val="20"/>
          <w:szCs w:val="20"/>
          <w:color w:val="auto"/>
        </w:rPr>
      </w:pPr>
      <w:r>
        <w:rPr>
          <w:rFonts w:ascii="Arial" w:cs="Arial" w:eastAsia="Arial" w:hAnsi="Arial"/>
          <w:sz w:val="29"/>
          <w:szCs w:val="29"/>
          <w:b w:val="1"/>
          <w:bCs w:val="1"/>
          <w:color w:val="767171"/>
        </w:rPr>
        <w:drawing>
          <wp:anchor simplePos="0" relativeHeight="251657728" behindDoc="1" locked="0" layoutInCell="0" allowOverlap="1">
            <wp:simplePos x="0" y="0"/>
            <wp:positionH relativeFrom="page">
              <wp:posOffset>868045</wp:posOffset>
            </wp:positionH>
            <wp:positionV relativeFrom="page">
              <wp:posOffset>97155</wp:posOffset>
            </wp:positionV>
            <wp:extent cx="2245995" cy="497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2245995" cy="497205"/>
                    </a:xfrm>
                    <a:prstGeom prst="rect">
                      <a:avLst/>
                    </a:prstGeom>
                    <a:noFill/>
                  </pic:spPr>
                </pic:pic>
              </a:graphicData>
            </a:graphic>
          </wp:anchor>
        </w:drawing>
        <w:t>PRESS RELEASE</w:t>
      </w:r>
      <w:r>
        <w:rPr>
          <w:sz w:val="20"/>
          <w:szCs w:val="20"/>
          <w:color w:val="auto"/>
        </w:rPr>
        <w:tab/>
      </w:r>
      <w:r>
        <w:rPr>
          <w:rFonts w:ascii="Arial" w:cs="Arial" w:eastAsia="Arial" w:hAnsi="Arial"/>
          <w:sz w:val="25"/>
          <w:szCs w:val="25"/>
          <w:b w:val="1"/>
          <w:bCs w:val="1"/>
          <w:color w:val="767171"/>
        </w:rPr>
        <w:t>July 28, 2021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left="540"/>
        <w:spacing w:after="0"/>
        <w:rPr>
          <w:sz w:val="20"/>
          <w:szCs w:val="20"/>
          <w:color w:val="auto"/>
        </w:rPr>
      </w:pPr>
      <w:r>
        <w:rPr>
          <w:rFonts w:ascii="Arial" w:cs="Arial" w:eastAsia="Arial" w:hAnsi="Arial"/>
          <w:sz w:val="20"/>
          <w:szCs w:val="20"/>
          <w:b w:val="1"/>
          <w:bCs w:val="1"/>
          <w:color w:val="auto"/>
        </w:rPr>
        <w:t>PRESENTATION OF FINANCIAL AND OTHER INFORMATION</w:t>
      </w:r>
    </w:p>
    <w:p>
      <w:pPr>
        <w:spacing w:after="0" w:line="118" w:lineRule="exact"/>
        <w:rPr>
          <w:sz w:val="20"/>
          <w:szCs w:val="20"/>
          <w:color w:val="auto"/>
        </w:rPr>
      </w:pPr>
    </w:p>
    <w:p>
      <w:pPr>
        <w:jc w:val="both"/>
        <w:ind w:right="40" w:firstLine="546"/>
        <w:spacing w:after="0" w:line="230" w:lineRule="auto"/>
        <w:rPr>
          <w:sz w:val="20"/>
          <w:szCs w:val="20"/>
          <w:color w:val="auto"/>
        </w:rPr>
      </w:pPr>
      <w:r>
        <w:rPr>
          <w:rFonts w:ascii="Arial" w:cs="Arial" w:eastAsia="Arial" w:hAnsi="Arial"/>
          <w:sz w:val="20"/>
          <w:szCs w:val="20"/>
          <w:color w:val="auto"/>
        </w:rPr>
        <w:t>As a result of the Arrangement on April 30, 2021, the results of operations included herein for the three months and fiscal year ended May 31, 2021 include the result of Aphria for the three and twelve months ended May 31, 2021, respectively and the results of Tilray beginning after April 30, 2021 for the one month ended May 31, 2021. The operating results for the prior periods are those of Aphria.</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Financial Position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6"/>
                <w:szCs w:val="16"/>
                <w:b w:val="1"/>
                <w:bCs w:val="1"/>
                <w:color w:val="auto"/>
              </w:rPr>
              <w:t>May 31,</w:t>
            </w:r>
          </w:p>
        </w:tc>
        <w:tc>
          <w:tcPr>
            <w:tcW w:w="280" w:type="dxa"/>
            <w:vAlign w:val="bottom"/>
          </w:tcPr>
          <w:p>
            <w:pPr>
              <w:spacing w:after="0"/>
              <w:rPr>
                <w:sz w:val="17"/>
                <w:szCs w:val="17"/>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May 31,</w:t>
            </w:r>
          </w:p>
        </w:tc>
      </w:tr>
      <w:tr>
        <w:trPr>
          <w:trHeight w:val="216"/>
        </w:trPr>
        <w:tc>
          <w:tcPr>
            <w:tcW w:w="56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 of United States dollars)</w:t>
            </w:r>
          </w:p>
        </w:tc>
        <w:tc>
          <w:tcPr>
            <w:tcW w:w="2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09"/>
        </w:trPr>
        <w:tc>
          <w:tcPr>
            <w:tcW w:w="5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60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2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488,466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360,646</w:t>
            </w:r>
          </w:p>
        </w:tc>
        <w:tc>
          <w:tcPr>
            <w:tcW w:w="100" w:type="dxa"/>
            <w:vAlign w:val="bottom"/>
            <w:shd w:val="clear" w:color="auto" w:fill="CFF0FC"/>
          </w:tcPr>
          <w:p>
            <w:pPr>
              <w:spacing w:after="0"/>
              <w:rPr>
                <w:sz w:val="19"/>
                <w:szCs w:val="19"/>
                <w:color w:val="auto"/>
              </w:rPr>
            </w:pPr>
          </w:p>
        </w:tc>
      </w:tr>
      <w:tr>
        <w:trPr>
          <w:trHeight w:val="213"/>
        </w:trPr>
        <w:tc>
          <w:tcPr>
            <w:tcW w:w="5600" w:type="dxa"/>
            <w:vAlign w:val="bottom"/>
          </w:tcPr>
          <w:p>
            <w:pPr>
              <w:ind w:left="260"/>
              <w:spacing w:after="0"/>
              <w:rPr>
                <w:sz w:val="20"/>
                <w:szCs w:val="20"/>
                <w:color w:val="auto"/>
              </w:rPr>
            </w:pPr>
            <w:r>
              <w:rPr>
                <w:rFonts w:ascii="Arial" w:cs="Arial" w:eastAsia="Arial" w:hAnsi="Arial"/>
                <w:sz w:val="16"/>
                <w:szCs w:val="16"/>
                <w:color w:val="auto"/>
              </w:rPr>
              <w:t>Accounts receivable, net</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87,309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37,931</w:t>
            </w:r>
          </w:p>
        </w:tc>
        <w:tc>
          <w:tcPr>
            <w:tcW w:w="100" w:type="dxa"/>
            <w:vAlign w:val="bottom"/>
          </w:tcPr>
          <w:p>
            <w:pPr>
              <w:spacing w:after="0"/>
              <w:rPr>
                <w:sz w:val="18"/>
                <w:szCs w:val="18"/>
                <w:color w:val="auto"/>
              </w:rPr>
            </w:pPr>
          </w:p>
        </w:tc>
      </w:tr>
      <w:tr>
        <w:trPr>
          <w:trHeight w:val="219"/>
        </w:trPr>
        <w:tc>
          <w:tcPr>
            <w:tcW w:w="5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Inventory</w:t>
            </w:r>
          </w:p>
        </w:tc>
        <w:tc>
          <w:tcPr>
            <w:tcW w:w="2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256,429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139,781</w:t>
            </w:r>
          </w:p>
        </w:tc>
        <w:tc>
          <w:tcPr>
            <w:tcW w:w="100" w:type="dxa"/>
            <w:vAlign w:val="bottom"/>
            <w:shd w:val="clear" w:color="auto" w:fill="CFF0FC"/>
          </w:tcPr>
          <w:p>
            <w:pPr>
              <w:spacing w:after="0"/>
              <w:rPr>
                <w:sz w:val="19"/>
                <w:szCs w:val="19"/>
                <w:color w:val="auto"/>
              </w:rPr>
            </w:pPr>
          </w:p>
        </w:tc>
      </w:tr>
      <w:tr>
        <w:trPr>
          <w:trHeight w:val="213"/>
        </w:trPr>
        <w:tc>
          <w:tcPr>
            <w:tcW w:w="5600" w:type="dxa"/>
            <w:vAlign w:val="bottom"/>
          </w:tcPr>
          <w:p>
            <w:pPr>
              <w:ind w:left="260"/>
              <w:spacing w:after="0"/>
              <w:rPr>
                <w:sz w:val="20"/>
                <w:szCs w:val="20"/>
                <w:color w:val="auto"/>
              </w:rPr>
            </w:pPr>
            <w:r>
              <w:rPr>
                <w:rFonts w:ascii="Arial" w:cs="Arial" w:eastAsia="Arial" w:hAnsi="Arial"/>
                <w:sz w:val="16"/>
                <w:szCs w:val="16"/>
                <w:color w:val="auto"/>
              </w:rPr>
              <w:t>Prepaids and other current assets</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48,920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32,660</w:t>
            </w:r>
          </w:p>
        </w:tc>
        <w:tc>
          <w:tcPr>
            <w:tcW w:w="100" w:type="dxa"/>
            <w:vAlign w:val="bottom"/>
          </w:tcPr>
          <w:p>
            <w:pPr>
              <w:spacing w:after="0"/>
              <w:rPr>
                <w:sz w:val="18"/>
                <w:szCs w:val="18"/>
                <w:color w:val="auto"/>
              </w:rPr>
            </w:pPr>
          </w:p>
        </w:tc>
      </w:tr>
      <w:tr>
        <w:trPr>
          <w:trHeight w:val="219"/>
        </w:trPr>
        <w:tc>
          <w:tcPr>
            <w:tcW w:w="5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Convertible notes receivable</w:t>
            </w:r>
          </w:p>
        </w:tc>
        <w:tc>
          <w:tcPr>
            <w:tcW w:w="2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2,485</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10,609</w:t>
            </w:r>
          </w:p>
        </w:tc>
        <w:tc>
          <w:tcPr>
            <w:tcW w:w="100" w:type="dxa"/>
            <w:vAlign w:val="bottom"/>
            <w:shd w:val="clear" w:color="auto" w:fill="CFF0FC"/>
          </w:tcPr>
          <w:p>
            <w:pPr>
              <w:spacing w:after="0"/>
              <w:rPr>
                <w:sz w:val="19"/>
                <w:szCs w:val="19"/>
                <w:color w:val="auto"/>
              </w:rPr>
            </w:pPr>
          </w:p>
        </w:tc>
      </w:tr>
      <w:tr>
        <w:trPr>
          <w:trHeight w:val="207"/>
        </w:trPr>
        <w:tc>
          <w:tcPr>
            <w:tcW w:w="560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2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883,609</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581,627</w:t>
            </w:r>
          </w:p>
        </w:tc>
        <w:tc>
          <w:tcPr>
            <w:tcW w:w="100" w:type="dxa"/>
            <w:vAlign w:val="bottom"/>
          </w:tcPr>
          <w:p>
            <w:pPr>
              <w:spacing w:after="0"/>
              <w:rPr>
                <w:sz w:val="17"/>
                <w:szCs w:val="17"/>
                <w:color w:val="auto"/>
              </w:rPr>
            </w:pPr>
          </w:p>
        </w:tc>
      </w:tr>
      <w:tr>
        <w:trPr>
          <w:trHeight w:val="219"/>
        </w:trPr>
        <w:tc>
          <w:tcPr>
            <w:tcW w:w="5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 assets</w:t>
            </w:r>
          </w:p>
        </w:tc>
        <w:tc>
          <w:tcPr>
            <w:tcW w:w="2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650,698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420,706</w:t>
            </w:r>
          </w:p>
        </w:tc>
        <w:tc>
          <w:tcPr>
            <w:tcW w:w="100" w:type="dxa"/>
            <w:vAlign w:val="bottom"/>
            <w:shd w:val="clear" w:color="auto" w:fill="CFF0FC"/>
          </w:tcPr>
          <w:p>
            <w:pPr>
              <w:spacing w:after="0"/>
              <w:rPr>
                <w:sz w:val="19"/>
                <w:szCs w:val="19"/>
                <w:color w:val="auto"/>
              </w:rPr>
            </w:pPr>
          </w:p>
        </w:tc>
      </w:tr>
      <w:tr>
        <w:trPr>
          <w:trHeight w:val="213"/>
        </w:trPr>
        <w:tc>
          <w:tcPr>
            <w:tcW w:w="5600" w:type="dxa"/>
            <w:vAlign w:val="bottom"/>
          </w:tcPr>
          <w:p>
            <w:pPr>
              <w:ind w:left="260"/>
              <w:spacing w:after="0"/>
              <w:rPr>
                <w:sz w:val="20"/>
                <w:szCs w:val="20"/>
                <w:color w:val="auto"/>
              </w:rPr>
            </w:pPr>
            <w:r>
              <w:rPr>
                <w:rFonts w:ascii="Arial" w:cs="Arial" w:eastAsia="Arial" w:hAnsi="Arial"/>
                <w:sz w:val="16"/>
                <w:szCs w:val="16"/>
                <w:color w:val="auto"/>
              </w:rPr>
              <w:t>Right-of-use assets</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18,267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5,356</w:t>
            </w:r>
          </w:p>
        </w:tc>
        <w:tc>
          <w:tcPr>
            <w:tcW w:w="100" w:type="dxa"/>
            <w:vAlign w:val="bottom"/>
          </w:tcPr>
          <w:p>
            <w:pPr>
              <w:spacing w:after="0"/>
              <w:rPr>
                <w:sz w:val="18"/>
                <w:szCs w:val="18"/>
                <w:color w:val="auto"/>
              </w:rPr>
            </w:pPr>
          </w:p>
        </w:tc>
      </w:tr>
      <w:tr>
        <w:trPr>
          <w:trHeight w:val="219"/>
        </w:trPr>
        <w:tc>
          <w:tcPr>
            <w:tcW w:w="5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Intangible assets</w:t>
            </w:r>
          </w:p>
        </w:tc>
        <w:tc>
          <w:tcPr>
            <w:tcW w:w="2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1,605,918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263,318</w:t>
            </w:r>
          </w:p>
        </w:tc>
        <w:tc>
          <w:tcPr>
            <w:tcW w:w="100" w:type="dxa"/>
            <w:vAlign w:val="bottom"/>
            <w:shd w:val="clear" w:color="auto" w:fill="CFF0FC"/>
          </w:tcPr>
          <w:p>
            <w:pPr>
              <w:spacing w:after="0"/>
              <w:rPr>
                <w:sz w:val="19"/>
                <w:szCs w:val="19"/>
                <w:color w:val="auto"/>
              </w:rPr>
            </w:pPr>
          </w:p>
        </w:tc>
      </w:tr>
      <w:tr>
        <w:trPr>
          <w:trHeight w:val="213"/>
        </w:trPr>
        <w:tc>
          <w:tcPr>
            <w:tcW w:w="5600" w:type="dxa"/>
            <w:vAlign w:val="bottom"/>
          </w:tcPr>
          <w:p>
            <w:pPr>
              <w:ind w:left="260"/>
              <w:spacing w:after="0"/>
              <w:rPr>
                <w:sz w:val="20"/>
                <w:szCs w:val="20"/>
                <w:color w:val="auto"/>
              </w:rPr>
            </w:pPr>
            <w:r>
              <w:rPr>
                <w:rFonts w:ascii="Arial" w:cs="Arial" w:eastAsia="Arial" w:hAnsi="Arial"/>
                <w:sz w:val="16"/>
                <w:szCs w:val="16"/>
                <w:color w:val="auto"/>
              </w:rPr>
              <w:t>Goodwill</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2,832,794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447,330</w:t>
            </w:r>
          </w:p>
        </w:tc>
        <w:tc>
          <w:tcPr>
            <w:tcW w:w="100" w:type="dxa"/>
            <w:vAlign w:val="bottom"/>
          </w:tcPr>
          <w:p>
            <w:pPr>
              <w:spacing w:after="0"/>
              <w:rPr>
                <w:sz w:val="18"/>
                <w:szCs w:val="18"/>
                <w:color w:val="auto"/>
              </w:rPr>
            </w:pPr>
          </w:p>
        </w:tc>
      </w:tr>
      <w:tr>
        <w:trPr>
          <w:trHeight w:val="219"/>
        </w:trPr>
        <w:tc>
          <w:tcPr>
            <w:tcW w:w="5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 equity investees</w:t>
            </w:r>
          </w:p>
        </w:tc>
        <w:tc>
          <w:tcPr>
            <w:tcW w:w="2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8,106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5600" w:type="dxa"/>
            <w:vAlign w:val="bottom"/>
          </w:tcPr>
          <w:p>
            <w:pPr>
              <w:ind w:left="260"/>
              <w:spacing w:after="0"/>
              <w:rPr>
                <w:sz w:val="20"/>
                <w:szCs w:val="20"/>
                <w:color w:val="auto"/>
              </w:rPr>
            </w:pPr>
            <w:r>
              <w:rPr>
                <w:rFonts w:ascii="Arial" w:cs="Arial" w:eastAsia="Arial" w:hAnsi="Arial"/>
                <w:sz w:val="16"/>
                <w:szCs w:val="16"/>
                <w:color w:val="auto"/>
              </w:rPr>
              <w:t>Long-term investments</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17,685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19,595</w:t>
            </w:r>
          </w:p>
        </w:tc>
        <w:tc>
          <w:tcPr>
            <w:tcW w:w="100" w:type="dxa"/>
            <w:vAlign w:val="bottom"/>
          </w:tcPr>
          <w:p>
            <w:pPr>
              <w:spacing w:after="0"/>
              <w:rPr>
                <w:sz w:val="18"/>
                <w:szCs w:val="18"/>
                <w:color w:val="auto"/>
              </w:rPr>
            </w:pPr>
          </w:p>
        </w:tc>
      </w:tr>
      <w:tr>
        <w:trPr>
          <w:trHeight w:val="219"/>
        </w:trPr>
        <w:tc>
          <w:tcPr>
            <w:tcW w:w="5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2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8,285</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47"/>
        </w:trPr>
        <w:tc>
          <w:tcPr>
            <w:tcW w:w="560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2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6,025,362</w:t>
            </w:r>
          </w:p>
        </w:tc>
        <w:tc>
          <w:tcPr>
            <w:tcW w:w="280" w:type="dxa"/>
            <w:vAlign w:val="bottom"/>
          </w:tcPr>
          <w:p>
            <w:pPr>
              <w:spacing w:after="0"/>
              <w:rPr>
                <w:sz w:val="21"/>
                <w:szCs w:val="21"/>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1,737,932</w:t>
            </w:r>
          </w:p>
        </w:tc>
        <w:tc>
          <w:tcPr>
            <w:tcW w:w="100" w:type="dxa"/>
            <w:vAlign w:val="bottom"/>
          </w:tcPr>
          <w:p>
            <w:pPr>
              <w:spacing w:after="0"/>
              <w:rPr>
                <w:sz w:val="21"/>
                <w:szCs w:val="21"/>
                <w:color w:val="auto"/>
              </w:rPr>
            </w:pPr>
          </w:p>
        </w:tc>
      </w:tr>
      <w:tr>
        <w:trPr>
          <w:trHeight w:val="199"/>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21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560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Bank indebtedness</w:t>
            </w:r>
          </w:p>
        </w:tc>
        <w:tc>
          <w:tcPr>
            <w:tcW w:w="2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8,717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FF0FC"/>
          </w:tcPr>
          <w:p>
            <w:pPr>
              <w:spacing w:after="0"/>
              <w:rPr>
                <w:sz w:val="19"/>
                <w:szCs w:val="19"/>
                <w:color w:val="auto"/>
              </w:rPr>
            </w:pPr>
          </w:p>
        </w:tc>
      </w:tr>
      <w:tr>
        <w:trPr>
          <w:trHeight w:val="213"/>
        </w:trPr>
        <w:tc>
          <w:tcPr>
            <w:tcW w:w="5600" w:type="dxa"/>
            <w:vAlign w:val="bottom"/>
          </w:tcPr>
          <w:p>
            <w:pPr>
              <w:ind w:left="260"/>
              <w:spacing w:after="0"/>
              <w:rPr>
                <w:sz w:val="20"/>
                <w:szCs w:val="20"/>
                <w:color w:val="auto"/>
              </w:rPr>
            </w:pPr>
            <w:r>
              <w:rPr>
                <w:rFonts w:ascii="Arial" w:cs="Arial" w:eastAsia="Arial" w:hAnsi="Arial"/>
                <w:sz w:val="16"/>
                <w:szCs w:val="16"/>
                <w:color w:val="auto"/>
              </w:rPr>
              <w:t>Accounts payable and accrued liabilities</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212,813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112,411</w:t>
            </w:r>
          </w:p>
        </w:tc>
        <w:tc>
          <w:tcPr>
            <w:tcW w:w="100" w:type="dxa"/>
            <w:vAlign w:val="bottom"/>
          </w:tcPr>
          <w:p>
            <w:pPr>
              <w:spacing w:after="0"/>
              <w:rPr>
                <w:sz w:val="18"/>
                <w:szCs w:val="18"/>
                <w:color w:val="auto"/>
              </w:rPr>
            </w:pPr>
          </w:p>
        </w:tc>
      </w:tr>
      <w:tr>
        <w:trPr>
          <w:trHeight w:val="219"/>
        </w:trPr>
        <w:tc>
          <w:tcPr>
            <w:tcW w:w="5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Contingent consideration</w:t>
            </w:r>
          </w:p>
        </w:tc>
        <w:tc>
          <w:tcPr>
            <w:tcW w:w="2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60,657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5600" w:type="dxa"/>
            <w:vAlign w:val="bottom"/>
          </w:tcPr>
          <w:p>
            <w:pPr>
              <w:ind w:left="260"/>
              <w:spacing w:after="0"/>
              <w:rPr>
                <w:sz w:val="20"/>
                <w:szCs w:val="20"/>
                <w:color w:val="auto"/>
              </w:rPr>
            </w:pPr>
            <w:r>
              <w:rPr>
                <w:rFonts w:ascii="Arial" w:cs="Arial" w:eastAsia="Arial" w:hAnsi="Arial"/>
                <w:sz w:val="16"/>
                <w:szCs w:val="16"/>
                <w:color w:val="auto"/>
              </w:rPr>
              <w:t>Warrant liability</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78,168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5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lease liabilities</w:t>
            </w:r>
          </w:p>
        </w:tc>
        <w:tc>
          <w:tcPr>
            <w:tcW w:w="2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w:t>
            </w:r>
          </w:p>
        </w:tc>
        <w:tc>
          <w:tcPr>
            <w:tcW w:w="100" w:type="dxa"/>
            <w:vAlign w:val="bottom"/>
            <w:shd w:val="clear" w:color="auto" w:fill="CFF0FC"/>
          </w:tcPr>
          <w:p>
            <w:pPr>
              <w:spacing w:after="0"/>
              <w:rPr>
                <w:sz w:val="19"/>
                <w:szCs w:val="19"/>
                <w:color w:val="auto"/>
              </w:rPr>
            </w:pPr>
          </w:p>
        </w:tc>
      </w:tr>
      <w:tr>
        <w:trPr>
          <w:trHeight w:val="213"/>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Current portion of long-term debt</w:t>
            </w:r>
          </w:p>
        </w:tc>
        <w:tc>
          <w:tcPr>
            <w:tcW w:w="2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36,622</w:t>
            </w:r>
          </w:p>
        </w:tc>
        <w:tc>
          <w:tcPr>
            <w:tcW w:w="2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6,141</w:t>
            </w:r>
          </w:p>
        </w:tc>
        <w:tc>
          <w:tcPr>
            <w:tcW w:w="100" w:type="dxa"/>
            <w:vAlign w:val="bottom"/>
            <w:tcBorders>
              <w:bottom w:val="single" w:sz="8" w:color="CFF0FC"/>
            </w:tcBorders>
          </w:tcPr>
          <w:p>
            <w:pPr>
              <w:spacing w:after="0"/>
              <w:rPr>
                <w:sz w:val="18"/>
                <w:szCs w:val="18"/>
                <w:color w:val="auto"/>
              </w:rPr>
            </w:pPr>
          </w:p>
        </w:tc>
      </w:tr>
      <w:tr>
        <w:trPr>
          <w:trHeight w:val="213"/>
        </w:trPr>
        <w:tc>
          <w:tcPr>
            <w:tcW w:w="5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current liabilities</w:t>
            </w:r>
          </w:p>
        </w:tc>
        <w:tc>
          <w:tcPr>
            <w:tcW w:w="2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401,241</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119,895</w:t>
            </w:r>
          </w:p>
        </w:tc>
        <w:tc>
          <w:tcPr>
            <w:tcW w:w="100" w:type="dxa"/>
            <w:vAlign w:val="bottom"/>
            <w:shd w:val="clear" w:color="auto" w:fill="CFF0FC"/>
          </w:tcPr>
          <w:p>
            <w:pPr>
              <w:spacing w:after="0"/>
              <w:rPr>
                <w:sz w:val="18"/>
                <w:szCs w:val="18"/>
                <w:color w:val="auto"/>
              </w:rPr>
            </w:pPr>
          </w:p>
        </w:tc>
      </w:tr>
      <w:tr>
        <w:trPr>
          <w:trHeight w:val="213"/>
        </w:trPr>
        <w:tc>
          <w:tcPr>
            <w:tcW w:w="5600" w:type="dxa"/>
            <w:vAlign w:val="bottom"/>
          </w:tcPr>
          <w:p>
            <w:pPr>
              <w:spacing w:after="0"/>
              <w:rPr>
                <w:sz w:val="20"/>
                <w:szCs w:val="20"/>
                <w:color w:val="auto"/>
              </w:rPr>
            </w:pPr>
            <w:r>
              <w:rPr>
                <w:rFonts w:ascii="Arial" w:cs="Arial" w:eastAsia="Arial" w:hAnsi="Arial"/>
                <w:sz w:val="16"/>
                <w:szCs w:val="16"/>
                <w:b w:val="1"/>
                <w:bCs w:val="1"/>
                <w:color w:val="auto"/>
              </w:rPr>
              <w:t>Long - term liabilities</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 liabilities</w:t>
            </w:r>
          </w:p>
        </w:tc>
        <w:tc>
          <w:tcPr>
            <w:tcW w:w="2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53,946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4,227</w:t>
            </w:r>
          </w:p>
        </w:tc>
        <w:tc>
          <w:tcPr>
            <w:tcW w:w="100" w:type="dxa"/>
            <w:vAlign w:val="bottom"/>
            <w:shd w:val="clear" w:color="auto" w:fill="CFF0FC"/>
          </w:tcPr>
          <w:p>
            <w:pPr>
              <w:spacing w:after="0"/>
              <w:rPr>
                <w:sz w:val="19"/>
                <w:szCs w:val="19"/>
                <w:color w:val="auto"/>
              </w:rPr>
            </w:pPr>
          </w:p>
        </w:tc>
      </w:tr>
      <w:tr>
        <w:trPr>
          <w:trHeight w:val="213"/>
        </w:trPr>
        <w:tc>
          <w:tcPr>
            <w:tcW w:w="5600" w:type="dxa"/>
            <w:vAlign w:val="bottom"/>
          </w:tcPr>
          <w:p>
            <w:pPr>
              <w:ind w:left="260"/>
              <w:spacing w:after="0"/>
              <w:rPr>
                <w:sz w:val="20"/>
                <w:szCs w:val="20"/>
                <w:color w:val="auto"/>
              </w:rPr>
            </w:pPr>
            <w:r>
              <w:rPr>
                <w:rFonts w:ascii="Arial" w:cs="Arial" w:eastAsia="Arial" w:hAnsi="Arial"/>
                <w:sz w:val="16"/>
                <w:szCs w:val="16"/>
                <w:color w:val="auto"/>
              </w:rPr>
              <w:t>Long-term debt</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167,486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94,028</w:t>
            </w:r>
          </w:p>
        </w:tc>
        <w:tc>
          <w:tcPr>
            <w:tcW w:w="100" w:type="dxa"/>
            <w:vAlign w:val="bottom"/>
          </w:tcPr>
          <w:p>
            <w:pPr>
              <w:spacing w:after="0"/>
              <w:rPr>
                <w:sz w:val="18"/>
                <w:szCs w:val="18"/>
                <w:color w:val="auto"/>
              </w:rPr>
            </w:pPr>
          </w:p>
        </w:tc>
      </w:tr>
      <w:tr>
        <w:trPr>
          <w:trHeight w:val="219"/>
        </w:trPr>
        <w:tc>
          <w:tcPr>
            <w:tcW w:w="5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Convertible debentures</w:t>
            </w:r>
          </w:p>
        </w:tc>
        <w:tc>
          <w:tcPr>
            <w:tcW w:w="2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667,624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196,405</w:t>
            </w:r>
          </w:p>
        </w:tc>
        <w:tc>
          <w:tcPr>
            <w:tcW w:w="100" w:type="dxa"/>
            <w:vAlign w:val="bottom"/>
            <w:shd w:val="clear" w:color="auto" w:fill="CFF0FC"/>
          </w:tcPr>
          <w:p>
            <w:pPr>
              <w:spacing w:after="0"/>
              <w:rPr>
                <w:sz w:val="19"/>
                <w:szCs w:val="19"/>
                <w:color w:val="auto"/>
              </w:rPr>
            </w:pPr>
          </w:p>
        </w:tc>
      </w:tr>
      <w:tr>
        <w:trPr>
          <w:trHeight w:val="213"/>
        </w:trPr>
        <w:tc>
          <w:tcPr>
            <w:tcW w:w="5600" w:type="dxa"/>
            <w:vAlign w:val="bottom"/>
          </w:tcPr>
          <w:p>
            <w:pPr>
              <w:ind w:left="260"/>
              <w:spacing w:after="0"/>
              <w:rPr>
                <w:sz w:val="20"/>
                <w:szCs w:val="20"/>
                <w:color w:val="auto"/>
              </w:rPr>
            </w:pPr>
            <w:r>
              <w:rPr>
                <w:rFonts w:ascii="Arial" w:cs="Arial" w:eastAsia="Arial" w:hAnsi="Arial"/>
                <w:sz w:val="16"/>
                <w:szCs w:val="16"/>
                <w:color w:val="auto"/>
              </w:rPr>
              <w:t>Deferred tax liability</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265,845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48,446</w:t>
            </w:r>
          </w:p>
        </w:tc>
        <w:tc>
          <w:tcPr>
            <w:tcW w:w="100" w:type="dxa"/>
            <w:vAlign w:val="bottom"/>
          </w:tcPr>
          <w:p>
            <w:pPr>
              <w:spacing w:after="0"/>
              <w:rPr>
                <w:sz w:val="18"/>
                <w:szCs w:val="18"/>
                <w:color w:val="auto"/>
              </w:rPr>
            </w:pPr>
          </w:p>
        </w:tc>
      </w:tr>
      <w:tr>
        <w:trPr>
          <w:trHeight w:val="219"/>
        </w:trPr>
        <w:tc>
          <w:tcPr>
            <w:tcW w:w="5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liabilities</w:t>
            </w:r>
          </w:p>
        </w:tc>
        <w:tc>
          <w:tcPr>
            <w:tcW w:w="2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560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2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1,560,049</w:t>
            </w:r>
          </w:p>
        </w:tc>
        <w:tc>
          <w:tcPr>
            <w:tcW w:w="2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463,001</w:t>
            </w:r>
          </w:p>
        </w:tc>
        <w:tc>
          <w:tcPr>
            <w:tcW w:w="100" w:type="dxa"/>
            <w:vAlign w:val="bottom"/>
          </w:tcPr>
          <w:p>
            <w:pPr>
              <w:spacing w:after="0"/>
              <w:rPr>
                <w:sz w:val="17"/>
                <w:szCs w:val="17"/>
                <w:color w:val="auto"/>
              </w:rPr>
            </w:pPr>
          </w:p>
        </w:tc>
      </w:tr>
      <w:tr>
        <w:trPr>
          <w:trHeight w:val="219"/>
        </w:trPr>
        <w:tc>
          <w:tcPr>
            <w:tcW w:w="5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Commitments and contingencies</w:t>
            </w:r>
          </w:p>
        </w:tc>
        <w:tc>
          <w:tcPr>
            <w:tcW w:w="2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5600" w:type="dxa"/>
            <w:vAlign w:val="bottom"/>
          </w:tcPr>
          <w:p>
            <w:pPr>
              <w:spacing w:after="0"/>
              <w:rPr>
                <w:sz w:val="20"/>
                <w:szCs w:val="20"/>
                <w:color w:val="auto"/>
              </w:rPr>
            </w:pPr>
            <w:r>
              <w:rPr>
                <w:rFonts w:ascii="Arial" w:cs="Arial" w:eastAsia="Arial" w:hAnsi="Arial"/>
                <w:sz w:val="16"/>
                <w:szCs w:val="16"/>
                <w:b w:val="1"/>
                <w:bCs w:val="1"/>
                <w:color w:val="auto"/>
              </w:rPr>
              <w:t>Shareholders' equity</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w:t>
            </w:r>
          </w:p>
        </w:tc>
        <w:tc>
          <w:tcPr>
            <w:tcW w:w="2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9"/>
                <w:szCs w:val="19"/>
                <w:color w:val="auto"/>
              </w:rPr>
            </w:pPr>
          </w:p>
        </w:tc>
      </w:tr>
      <w:tr>
        <w:trPr>
          <w:trHeight w:val="213"/>
        </w:trPr>
        <w:tc>
          <w:tcPr>
            <w:tcW w:w="560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4,792,406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1,366,736</w:t>
            </w:r>
          </w:p>
        </w:tc>
        <w:tc>
          <w:tcPr>
            <w:tcW w:w="100" w:type="dxa"/>
            <w:vAlign w:val="bottom"/>
          </w:tcPr>
          <w:p>
            <w:pPr>
              <w:spacing w:after="0"/>
              <w:rPr>
                <w:sz w:val="18"/>
                <w:szCs w:val="18"/>
                <w:color w:val="auto"/>
              </w:rPr>
            </w:pPr>
          </w:p>
        </w:tc>
      </w:tr>
      <w:tr>
        <w:trPr>
          <w:trHeight w:val="219"/>
        </w:trPr>
        <w:tc>
          <w:tcPr>
            <w:tcW w:w="5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income (loss)</w:t>
            </w:r>
          </w:p>
        </w:tc>
        <w:tc>
          <w:tcPr>
            <w:tcW w:w="2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152,668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(5,434)</w:t>
            </w:r>
          </w:p>
        </w:tc>
      </w:tr>
      <w:tr>
        <w:trPr>
          <w:trHeight w:val="213"/>
        </w:trPr>
        <w:tc>
          <w:tcPr>
            <w:tcW w:w="5600" w:type="dxa"/>
            <w:vAlign w:val="bottom"/>
          </w:tcPr>
          <w:p>
            <w:pPr>
              <w:ind w:left="260"/>
              <w:spacing w:after="0"/>
              <w:rPr>
                <w:sz w:val="20"/>
                <w:szCs w:val="20"/>
                <w:color w:val="auto"/>
              </w:rPr>
            </w:pPr>
            <w:r>
              <w:rPr>
                <w:rFonts w:ascii="Arial" w:cs="Arial" w:eastAsia="Arial" w:hAnsi="Arial"/>
                <w:sz w:val="16"/>
                <w:szCs w:val="16"/>
                <w:color w:val="auto"/>
              </w:rPr>
              <w:t>Deficit</w:t>
            </w: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(486,050)</w:t>
            </w:r>
          </w:p>
        </w:tc>
        <w:tc>
          <w:tcPr>
            <w:tcW w:w="28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(113,352)</w:t>
            </w:r>
          </w:p>
        </w:tc>
      </w:tr>
      <w:tr>
        <w:trPr>
          <w:trHeight w:val="213"/>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Tilray shareholders' equity</w:t>
            </w:r>
          </w:p>
        </w:tc>
        <w:tc>
          <w:tcPr>
            <w:tcW w:w="21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4,459,070</w:t>
            </w:r>
          </w:p>
        </w:tc>
        <w:tc>
          <w:tcPr>
            <w:tcW w:w="2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1,247,974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Non-controlling interests</w:t>
            </w:r>
          </w:p>
        </w:tc>
        <w:tc>
          <w:tcPr>
            <w:tcW w:w="21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6,243</w:t>
            </w:r>
          </w:p>
        </w:tc>
        <w:tc>
          <w:tcPr>
            <w:tcW w:w="2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26,957</w:t>
            </w:r>
          </w:p>
        </w:tc>
        <w:tc>
          <w:tcPr>
            <w:tcW w:w="100" w:type="dxa"/>
            <w:vAlign w:val="bottom"/>
            <w:tcBorders>
              <w:bottom w:val="single" w:sz="8" w:color="CFF0FC"/>
            </w:tcBorders>
          </w:tcPr>
          <w:p>
            <w:pPr>
              <w:spacing w:after="0"/>
              <w:rPr>
                <w:sz w:val="18"/>
                <w:szCs w:val="18"/>
                <w:color w:val="auto"/>
              </w:rPr>
            </w:pPr>
          </w:p>
        </w:tc>
      </w:tr>
      <w:tr>
        <w:trPr>
          <w:trHeight w:val="212"/>
        </w:trPr>
        <w:tc>
          <w:tcPr>
            <w:tcW w:w="56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shareholders' equity</w:t>
            </w:r>
          </w:p>
        </w:tc>
        <w:tc>
          <w:tcPr>
            <w:tcW w:w="21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4,465,313</w:t>
            </w:r>
          </w:p>
        </w:tc>
        <w:tc>
          <w:tcPr>
            <w:tcW w:w="2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1,274,931</w:t>
            </w:r>
          </w:p>
        </w:tc>
        <w:tc>
          <w:tcPr>
            <w:tcW w:w="100" w:type="dxa"/>
            <w:vAlign w:val="bottom"/>
            <w:shd w:val="clear" w:color="auto" w:fill="CFF0FC"/>
          </w:tcPr>
          <w:p>
            <w:pPr>
              <w:spacing w:after="0"/>
              <w:rPr>
                <w:sz w:val="18"/>
                <w:szCs w:val="18"/>
                <w:color w:val="auto"/>
              </w:rPr>
            </w:pPr>
          </w:p>
        </w:tc>
      </w:tr>
      <w:tr>
        <w:trPr>
          <w:trHeight w:val="206"/>
        </w:trPr>
        <w:tc>
          <w:tcPr>
            <w:tcW w:w="5600" w:type="dxa"/>
            <w:vAlign w:val="bottom"/>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2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6,025,362</w:t>
            </w:r>
          </w:p>
        </w:tc>
        <w:tc>
          <w:tcPr>
            <w:tcW w:w="28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1,737,932</w:t>
            </w:r>
          </w:p>
        </w:tc>
        <w:tc>
          <w:tcPr>
            <w:tcW w:w="100" w:type="dxa"/>
            <w:vAlign w:val="bottom"/>
          </w:tcPr>
          <w:p>
            <w:pPr>
              <w:spacing w:after="0"/>
              <w:rPr>
                <w:sz w:val="17"/>
                <w:szCs w:val="17"/>
                <w:color w:val="auto"/>
              </w:rPr>
            </w:pPr>
          </w:p>
        </w:tc>
      </w:tr>
      <w:tr>
        <w:trPr>
          <w:trHeight w:val="20"/>
        </w:trPr>
        <w:tc>
          <w:tcPr>
            <w:tcW w:w="5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9" w:name="page10"/>
    <w:bookmarkEnd w:id="9"/>
    <w:p>
      <w:pPr>
        <w:spacing w:after="0"/>
        <w:tabs>
          <w:tab w:leader="none" w:pos="9660" w:val="left"/>
        </w:tabs>
        <w:rPr>
          <w:sz w:val="20"/>
          <w:szCs w:val="20"/>
          <w:color w:val="auto"/>
        </w:rPr>
      </w:pPr>
      <w:r>
        <w:rPr>
          <w:rFonts w:ascii="Arial" w:cs="Arial" w:eastAsia="Arial" w:hAnsi="Arial"/>
          <w:sz w:val="29"/>
          <w:szCs w:val="29"/>
          <w:b w:val="1"/>
          <w:bCs w:val="1"/>
          <w:color w:val="767171"/>
        </w:rPr>
        <w:drawing>
          <wp:anchor simplePos="0" relativeHeight="251657728" behindDoc="1" locked="0" layoutInCell="0" allowOverlap="1">
            <wp:simplePos x="0" y="0"/>
            <wp:positionH relativeFrom="page">
              <wp:posOffset>868045</wp:posOffset>
            </wp:positionH>
            <wp:positionV relativeFrom="page">
              <wp:posOffset>97155</wp:posOffset>
            </wp:positionV>
            <wp:extent cx="2245995" cy="497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2245995" cy="497205"/>
                    </a:xfrm>
                    <a:prstGeom prst="rect">
                      <a:avLst/>
                    </a:prstGeom>
                    <a:noFill/>
                  </pic:spPr>
                </pic:pic>
              </a:graphicData>
            </a:graphic>
          </wp:anchor>
        </w:drawing>
        <w:t>PRESS RELEASE</w:t>
      </w:r>
      <w:r>
        <w:rPr>
          <w:sz w:val="20"/>
          <w:szCs w:val="20"/>
          <w:color w:val="auto"/>
        </w:rPr>
        <w:tab/>
      </w:r>
      <w:r>
        <w:rPr>
          <w:rFonts w:ascii="Arial" w:cs="Arial" w:eastAsia="Arial" w:hAnsi="Arial"/>
          <w:sz w:val="25"/>
          <w:szCs w:val="25"/>
          <w:b w:val="1"/>
          <w:bCs w:val="1"/>
          <w:color w:val="767171"/>
        </w:rPr>
        <w:t>July 28, 2021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Condensed Consolidated Statements of Net Income (Loss) and Comprehensive Income (Loss)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United States dollars, excpet for per share data)</w:t>
            </w:r>
          </w:p>
        </w:tc>
        <w:tc>
          <w:tcPr>
            <w:tcW w:w="280" w:type="dxa"/>
            <w:vAlign w:val="bottom"/>
          </w:tcPr>
          <w:p>
            <w:pPr>
              <w:spacing w:after="0"/>
              <w:rPr>
                <w:sz w:val="14"/>
                <w:szCs w:val="14"/>
                <w:color w:val="auto"/>
              </w:rPr>
            </w:pPr>
          </w:p>
        </w:tc>
        <w:tc>
          <w:tcPr>
            <w:tcW w:w="26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May 31,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Years ended May 31,</w:t>
            </w:r>
          </w:p>
        </w:tc>
        <w:tc>
          <w:tcPr>
            <w:tcW w:w="0" w:type="dxa"/>
            <w:vAlign w:val="bottom"/>
          </w:tcPr>
          <w:p>
            <w:pPr>
              <w:spacing w:after="0"/>
              <w:rPr>
                <w:sz w:val="1"/>
                <w:szCs w:val="1"/>
                <w:color w:val="auto"/>
              </w:rPr>
            </w:pPr>
          </w:p>
        </w:tc>
      </w:tr>
      <w:tr>
        <w:trPr>
          <w:trHeight w:val="156"/>
        </w:trPr>
        <w:tc>
          <w:tcPr>
            <w:tcW w:w="5400" w:type="dxa"/>
            <w:vAlign w:val="bottom"/>
            <w:tcBorders>
              <w:bottom w:val="single" w:sz="8" w:color="CFF0FC"/>
            </w:tcBorders>
            <w:vMerge w:val="continue"/>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Net 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513,085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405,326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119,738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85,735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389,903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111,575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Selling</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16,100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Marketing and promotion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Impairment</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50,679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Transaction costs</w:t>
            </w: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96,193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91,248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255,353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200,062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(73,695)</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(63,441)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(132,171)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(104,009)</w:t>
            </w: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Finance income (expense), net</w:t>
            </w: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(9,466)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(6,411)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(27,977)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(19,371)</w:t>
            </w: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Non-operating income (expense), net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(17,351)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(184,838)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(344,986)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(recovery)</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(2,897)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(8,972)</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(8,352)</w:t>
            </w:r>
          </w:p>
        </w:tc>
        <w:tc>
          <w:tcPr>
            <w:tcW w:w="0" w:type="dxa"/>
            <w:vAlign w:val="bottom"/>
          </w:tcPr>
          <w:p>
            <w:pPr>
              <w:spacing w:after="0"/>
              <w:rPr>
                <w:sz w:val="1"/>
                <w:szCs w:val="1"/>
                <w:color w:val="auto"/>
              </w:rPr>
            </w:pPr>
          </w:p>
        </w:tc>
      </w:tr>
      <w:tr>
        <w:trPr>
          <w:trHeight w:val="263"/>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(84,306)</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(336,014)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(100,833)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 basic and diluted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Revenue by Operating Segment</w:t>
      </w:r>
    </w:p>
    <w:tbl>
      <w:tblPr>
        <w:tblLayout w:type="fixed"/>
        <w:tblInd w:w="0" w:type="dxa"/>
        <w:tblCellMar>
          <w:top w:w="0" w:type="dxa"/>
          <w:left w:w="0" w:type="dxa"/>
          <w:bottom w:w="0" w:type="dxa"/>
          <w:right w:w="0" w:type="dxa"/>
        </w:tblCellMar>
      </w:tblPr>
      <w:tr>
        <w:trPr>
          <w:trHeight w:val="153"/>
        </w:trPr>
        <w:tc>
          <w:tcPr>
            <w:tcW w:w="5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5"/>
              </w:rPr>
              <w:t>Three Months</w:t>
            </w:r>
          </w:p>
        </w:tc>
        <w:tc>
          <w:tcPr>
            <w:tcW w:w="24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5"/>
              </w:rPr>
              <w:t>Three Months</w:t>
            </w:r>
          </w:p>
        </w:tc>
        <w:tc>
          <w:tcPr>
            <w:tcW w:w="220" w:type="dxa"/>
            <w:vAlign w:val="bottom"/>
          </w:tcPr>
          <w:p>
            <w:pPr>
              <w:spacing w:after="0"/>
              <w:rPr>
                <w:sz w:val="13"/>
                <w:szCs w:val="13"/>
                <w:color w:val="auto"/>
              </w:rPr>
            </w:pP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United States dollars)</w:t>
            </w:r>
          </w:p>
        </w:tc>
        <w:tc>
          <w:tcPr>
            <w:tcW w:w="140" w:type="dxa"/>
            <w:vAlign w:val="bottom"/>
          </w:tcPr>
          <w:p>
            <w:pPr>
              <w:spacing w:after="0"/>
              <w:rPr>
                <w:sz w:val="12"/>
                <w:szCs w:val="12"/>
                <w:color w:val="auto"/>
              </w:rPr>
            </w:pPr>
          </w:p>
        </w:tc>
        <w:tc>
          <w:tcPr>
            <w:tcW w:w="11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8"/>
              </w:rPr>
              <w:t>May 31,</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8"/>
              </w:rPr>
              <w:t>May 31,</w:t>
            </w:r>
          </w:p>
        </w:tc>
        <w:tc>
          <w:tcPr>
            <w:tcW w:w="22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Cannabis revenue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53,703</w:t>
            </w:r>
          </w:p>
        </w:tc>
        <w:tc>
          <w:tcPr>
            <w:tcW w:w="2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38%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39,587</w:t>
            </w:r>
          </w:p>
        </w:tc>
        <w:tc>
          <w:tcPr>
            <w:tcW w:w="2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Distribution revenue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66,792</w:t>
            </w:r>
          </w:p>
        </w:tc>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47%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73,955</w:t>
            </w:r>
          </w:p>
        </w:tc>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Beverage alcohol revenue</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15,947</w:t>
            </w:r>
          </w:p>
        </w:tc>
        <w:tc>
          <w:tcPr>
            <w:tcW w:w="150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8"/>
              </w:rPr>
              <w:t>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Wellness revenue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1500" w:type="dxa"/>
            <w:vAlign w:val="bottom"/>
            <w:tcBorders>
              <w:bottom w:val="single" w:sz="8" w:color="CFF0FC"/>
            </w:tcBorders>
            <w:gridSpan w:val="2"/>
          </w:tcPr>
          <w:p>
            <w:pPr>
              <w:jc w:val="center"/>
              <w:ind w:left="130"/>
              <w:spacing w:after="0"/>
              <w:rPr>
                <w:sz w:val="20"/>
                <w:szCs w:val="20"/>
                <w:color w:val="auto"/>
              </w:rPr>
            </w:pPr>
            <w:r>
              <w:rPr>
                <w:rFonts w:ascii="Arial" w:cs="Arial" w:eastAsia="Arial" w:hAnsi="Arial"/>
                <w:sz w:val="18"/>
                <w:szCs w:val="18"/>
                <w:color w:val="auto"/>
                <w:w w:val="92"/>
              </w:rPr>
              <w:t>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FF0FC"/>
            </w:tcBorders>
            <w:gridSpan w:val="2"/>
          </w:tcPr>
          <w:p>
            <w:pPr>
              <w:jc w:val="center"/>
              <w:ind w:left="130"/>
              <w:spacing w:after="0"/>
              <w:rPr>
                <w:sz w:val="20"/>
                <w:szCs w:val="20"/>
                <w:color w:val="auto"/>
              </w:rPr>
            </w:pPr>
            <w:r>
              <w:rPr>
                <w:rFonts w:ascii="Arial" w:cs="Arial" w:eastAsia="Arial" w:hAnsi="Arial"/>
                <w:sz w:val="18"/>
                <w:szCs w:val="18"/>
                <w:color w:val="auto"/>
                <w:w w:val="92"/>
              </w:rPr>
              <w:t>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142,236</w:t>
            </w:r>
          </w:p>
        </w:tc>
        <w:tc>
          <w:tcPr>
            <w:tcW w:w="1500" w:type="dxa"/>
            <w:vAlign w:val="bottom"/>
            <w:tcBorders>
              <w:bottom w:val="single" w:sz="8" w:color="CFF0FC"/>
            </w:tcBorders>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1"/>
              </w:rPr>
              <w:t>100%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113,542</w:t>
            </w:r>
          </w:p>
        </w:tc>
        <w:tc>
          <w:tcPr>
            <w:tcW w:w="1500" w:type="dxa"/>
            <w:vAlign w:val="bottom"/>
            <w:tcBorders>
              <w:bottom w:val="single" w:sz="8" w:color="CFF0FC"/>
            </w:tcBorders>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24"/>
                <w:szCs w:val="24"/>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of United States dollars)</w:t>
            </w:r>
          </w:p>
        </w:tc>
        <w:tc>
          <w:tcPr>
            <w:tcW w:w="140" w:type="dxa"/>
            <w:vAlign w:val="bottom"/>
          </w:tcPr>
          <w:p>
            <w:pPr>
              <w:spacing w:after="0"/>
              <w:rPr>
                <w:sz w:val="12"/>
                <w:szCs w:val="12"/>
                <w:color w:val="auto"/>
              </w:rPr>
            </w:pPr>
          </w:p>
        </w:tc>
        <w:tc>
          <w:tcPr>
            <w:tcW w:w="11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8"/>
              </w:rPr>
              <w:t>May 31,</w:t>
            </w:r>
          </w:p>
        </w:tc>
        <w:tc>
          <w:tcPr>
            <w:tcW w:w="2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8"/>
              </w:rPr>
              <w:t>May 31,</w:t>
            </w:r>
          </w:p>
        </w:tc>
        <w:tc>
          <w:tcPr>
            <w:tcW w:w="220" w:type="dxa"/>
            <w:vAlign w:val="bottom"/>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Cannabis revenue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201,392</w:t>
            </w:r>
          </w:p>
        </w:tc>
        <w:tc>
          <w:tcPr>
            <w:tcW w:w="2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39%</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129,896</w:t>
            </w:r>
          </w:p>
        </w:tc>
        <w:tc>
          <w:tcPr>
            <w:tcW w:w="2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32%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Distribution revenue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277,300</w:t>
            </w:r>
          </w:p>
        </w:tc>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275,430</w:t>
            </w:r>
          </w:p>
        </w:tc>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Beverage alcohol revenue</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28,599</w:t>
            </w:r>
          </w:p>
        </w:tc>
        <w:tc>
          <w:tcPr>
            <w:tcW w:w="150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2"/>
              </w:rPr>
              <w:t>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Wellness revenue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1500" w:type="dxa"/>
            <w:vAlign w:val="bottom"/>
            <w:tcBorders>
              <w:bottom w:val="single" w:sz="8" w:color="CFF0FC"/>
            </w:tcBorders>
            <w:gridSpan w:val="2"/>
          </w:tcPr>
          <w:p>
            <w:pPr>
              <w:jc w:val="center"/>
              <w:ind w:left="130"/>
              <w:spacing w:after="0"/>
              <w:rPr>
                <w:sz w:val="20"/>
                <w:szCs w:val="20"/>
                <w:color w:val="auto"/>
              </w:rPr>
            </w:pPr>
            <w:r>
              <w:rPr>
                <w:rFonts w:ascii="Arial" w:cs="Arial" w:eastAsia="Arial" w:hAnsi="Arial"/>
                <w:sz w:val="18"/>
                <w:szCs w:val="18"/>
                <w:color w:val="auto"/>
                <w:w w:val="92"/>
              </w:rPr>
              <w:t>1%</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FF0FC"/>
            </w:tcBorders>
            <w:gridSpan w:val="2"/>
          </w:tcPr>
          <w:p>
            <w:pPr>
              <w:jc w:val="center"/>
              <w:ind w:left="130"/>
              <w:spacing w:after="0"/>
              <w:rPr>
                <w:sz w:val="20"/>
                <w:szCs w:val="20"/>
                <w:color w:val="auto"/>
              </w:rPr>
            </w:pPr>
            <w:r>
              <w:rPr>
                <w:rFonts w:ascii="Arial" w:cs="Arial" w:eastAsia="Arial" w:hAnsi="Arial"/>
                <w:sz w:val="18"/>
                <w:szCs w:val="18"/>
                <w:color w:val="auto"/>
                <w:w w:val="92"/>
              </w:rPr>
              <w:t>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513,085</w:t>
            </w:r>
          </w:p>
        </w:tc>
        <w:tc>
          <w:tcPr>
            <w:tcW w:w="1500" w:type="dxa"/>
            <w:vAlign w:val="bottom"/>
            <w:tcBorders>
              <w:bottom w:val="single" w:sz="8" w:color="CFF0FC"/>
            </w:tcBorders>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1"/>
              </w:rPr>
              <w:t>100%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405,326</w:t>
            </w:r>
          </w:p>
        </w:tc>
        <w:tc>
          <w:tcPr>
            <w:tcW w:w="1500" w:type="dxa"/>
            <w:vAlign w:val="bottom"/>
            <w:tcBorders>
              <w:bottom w:val="single" w:sz="8" w:color="CFF0FC"/>
            </w:tcBorders>
            <w:gridSpan w:val="2"/>
            <w:shd w:val="clear" w:color="auto" w:fill="CFF0FC"/>
          </w:tcPr>
          <w:p>
            <w:pPr>
              <w:jc w:val="center"/>
              <w:ind w:left="110"/>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0" w:name="page11"/>
    <w:bookmarkEnd w:id="10"/>
    <w:p>
      <w:pPr>
        <w:spacing w:after="0"/>
        <w:tabs>
          <w:tab w:leader="none" w:pos="9660" w:val="left"/>
        </w:tabs>
        <w:rPr>
          <w:sz w:val="20"/>
          <w:szCs w:val="20"/>
          <w:color w:val="auto"/>
        </w:rPr>
      </w:pPr>
      <w:r>
        <w:rPr>
          <w:rFonts w:ascii="Arial" w:cs="Arial" w:eastAsia="Arial" w:hAnsi="Arial"/>
          <w:sz w:val="29"/>
          <w:szCs w:val="29"/>
          <w:b w:val="1"/>
          <w:bCs w:val="1"/>
          <w:color w:val="767171"/>
        </w:rPr>
        <w:drawing>
          <wp:anchor simplePos="0" relativeHeight="251657728" behindDoc="1" locked="0" layoutInCell="0" allowOverlap="1">
            <wp:simplePos x="0" y="0"/>
            <wp:positionH relativeFrom="page">
              <wp:posOffset>868045</wp:posOffset>
            </wp:positionH>
            <wp:positionV relativeFrom="page">
              <wp:posOffset>97790</wp:posOffset>
            </wp:positionV>
            <wp:extent cx="2245995" cy="497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2245995" cy="497205"/>
                    </a:xfrm>
                    <a:prstGeom prst="rect">
                      <a:avLst/>
                    </a:prstGeom>
                    <a:noFill/>
                  </pic:spPr>
                </pic:pic>
              </a:graphicData>
            </a:graphic>
          </wp:anchor>
        </w:drawing>
        <w:t>PRESS RELEASE</w:t>
      </w:r>
      <w:r>
        <w:rPr>
          <w:sz w:val="20"/>
          <w:szCs w:val="20"/>
          <w:color w:val="auto"/>
        </w:rPr>
        <w:tab/>
      </w:r>
      <w:r>
        <w:rPr>
          <w:rFonts w:ascii="Arial" w:cs="Arial" w:eastAsia="Arial" w:hAnsi="Arial"/>
          <w:sz w:val="25"/>
          <w:szCs w:val="25"/>
          <w:b w:val="1"/>
          <w:bCs w:val="1"/>
          <w:color w:val="767171"/>
        </w:rPr>
        <w:t>July 28, 2021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Information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United States dollars, except for percent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Adjusted EBITDA Reconciliation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8"/>
          </w:tcPr>
          <w:p>
            <w:pPr>
              <w:ind w:left="260"/>
              <w:spacing w:after="0"/>
              <w:rPr>
                <w:sz w:val="20"/>
                <w:szCs w:val="20"/>
                <w:color w:val="auto"/>
              </w:rPr>
            </w:pPr>
            <w:r>
              <w:rPr>
                <w:rFonts w:ascii="Arial" w:cs="Arial" w:eastAsia="Arial" w:hAnsi="Arial"/>
                <w:sz w:val="14"/>
                <w:szCs w:val="14"/>
                <w:b w:val="1"/>
                <w:bCs w:val="1"/>
                <w:color w:val="auto"/>
              </w:rPr>
              <w:t>Three months ended May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Years ended May 31,</w:t>
            </w:r>
          </w:p>
        </w:tc>
        <w:tc>
          <w:tcPr>
            <w:tcW w:w="0" w:type="dxa"/>
            <w:vAlign w:val="bottom"/>
          </w:tcPr>
          <w:p>
            <w:pPr>
              <w:spacing w:after="0"/>
              <w:rPr>
                <w:sz w:val="1"/>
                <w:szCs w:val="1"/>
                <w:color w:val="auto"/>
              </w:rPr>
            </w:pPr>
          </w:p>
        </w:tc>
      </w:tr>
      <w:tr>
        <w:trPr>
          <w:trHeight w:val="155"/>
        </w:trPr>
        <w:tc>
          <w:tcPr>
            <w:tcW w:w="52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33,605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(84,306)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(336,014)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(100,833)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4,744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(2,897)</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(8,972)</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(8,352)</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Finance expense, net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9,466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27,977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19,371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Non-operating expense (income), net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(121,510)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17,351</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184,838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(14,195)</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24,539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10,320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67,832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35,669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Share-based compensation</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5,937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3,799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17,351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18,079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50,679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Inventory valuation adjustments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19,919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19,919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Purchase price accounting step up</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Facility start-up costs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Lease expense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33,260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63,612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Adjusted EBITDA</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12,319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40,771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Key Operating Metrics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w w:val="97"/>
              </w:rPr>
              <w:t>Three months ended May 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8"/>
          </w:tcPr>
          <w:p>
            <w:pPr>
              <w:jc w:val="right"/>
              <w:ind w:right="920"/>
              <w:spacing w:after="0"/>
              <w:rPr>
                <w:sz w:val="20"/>
                <w:szCs w:val="20"/>
                <w:color w:val="auto"/>
              </w:rPr>
            </w:pPr>
            <w:r>
              <w:rPr>
                <w:rFonts w:ascii="Arial" w:cs="Arial" w:eastAsia="Arial" w:hAnsi="Arial"/>
                <w:sz w:val="14"/>
                <w:szCs w:val="14"/>
                <w:b w:val="1"/>
                <w:bCs w:val="1"/>
                <w:color w:val="auto"/>
              </w:rPr>
              <w:t>Years ended May 31,</w:t>
            </w:r>
          </w:p>
        </w:tc>
        <w:tc>
          <w:tcPr>
            <w:tcW w:w="0" w:type="dxa"/>
            <w:vAlign w:val="bottom"/>
          </w:tcPr>
          <w:p>
            <w:pPr>
              <w:spacing w:after="0"/>
              <w:rPr>
                <w:sz w:val="1"/>
                <w:szCs w:val="1"/>
                <w:color w:val="auto"/>
              </w:rPr>
            </w:pPr>
          </w:p>
        </w:tc>
      </w:tr>
      <w:tr>
        <w:trPr>
          <w:trHeight w:val="155"/>
        </w:trPr>
        <w:tc>
          <w:tcPr>
            <w:tcW w:w="5280" w:type="dxa"/>
            <w:vAlign w:val="bottom"/>
            <w:tcBorders>
              <w:bottom w:val="single" w:sz="8" w:color="CFF0FC"/>
            </w:tcBorders>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cannabis revenue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53,703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201,392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129,896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beverage alcohol revenue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Distribution revenue</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66,792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277,300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275,430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Wellness revenue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5,794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Cannabis cost of sales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49,731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130,511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68,551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Beverage alcohol cost of sales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5,349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Distribution cost of sales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60,425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242,472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240,722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Wellness cost of sales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4,233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Gross profit (excluding adjustments)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27,808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143,936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96,053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Cannabis gross margin (excluding adjustments)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47.7%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Beverage gross margin (excluding adjustments)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58.6%</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Distribution gross margin (excluding adjustments)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Wellness gross margin (excluding adjustments)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26.9%</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Adjusted EBITDA</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5,845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488,466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360,646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488,466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360,646</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Working capital</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482,368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349,320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482,368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349,320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Free Cash Flow</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20" w:type="dxa"/>
            <w:vAlign w:val="bottom"/>
            <w:gridSpan w:val="8"/>
          </w:tcPr>
          <w:p>
            <w:pPr>
              <w:ind w:left="260"/>
              <w:spacing w:after="0"/>
              <w:rPr>
                <w:sz w:val="20"/>
                <w:szCs w:val="20"/>
                <w:color w:val="auto"/>
              </w:rPr>
            </w:pPr>
            <w:r>
              <w:rPr>
                <w:rFonts w:ascii="Arial" w:cs="Arial" w:eastAsia="Arial" w:hAnsi="Arial"/>
                <w:sz w:val="14"/>
                <w:szCs w:val="14"/>
                <w:b w:val="1"/>
                <w:bCs w:val="1"/>
                <w:color w:val="auto"/>
              </w:rPr>
              <w:t>Three months ended May 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Years ended May 31,</w:t>
            </w:r>
          </w:p>
        </w:tc>
        <w:tc>
          <w:tcPr>
            <w:tcW w:w="0" w:type="dxa"/>
            <w:vAlign w:val="bottom"/>
          </w:tcPr>
          <w:p>
            <w:pPr>
              <w:spacing w:after="0"/>
              <w:rPr>
                <w:sz w:val="1"/>
                <w:szCs w:val="1"/>
                <w:color w:val="auto"/>
              </w:rPr>
            </w:pPr>
          </w:p>
        </w:tc>
      </w:tr>
      <w:tr>
        <w:trPr>
          <w:trHeight w:val="156"/>
        </w:trPr>
        <w:tc>
          <w:tcPr>
            <w:tcW w:w="5280" w:type="dxa"/>
            <w:vAlign w:val="bottom"/>
            <w:tcBorders>
              <w:bottom w:val="single" w:sz="8" w:color="CFF0FC"/>
            </w:tcBorders>
            <w:vMerge w:val="continue"/>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8,281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(7,367)</w:t>
            </w:r>
          </w:p>
        </w:tc>
        <w:tc>
          <w:tcPr>
            <w:tcW w:w="1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(44,715)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(100,627)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investments in capital and intangible assets</w:t>
            </w:r>
          </w:p>
        </w:tc>
        <w:tc>
          <w:tcPr>
            <w:tcW w:w="1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4,943</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20,908</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38,874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98,786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3,338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(28,275)</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(83,589)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(199,413)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383"/>
        </w:trPr>
        <w:tc>
          <w:tcPr>
            <w:tcW w:w="4140" w:type="dxa"/>
            <w:vAlign w:val="bottom"/>
          </w:tcPr>
          <w:p>
            <w:pPr>
              <w:spacing w:after="0"/>
              <w:rPr>
                <w:sz w:val="20"/>
                <w:szCs w:val="20"/>
                <w:color w:val="auto"/>
              </w:rPr>
            </w:pPr>
            <w:r>
              <w:rPr>
                <w:rFonts w:ascii="Arial" w:cs="Arial" w:eastAsia="Arial" w:hAnsi="Arial"/>
                <w:sz w:val="29"/>
                <w:szCs w:val="29"/>
                <w:b w:val="1"/>
                <w:bCs w:val="1"/>
                <w:color w:val="767171"/>
              </w:rPr>
              <w:t>PRESS RELEASE</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gridSpan w:val="5"/>
          </w:tcPr>
          <w:p>
            <w:pPr>
              <w:jc w:val="right"/>
              <w:spacing w:after="0"/>
              <w:rPr>
                <w:sz w:val="20"/>
                <w:szCs w:val="20"/>
                <w:color w:val="auto"/>
              </w:rPr>
            </w:pPr>
            <w:r>
              <w:rPr>
                <w:rFonts w:ascii="Arial" w:cs="Arial" w:eastAsia="Arial" w:hAnsi="Arial"/>
                <w:sz w:val="25"/>
                <w:szCs w:val="25"/>
                <w:b w:val="1"/>
                <w:bCs w:val="1"/>
                <w:color w:val="767171"/>
              </w:rPr>
              <w:t>July 28, 2021</w:t>
            </w:r>
          </w:p>
        </w:tc>
      </w:tr>
      <w:tr>
        <w:trPr>
          <w:trHeight w:val="764"/>
        </w:trPr>
        <w:tc>
          <w:tcPr>
            <w:tcW w:w="41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center"/>
              <w:ind w:left="668"/>
              <w:spacing w:after="0"/>
              <w:rPr>
                <w:sz w:val="20"/>
                <w:szCs w:val="20"/>
                <w:color w:val="auto"/>
              </w:rPr>
            </w:pPr>
            <w:r>
              <w:rPr>
                <w:rFonts w:ascii="Arial" w:cs="Arial" w:eastAsia="Arial" w:hAnsi="Arial"/>
                <w:sz w:val="14"/>
                <w:szCs w:val="14"/>
                <w:b w:val="1"/>
                <w:bCs w:val="1"/>
                <w:color w:val="auto"/>
                <w:w w:val="93"/>
              </w:rPr>
              <w:t>Three months ended May 31, 2021</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r>
      <w:tr>
        <w:trPr>
          <w:trHeight w:val="156"/>
        </w:trPr>
        <w:tc>
          <w:tcPr>
            <w:tcW w:w="41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Gross profit (excluding adjustments)</w:t>
            </w:r>
          </w:p>
        </w:tc>
        <w:tc>
          <w:tcPr>
            <w:tcW w:w="1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480"/>
              <w:spacing w:after="0" w:line="155" w:lineRule="exact"/>
              <w:rPr>
                <w:sz w:val="20"/>
                <w:szCs w:val="20"/>
                <w:color w:val="auto"/>
              </w:rPr>
            </w:pPr>
            <w:r>
              <w:rPr>
                <w:rFonts w:ascii="Arial" w:cs="Arial" w:eastAsia="Arial" w:hAnsi="Arial"/>
                <w:sz w:val="14"/>
                <w:szCs w:val="14"/>
                <w:b w:val="1"/>
                <w:bCs w:val="1"/>
                <w:color w:val="auto"/>
              </w:rPr>
              <w:t>Cannabis</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448"/>
              <w:spacing w:after="0" w:line="155" w:lineRule="exact"/>
              <w:rPr>
                <w:sz w:val="20"/>
                <w:szCs w:val="20"/>
                <w:color w:val="auto"/>
              </w:rPr>
            </w:pPr>
            <w:r>
              <w:rPr>
                <w:rFonts w:ascii="Arial" w:cs="Arial" w:eastAsia="Arial" w:hAnsi="Arial"/>
                <w:sz w:val="14"/>
                <w:szCs w:val="14"/>
                <w:b w:val="1"/>
                <w:bCs w:val="1"/>
                <w:color w:val="auto"/>
              </w:rPr>
              <w:t>Beverage</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center"/>
              <w:ind w:right="420"/>
              <w:spacing w:after="0" w:line="155" w:lineRule="exact"/>
              <w:rPr>
                <w:sz w:val="20"/>
                <w:szCs w:val="20"/>
                <w:color w:val="auto"/>
              </w:rPr>
            </w:pPr>
            <w:r>
              <w:rPr>
                <w:rFonts w:ascii="Arial" w:cs="Arial" w:eastAsia="Arial" w:hAnsi="Arial"/>
                <w:sz w:val="14"/>
                <w:szCs w:val="14"/>
                <w:b w:val="1"/>
                <w:bCs w:val="1"/>
                <w:color w:val="auto"/>
                <w:w w:val="96"/>
              </w:rPr>
              <w:t>Distribution</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437"/>
              <w:spacing w:after="0" w:line="155" w:lineRule="exact"/>
              <w:rPr>
                <w:sz w:val="20"/>
                <w:szCs w:val="20"/>
                <w:color w:val="auto"/>
              </w:rPr>
            </w:pPr>
            <w:r>
              <w:rPr>
                <w:rFonts w:ascii="Arial" w:cs="Arial" w:eastAsia="Arial" w:hAnsi="Arial"/>
                <w:sz w:val="14"/>
                <w:szCs w:val="14"/>
                <w:b w:val="1"/>
                <w:bCs w:val="1"/>
                <w:color w:val="auto"/>
                <w:w w:val="95"/>
              </w:rPr>
              <w:t>Wellness</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368"/>
              <w:spacing w:after="0" w:line="155" w:lineRule="exact"/>
              <w:rPr>
                <w:sz w:val="20"/>
                <w:szCs w:val="20"/>
                <w:color w:val="auto"/>
              </w:rPr>
            </w:pPr>
            <w:r>
              <w:rPr>
                <w:rFonts w:ascii="Arial" w:cs="Arial" w:eastAsia="Arial" w:hAnsi="Arial"/>
                <w:sz w:val="14"/>
                <w:szCs w:val="14"/>
                <w:b w:val="1"/>
                <w:bCs w:val="1"/>
                <w:color w:val="auto"/>
              </w:rPr>
              <w:t>Total</w:t>
            </w:r>
          </w:p>
        </w:tc>
        <w:tc>
          <w:tcPr>
            <w:tcW w:w="140" w:type="dxa"/>
            <w:vAlign w:val="bottom"/>
            <w:shd w:val="clear" w:color="auto" w:fill="CFF0FC"/>
          </w:tcPr>
          <w:p>
            <w:pPr>
              <w:spacing w:after="0"/>
              <w:rPr>
                <w:sz w:val="13"/>
                <w:szCs w:val="13"/>
                <w:color w:val="auto"/>
              </w:rPr>
            </w:pPr>
          </w:p>
        </w:tc>
      </w:tr>
      <w:tr>
        <w:trPr>
          <w:trHeight w:val="156"/>
        </w:trPr>
        <w:tc>
          <w:tcPr>
            <w:tcW w:w="4140" w:type="dxa"/>
            <w:vAlign w:val="bottom"/>
          </w:tcPr>
          <w:p>
            <w:pPr>
              <w:spacing w:after="0" w:line="155" w:lineRule="exact"/>
              <w:rPr>
                <w:sz w:val="20"/>
                <w:szCs w:val="20"/>
                <w:color w:val="auto"/>
              </w:rPr>
            </w:pPr>
            <w:r>
              <w:rPr>
                <w:rFonts w:ascii="Arial" w:cs="Arial" w:eastAsia="Arial" w:hAnsi="Arial"/>
                <w:sz w:val="14"/>
                <w:szCs w:val="14"/>
                <w:color w:val="auto"/>
              </w:rPr>
              <w:t>Gross revenue</w:t>
            </w: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71,358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16,549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66,792</w:t>
            </w:r>
          </w:p>
        </w:tc>
        <w:tc>
          <w:tcPr>
            <w:tcW w:w="260" w:type="dxa"/>
            <w:vAlign w:val="bottom"/>
          </w:tcPr>
          <w:p>
            <w:pPr>
              <w:spacing w:after="0"/>
              <w:rPr>
                <w:sz w:val="13"/>
                <w:szCs w:val="13"/>
                <w:color w:val="auto"/>
              </w:rPr>
            </w:pPr>
          </w:p>
        </w:tc>
        <w:tc>
          <w:tcPr>
            <w:tcW w:w="26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5,794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160,493</w:t>
            </w:r>
          </w:p>
        </w:tc>
        <w:tc>
          <w:tcPr>
            <w:tcW w:w="140" w:type="dxa"/>
            <w:vAlign w:val="bottom"/>
          </w:tcPr>
          <w:p>
            <w:pPr>
              <w:spacing w:after="0"/>
              <w:rPr>
                <w:sz w:val="13"/>
                <w:szCs w:val="13"/>
                <w:color w:val="auto"/>
              </w:rPr>
            </w:pPr>
          </w:p>
        </w:tc>
      </w:tr>
      <w:tr>
        <w:trPr>
          <w:trHeight w:val="162"/>
        </w:trPr>
        <w:tc>
          <w:tcPr>
            <w:tcW w:w="4140" w:type="dxa"/>
            <w:vAlign w:val="bottom"/>
            <w:shd w:val="clear" w:color="auto" w:fill="CFF0FC"/>
          </w:tcPr>
          <w:p>
            <w:pPr>
              <w:spacing w:after="0"/>
              <w:rPr>
                <w:sz w:val="20"/>
                <w:szCs w:val="20"/>
                <w:color w:val="auto"/>
              </w:rPr>
            </w:pPr>
            <w:r>
              <w:rPr>
                <w:rFonts w:ascii="Arial" w:cs="Arial" w:eastAsia="Arial" w:hAnsi="Arial"/>
                <w:sz w:val="14"/>
                <w:szCs w:val="14"/>
                <w:color w:val="auto"/>
              </w:rPr>
              <w:t>Excise taxes</w:t>
            </w:r>
          </w:p>
        </w:tc>
        <w:tc>
          <w:tcPr>
            <w:tcW w:w="1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(17,655)</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(602)</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37"/>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(18,257)</w:t>
            </w:r>
          </w:p>
        </w:tc>
      </w:tr>
      <w:tr>
        <w:trPr>
          <w:trHeight w:val="156"/>
        </w:trPr>
        <w:tc>
          <w:tcPr>
            <w:tcW w:w="4140" w:type="dxa"/>
            <w:vAlign w:val="bottom"/>
          </w:tcPr>
          <w:p>
            <w:pPr>
              <w:spacing w:after="0" w:line="155" w:lineRule="exact"/>
              <w:rPr>
                <w:sz w:val="20"/>
                <w:szCs w:val="20"/>
                <w:color w:val="auto"/>
              </w:rPr>
            </w:pPr>
            <w:r>
              <w:rPr>
                <w:rFonts w:ascii="Arial" w:cs="Arial" w:eastAsia="Arial" w:hAnsi="Arial"/>
                <w:sz w:val="14"/>
                <w:szCs w:val="14"/>
                <w:color w:val="auto"/>
              </w:rPr>
              <w:t>Net revenue</w:t>
            </w: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53,703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15,947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66,792</w:t>
            </w: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5,794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142,236</w:t>
            </w:r>
          </w:p>
        </w:tc>
        <w:tc>
          <w:tcPr>
            <w:tcW w:w="140" w:type="dxa"/>
            <w:vAlign w:val="bottom"/>
          </w:tcPr>
          <w:p>
            <w:pPr>
              <w:spacing w:after="0"/>
              <w:rPr>
                <w:sz w:val="13"/>
                <w:szCs w:val="13"/>
                <w:color w:val="auto"/>
              </w:rPr>
            </w:pPr>
          </w:p>
        </w:tc>
      </w:tr>
      <w:tr>
        <w:trPr>
          <w:trHeight w:val="162"/>
        </w:trPr>
        <w:tc>
          <w:tcPr>
            <w:tcW w:w="4140" w:type="dxa"/>
            <w:vAlign w:val="bottom"/>
            <w:shd w:val="clear" w:color="auto" w:fill="CFF0FC"/>
          </w:tcPr>
          <w:p>
            <w:pPr>
              <w:spacing w:after="0"/>
              <w:rPr>
                <w:sz w:val="20"/>
                <w:szCs w:val="20"/>
                <w:color w:val="auto"/>
              </w:rPr>
            </w:pPr>
            <w:r>
              <w:rPr>
                <w:rFonts w:ascii="Arial" w:cs="Arial" w:eastAsia="Arial" w:hAnsi="Arial"/>
                <w:sz w:val="14"/>
                <w:szCs w:val="14"/>
                <w:color w:val="auto"/>
              </w:rPr>
              <w:t>Cost of goods sold</w:t>
            </w:r>
          </w:p>
        </w:tc>
        <w:tc>
          <w:tcPr>
            <w:tcW w:w="1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49,731</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5,349</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60,425</w:t>
            </w:r>
          </w:p>
        </w:tc>
        <w:tc>
          <w:tcPr>
            <w:tcW w:w="26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4,233</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119,738</w:t>
            </w:r>
          </w:p>
        </w:tc>
        <w:tc>
          <w:tcPr>
            <w:tcW w:w="140" w:type="dxa"/>
            <w:vAlign w:val="bottom"/>
            <w:shd w:val="clear" w:color="auto" w:fill="CFF0FC"/>
          </w:tcPr>
          <w:p>
            <w:pPr>
              <w:spacing w:after="0"/>
              <w:rPr>
                <w:sz w:val="14"/>
                <w:szCs w:val="14"/>
                <w:color w:val="auto"/>
              </w:rPr>
            </w:pPr>
          </w:p>
        </w:tc>
      </w:tr>
      <w:tr>
        <w:trPr>
          <w:trHeight w:val="156"/>
        </w:trPr>
        <w:tc>
          <w:tcPr>
            <w:tcW w:w="41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Gross profit</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3,972</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10,598</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6,367</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1,561</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22,498</w:t>
            </w:r>
          </w:p>
        </w:tc>
        <w:tc>
          <w:tcPr>
            <w:tcW w:w="140" w:type="dxa"/>
            <w:vAlign w:val="bottom"/>
            <w:tcBorders>
              <w:bottom w:val="single" w:sz="8" w:color="CFF0FC"/>
            </w:tcBorders>
          </w:tcPr>
          <w:p>
            <w:pPr>
              <w:spacing w:after="0"/>
              <w:rPr>
                <w:sz w:val="13"/>
                <w:szCs w:val="13"/>
                <w:color w:val="auto"/>
              </w:rPr>
            </w:pPr>
          </w:p>
        </w:tc>
      </w:tr>
      <w:tr>
        <w:trPr>
          <w:trHeight w:val="155"/>
        </w:trPr>
        <w:tc>
          <w:tcPr>
            <w:tcW w:w="41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margin</w:t>
            </w:r>
          </w:p>
        </w:tc>
        <w:tc>
          <w:tcPr>
            <w:tcW w:w="1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7%</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66%</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10%</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27%</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16%</w:t>
            </w:r>
          </w:p>
        </w:tc>
      </w:tr>
      <w:tr>
        <w:trPr>
          <w:trHeight w:val="156"/>
        </w:trPr>
        <w:tc>
          <w:tcPr>
            <w:tcW w:w="4140" w:type="dxa"/>
            <w:vAlign w:val="bottom"/>
          </w:tcPr>
          <w:p>
            <w:pPr>
              <w:spacing w:after="0" w:line="155" w:lineRule="exact"/>
              <w:rPr>
                <w:sz w:val="20"/>
                <w:szCs w:val="20"/>
                <w:color w:val="auto"/>
              </w:rPr>
            </w:pPr>
            <w:r>
              <w:rPr>
                <w:rFonts w:ascii="Arial" w:cs="Arial" w:eastAsia="Arial" w:hAnsi="Arial"/>
                <w:sz w:val="14"/>
                <w:szCs w:val="14"/>
                <w:color w:val="auto"/>
              </w:rPr>
              <w:t>Adjustments:</w:t>
            </w: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41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Inventory valuation adjustment</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19,919</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37"/>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19,919</w:t>
            </w:r>
          </w:p>
        </w:tc>
        <w:tc>
          <w:tcPr>
            <w:tcW w:w="140" w:type="dxa"/>
            <w:vAlign w:val="bottom"/>
            <w:shd w:val="clear" w:color="auto" w:fill="CFF0FC"/>
          </w:tcPr>
          <w:p>
            <w:pPr>
              <w:spacing w:after="0"/>
              <w:rPr>
                <w:sz w:val="14"/>
                <w:szCs w:val="14"/>
                <w:color w:val="auto"/>
              </w:rPr>
            </w:pPr>
          </w:p>
        </w:tc>
      </w:tr>
      <w:tr>
        <w:trPr>
          <w:trHeight w:val="162"/>
        </w:trPr>
        <w:tc>
          <w:tcPr>
            <w:tcW w:w="4140" w:type="dxa"/>
            <w:vAlign w:val="bottom"/>
          </w:tcPr>
          <w:p>
            <w:pPr>
              <w:ind w:left="260"/>
              <w:spacing w:after="0"/>
              <w:rPr>
                <w:sz w:val="20"/>
                <w:szCs w:val="20"/>
                <w:color w:val="auto"/>
              </w:rPr>
            </w:pPr>
            <w:r>
              <w:rPr>
                <w:rFonts w:ascii="Arial" w:cs="Arial" w:eastAsia="Arial" w:hAnsi="Arial"/>
                <w:sz w:val="14"/>
                <w:szCs w:val="14"/>
                <w:color w:val="auto"/>
              </w:rPr>
              <w:t>Purchase price accounting step up</w:t>
            </w:r>
          </w:p>
        </w:tc>
        <w:tc>
          <w:tcPr>
            <w:tcW w:w="18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20" w:type="dxa"/>
            <w:vAlign w:val="bottom"/>
            <w:gridSpan w:val="2"/>
          </w:tcPr>
          <w:p>
            <w:pPr>
              <w:jc w:val="right"/>
              <w:ind w:right="13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6"/>
        </w:trPr>
        <w:tc>
          <w:tcPr>
            <w:tcW w:w="41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Adjusted gross profit</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23,891</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10,598</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6,367</w:t>
            </w:r>
          </w:p>
        </w:tc>
        <w:tc>
          <w:tcPr>
            <w:tcW w:w="2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1,561</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42,417</w:t>
            </w:r>
          </w:p>
        </w:tc>
        <w:tc>
          <w:tcPr>
            <w:tcW w:w="140" w:type="dxa"/>
            <w:vAlign w:val="bottom"/>
            <w:tcBorders>
              <w:top w:val="single" w:sz="8" w:color="CFF0FC"/>
            </w:tcBorders>
            <w:shd w:val="clear" w:color="auto" w:fill="CFF0FC"/>
          </w:tcPr>
          <w:p>
            <w:pPr>
              <w:spacing w:after="0"/>
              <w:rPr>
                <w:sz w:val="13"/>
                <w:szCs w:val="13"/>
                <w:color w:val="auto"/>
              </w:rPr>
            </w:pPr>
          </w:p>
        </w:tc>
      </w:tr>
      <w:tr>
        <w:trPr>
          <w:trHeight w:val="156"/>
        </w:trPr>
        <w:tc>
          <w:tcPr>
            <w:tcW w:w="4140" w:type="dxa"/>
            <w:vAlign w:val="bottom"/>
          </w:tcPr>
          <w:p>
            <w:pPr>
              <w:spacing w:after="0" w:line="155" w:lineRule="exact"/>
              <w:rPr>
                <w:sz w:val="20"/>
                <w:szCs w:val="20"/>
                <w:color w:val="auto"/>
              </w:rPr>
            </w:pPr>
            <w:r>
              <w:rPr>
                <w:rFonts w:ascii="Arial" w:cs="Arial" w:eastAsia="Arial" w:hAnsi="Arial"/>
                <w:sz w:val="14"/>
                <w:szCs w:val="14"/>
                <w:color w:val="auto"/>
              </w:rPr>
              <w:t>Adjusted gross margin</w:t>
            </w:r>
          </w:p>
        </w:tc>
        <w:tc>
          <w:tcPr>
            <w:tcW w:w="180" w:type="dxa"/>
            <w:vAlign w:val="bottom"/>
          </w:tcPr>
          <w:p>
            <w:pPr>
              <w:spacing w:after="0"/>
              <w:rPr>
                <w:sz w:val="13"/>
                <w:szCs w:val="13"/>
                <w:color w:val="auto"/>
              </w:rPr>
            </w:pPr>
          </w:p>
        </w:tc>
        <w:tc>
          <w:tcPr>
            <w:tcW w:w="11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66%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10%</w:t>
            </w:r>
          </w:p>
        </w:tc>
        <w:tc>
          <w:tcPr>
            <w:tcW w:w="260" w:type="dxa"/>
            <w:vAlign w:val="bottom"/>
          </w:tcPr>
          <w:p>
            <w:pPr>
              <w:spacing w:after="0"/>
              <w:rPr>
                <w:sz w:val="13"/>
                <w:szCs w:val="13"/>
                <w:color w:val="auto"/>
              </w:rPr>
            </w:pPr>
          </w:p>
        </w:tc>
        <w:tc>
          <w:tcPr>
            <w:tcW w:w="11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30%</w:t>
            </w:r>
          </w:p>
        </w:tc>
      </w:tr>
      <w:tr>
        <w:trPr>
          <w:trHeight w:val="155"/>
        </w:trPr>
        <w:tc>
          <w:tcPr>
            <w:tcW w:w="4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41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2980" w:type="dxa"/>
            <w:vAlign w:val="bottom"/>
            <w:tcBorders>
              <w:bottom w:val="single" w:sz="8" w:color="auto"/>
            </w:tcBorders>
            <w:gridSpan w:val="7"/>
            <w:shd w:val="clear" w:color="auto" w:fill="CFF0FC"/>
          </w:tcPr>
          <w:p>
            <w:pPr>
              <w:jc w:val="center"/>
              <w:ind w:left="668"/>
              <w:spacing w:after="0"/>
              <w:rPr>
                <w:sz w:val="20"/>
                <w:szCs w:val="20"/>
                <w:color w:val="auto"/>
              </w:rPr>
            </w:pPr>
            <w:r>
              <w:rPr>
                <w:rFonts w:ascii="Arial" w:cs="Arial" w:eastAsia="Arial" w:hAnsi="Arial"/>
                <w:sz w:val="14"/>
                <w:szCs w:val="14"/>
                <w:b w:val="1"/>
                <w:bCs w:val="1"/>
                <w:color w:val="auto"/>
                <w:w w:val="93"/>
              </w:rPr>
              <w:t>Three months ended May 31, 2020</w:t>
            </w:r>
          </w:p>
        </w:tc>
        <w:tc>
          <w:tcPr>
            <w:tcW w:w="92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55"/>
        </w:trPr>
        <w:tc>
          <w:tcPr>
            <w:tcW w:w="4140" w:type="dxa"/>
            <w:vAlign w:val="bottom"/>
          </w:tcPr>
          <w:p>
            <w:pPr>
              <w:spacing w:after="0" w:line="155" w:lineRule="exact"/>
              <w:rPr>
                <w:sz w:val="20"/>
                <w:szCs w:val="20"/>
                <w:color w:val="auto"/>
              </w:rPr>
            </w:pPr>
            <w:r>
              <w:rPr>
                <w:rFonts w:ascii="Arial" w:cs="Arial" w:eastAsia="Arial" w:hAnsi="Arial"/>
                <w:sz w:val="14"/>
                <w:szCs w:val="14"/>
                <w:b w:val="1"/>
                <w:bCs w:val="1"/>
                <w:color w:val="auto"/>
              </w:rPr>
              <w:t>Gross profit (excluding adjustments)</w:t>
            </w:r>
          </w:p>
        </w:tc>
        <w:tc>
          <w:tcPr>
            <w:tcW w:w="180" w:type="dxa"/>
            <w:vAlign w:val="bottom"/>
          </w:tcPr>
          <w:p>
            <w:pPr>
              <w:spacing w:after="0"/>
              <w:rPr>
                <w:sz w:val="13"/>
                <w:szCs w:val="13"/>
                <w:color w:val="auto"/>
              </w:rPr>
            </w:pPr>
          </w:p>
        </w:tc>
        <w:tc>
          <w:tcPr>
            <w:tcW w:w="118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Cannabis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448"/>
              <w:spacing w:after="0" w:line="155" w:lineRule="exact"/>
              <w:rPr>
                <w:sz w:val="20"/>
                <w:szCs w:val="20"/>
                <w:color w:val="auto"/>
              </w:rPr>
            </w:pPr>
            <w:r>
              <w:rPr>
                <w:rFonts w:ascii="Arial" w:cs="Arial" w:eastAsia="Arial" w:hAnsi="Arial"/>
                <w:sz w:val="14"/>
                <w:szCs w:val="14"/>
                <w:b w:val="1"/>
                <w:bCs w:val="1"/>
                <w:color w:val="auto"/>
              </w:rPr>
              <w:t>Beverage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6"/>
              </w:rPr>
              <w:t>Distribution</w:t>
            </w:r>
          </w:p>
        </w:tc>
        <w:tc>
          <w:tcPr>
            <w:tcW w:w="260" w:type="dxa"/>
            <w:vAlign w:val="bottom"/>
          </w:tcPr>
          <w:p>
            <w:pPr>
              <w:spacing w:after="0"/>
              <w:rPr>
                <w:sz w:val="13"/>
                <w:szCs w:val="13"/>
                <w:color w:val="auto"/>
              </w:rPr>
            </w:pPr>
          </w:p>
        </w:tc>
        <w:tc>
          <w:tcPr>
            <w:tcW w:w="1120" w:type="dxa"/>
            <w:vAlign w:val="bottom"/>
            <w:gridSpan w:val="2"/>
          </w:tcPr>
          <w:p>
            <w:pPr>
              <w:jc w:val="right"/>
              <w:ind w:right="437"/>
              <w:spacing w:after="0" w:line="155" w:lineRule="exact"/>
              <w:rPr>
                <w:sz w:val="20"/>
                <w:szCs w:val="20"/>
                <w:color w:val="auto"/>
              </w:rPr>
            </w:pPr>
            <w:r>
              <w:rPr>
                <w:rFonts w:ascii="Arial" w:cs="Arial" w:eastAsia="Arial" w:hAnsi="Arial"/>
                <w:sz w:val="14"/>
                <w:szCs w:val="14"/>
                <w:b w:val="1"/>
                <w:bCs w:val="1"/>
                <w:color w:val="auto"/>
                <w:w w:val="95"/>
              </w:rPr>
              <w:t>Wellness</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r>
      <w:tr>
        <w:trPr>
          <w:trHeight w:val="156"/>
        </w:trPr>
        <w:tc>
          <w:tcPr>
            <w:tcW w:w="41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Gross revenue</w:t>
            </w: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48,833</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73,955</w:t>
            </w:r>
          </w:p>
        </w:tc>
        <w:tc>
          <w:tcPr>
            <w:tcW w:w="2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r>
      <w:tr>
        <w:trPr>
          <w:trHeight w:val="162"/>
        </w:trPr>
        <w:tc>
          <w:tcPr>
            <w:tcW w:w="4140" w:type="dxa"/>
            <w:vAlign w:val="bottom"/>
          </w:tcPr>
          <w:p>
            <w:pPr>
              <w:spacing w:after="0"/>
              <w:rPr>
                <w:sz w:val="20"/>
                <w:szCs w:val="20"/>
                <w:color w:val="auto"/>
              </w:rPr>
            </w:pPr>
            <w:r>
              <w:rPr>
                <w:rFonts w:ascii="Arial" w:cs="Arial" w:eastAsia="Arial" w:hAnsi="Arial"/>
                <w:sz w:val="14"/>
                <w:szCs w:val="14"/>
                <w:color w:val="auto"/>
              </w:rPr>
              <w:t>Excise taxes</w:t>
            </w:r>
          </w:p>
        </w:tc>
        <w:tc>
          <w:tcPr>
            <w:tcW w:w="1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(9,246)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20" w:type="dxa"/>
            <w:vAlign w:val="bottom"/>
            <w:gridSpan w:val="2"/>
          </w:tcPr>
          <w:p>
            <w:pPr>
              <w:jc w:val="right"/>
              <w:ind w:right="13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6"/>
        </w:trPr>
        <w:tc>
          <w:tcPr>
            <w:tcW w:w="41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revenue</w:t>
            </w:r>
          </w:p>
        </w:tc>
        <w:tc>
          <w:tcPr>
            <w:tcW w:w="1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39,587</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73,955</w:t>
            </w:r>
          </w:p>
        </w:tc>
        <w:tc>
          <w:tcPr>
            <w:tcW w:w="2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113,542</w:t>
            </w:r>
          </w:p>
        </w:tc>
        <w:tc>
          <w:tcPr>
            <w:tcW w:w="140" w:type="dxa"/>
            <w:vAlign w:val="bottom"/>
            <w:tcBorders>
              <w:top w:val="single" w:sz="8" w:color="CFF0FC"/>
            </w:tcBorders>
            <w:shd w:val="clear" w:color="auto" w:fill="CFF0FC"/>
          </w:tcPr>
          <w:p>
            <w:pPr>
              <w:spacing w:after="0"/>
              <w:rPr>
                <w:sz w:val="13"/>
                <w:szCs w:val="13"/>
                <w:color w:val="auto"/>
              </w:rPr>
            </w:pPr>
          </w:p>
        </w:tc>
      </w:tr>
      <w:tr>
        <w:trPr>
          <w:trHeight w:val="162"/>
        </w:trPr>
        <w:tc>
          <w:tcPr>
            <w:tcW w:w="4140" w:type="dxa"/>
            <w:vAlign w:val="bottom"/>
          </w:tcPr>
          <w:p>
            <w:pPr>
              <w:spacing w:after="0"/>
              <w:rPr>
                <w:sz w:val="20"/>
                <w:szCs w:val="20"/>
                <w:color w:val="auto"/>
              </w:rPr>
            </w:pPr>
            <w:r>
              <w:rPr>
                <w:rFonts w:ascii="Arial" w:cs="Arial" w:eastAsia="Arial" w:hAnsi="Arial"/>
                <w:sz w:val="14"/>
                <w:szCs w:val="14"/>
                <w:color w:val="auto"/>
              </w:rPr>
              <w:t>Cost of goods sold</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20,692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65,043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3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85,735</w:t>
            </w:r>
          </w:p>
        </w:tc>
        <w:tc>
          <w:tcPr>
            <w:tcW w:w="140" w:type="dxa"/>
            <w:vAlign w:val="bottom"/>
          </w:tcPr>
          <w:p>
            <w:pPr>
              <w:spacing w:after="0"/>
              <w:rPr>
                <w:sz w:val="14"/>
                <w:szCs w:val="14"/>
                <w:color w:val="auto"/>
              </w:rPr>
            </w:pPr>
          </w:p>
        </w:tc>
      </w:tr>
      <w:tr>
        <w:trPr>
          <w:trHeight w:val="156"/>
        </w:trPr>
        <w:tc>
          <w:tcPr>
            <w:tcW w:w="41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Gross profit</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18,895</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8,912</w:t>
            </w:r>
          </w:p>
        </w:tc>
        <w:tc>
          <w:tcPr>
            <w:tcW w:w="2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27,807</w:t>
            </w:r>
          </w:p>
        </w:tc>
        <w:tc>
          <w:tcPr>
            <w:tcW w:w="140" w:type="dxa"/>
            <w:vAlign w:val="bottom"/>
            <w:tcBorders>
              <w:top w:val="single" w:sz="8" w:color="CFF0FC"/>
            </w:tcBorders>
            <w:shd w:val="clear" w:color="auto" w:fill="CFF0FC"/>
          </w:tcPr>
          <w:p>
            <w:pPr>
              <w:spacing w:after="0"/>
              <w:rPr>
                <w:sz w:val="13"/>
                <w:szCs w:val="13"/>
                <w:color w:val="auto"/>
              </w:rPr>
            </w:pPr>
          </w:p>
        </w:tc>
      </w:tr>
      <w:tr>
        <w:trPr>
          <w:trHeight w:val="155"/>
        </w:trPr>
        <w:tc>
          <w:tcPr>
            <w:tcW w:w="4140" w:type="dxa"/>
            <w:vAlign w:val="bottom"/>
          </w:tcPr>
          <w:p>
            <w:pPr>
              <w:spacing w:after="0" w:line="155" w:lineRule="exact"/>
              <w:rPr>
                <w:sz w:val="20"/>
                <w:szCs w:val="20"/>
                <w:color w:val="auto"/>
              </w:rPr>
            </w:pPr>
            <w:r>
              <w:rPr>
                <w:rFonts w:ascii="Arial" w:cs="Arial" w:eastAsia="Arial" w:hAnsi="Arial"/>
                <w:sz w:val="14"/>
                <w:szCs w:val="14"/>
                <w:color w:val="auto"/>
              </w:rPr>
              <w:t>Gross margin</w:t>
            </w:r>
          </w:p>
        </w:tc>
        <w:tc>
          <w:tcPr>
            <w:tcW w:w="180" w:type="dxa"/>
            <w:vAlign w:val="bottom"/>
          </w:tcPr>
          <w:p>
            <w:pPr>
              <w:spacing w:after="0"/>
              <w:rPr>
                <w:sz w:val="13"/>
                <w:szCs w:val="13"/>
                <w:color w:val="auto"/>
              </w:rPr>
            </w:pPr>
          </w:p>
        </w:tc>
        <w:tc>
          <w:tcPr>
            <w:tcW w:w="11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line="155" w:lineRule="exact"/>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12%</w:t>
            </w:r>
          </w:p>
        </w:tc>
        <w:tc>
          <w:tcPr>
            <w:tcW w:w="2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24%</w:t>
            </w:r>
          </w:p>
        </w:tc>
      </w:tr>
      <w:tr>
        <w:trPr>
          <w:trHeight w:val="156"/>
        </w:trPr>
        <w:tc>
          <w:tcPr>
            <w:tcW w:w="41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Adjustments:</w:t>
            </w:r>
          </w:p>
        </w:tc>
        <w:tc>
          <w:tcPr>
            <w:tcW w:w="1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r>
      <w:tr>
        <w:trPr>
          <w:trHeight w:val="162"/>
        </w:trPr>
        <w:tc>
          <w:tcPr>
            <w:tcW w:w="4140" w:type="dxa"/>
            <w:vAlign w:val="bottom"/>
          </w:tcPr>
          <w:p>
            <w:pPr>
              <w:ind w:left="260"/>
              <w:spacing w:after="0"/>
              <w:rPr>
                <w:sz w:val="20"/>
                <w:szCs w:val="20"/>
                <w:color w:val="auto"/>
              </w:rPr>
            </w:pPr>
            <w:r>
              <w:rPr>
                <w:rFonts w:ascii="Arial" w:cs="Arial" w:eastAsia="Arial" w:hAnsi="Arial"/>
                <w:sz w:val="14"/>
                <w:szCs w:val="14"/>
                <w:color w:val="auto"/>
              </w:rPr>
              <w:t>Inventory valuation adjustment</w:t>
            </w:r>
          </w:p>
        </w:tc>
        <w:tc>
          <w:tcPr>
            <w:tcW w:w="18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20" w:type="dxa"/>
            <w:vAlign w:val="bottom"/>
            <w:gridSpan w:val="2"/>
          </w:tcPr>
          <w:p>
            <w:pPr>
              <w:jc w:val="right"/>
              <w:ind w:right="13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6"/>
        </w:trPr>
        <w:tc>
          <w:tcPr>
            <w:tcW w:w="414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Purchase price accounting step up</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r>
      <w:tr>
        <w:trPr>
          <w:trHeight w:val="155"/>
        </w:trPr>
        <w:tc>
          <w:tcPr>
            <w:tcW w:w="41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Adjusted gross profit</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18,895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8,912</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27,807</w:t>
            </w:r>
          </w:p>
        </w:tc>
        <w:tc>
          <w:tcPr>
            <w:tcW w:w="140" w:type="dxa"/>
            <w:vAlign w:val="bottom"/>
            <w:tcBorders>
              <w:bottom w:val="single" w:sz="8" w:color="CFF0FC"/>
            </w:tcBorders>
          </w:tcPr>
          <w:p>
            <w:pPr>
              <w:spacing w:after="0"/>
              <w:rPr>
                <w:sz w:val="13"/>
                <w:szCs w:val="13"/>
                <w:color w:val="auto"/>
              </w:rPr>
            </w:pPr>
          </w:p>
        </w:tc>
      </w:tr>
      <w:tr>
        <w:trPr>
          <w:trHeight w:val="156"/>
        </w:trPr>
        <w:tc>
          <w:tcPr>
            <w:tcW w:w="41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Adjusted gross margin</w:t>
            </w:r>
          </w:p>
        </w:tc>
        <w:tc>
          <w:tcPr>
            <w:tcW w:w="1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48%</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9"/>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12%</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9"/>
              </w:rPr>
              <w:t>%</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24%</w:t>
            </w:r>
          </w:p>
        </w:tc>
      </w:tr>
      <w:tr>
        <w:trPr>
          <w:trHeight w:val="20"/>
        </w:trPr>
        <w:tc>
          <w:tcPr>
            <w:tcW w:w="4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41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Gross profit</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3"/>
              </w:rPr>
              <w:t>Year ended May 31, 2021</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r>
      <w:tr>
        <w:trPr>
          <w:trHeight w:val="155"/>
        </w:trPr>
        <w:tc>
          <w:tcPr>
            <w:tcW w:w="41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Gross profit (excluding adjustments)</w:t>
            </w:r>
          </w:p>
        </w:tc>
        <w:tc>
          <w:tcPr>
            <w:tcW w:w="1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480"/>
              <w:spacing w:after="0" w:line="155" w:lineRule="exact"/>
              <w:rPr>
                <w:sz w:val="20"/>
                <w:szCs w:val="20"/>
                <w:color w:val="auto"/>
              </w:rPr>
            </w:pPr>
            <w:r>
              <w:rPr>
                <w:rFonts w:ascii="Arial" w:cs="Arial" w:eastAsia="Arial" w:hAnsi="Arial"/>
                <w:sz w:val="14"/>
                <w:szCs w:val="14"/>
                <w:b w:val="1"/>
                <w:bCs w:val="1"/>
                <w:color w:val="auto"/>
              </w:rPr>
              <w:t>Cannabis</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448"/>
              <w:spacing w:after="0" w:line="155" w:lineRule="exact"/>
              <w:rPr>
                <w:sz w:val="20"/>
                <w:szCs w:val="20"/>
                <w:color w:val="auto"/>
              </w:rPr>
            </w:pPr>
            <w:r>
              <w:rPr>
                <w:rFonts w:ascii="Arial" w:cs="Arial" w:eastAsia="Arial" w:hAnsi="Arial"/>
                <w:sz w:val="14"/>
                <w:szCs w:val="14"/>
                <w:b w:val="1"/>
                <w:bCs w:val="1"/>
                <w:color w:val="auto"/>
              </w:rPr>
              <w:t>Beverage</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center"/>
              <w:ind w:right="420"/>
              <w:spacing w:after="0" w:line="155" w:lineRule="exact"/>
              <w:rPr>
                <w:sz w:val="20"/>
                <w:szCs w:val="20"/>
                <w:color w:val="auto"/>
              </w:rPr>
            </w:pPr>
            <w:r>
              <w:rPr>
                <w:rFonts w:ascii="Arial" w:cs="Arial" w:eastAsia="Arial" w:hAnsi="Arial"/>
                <w:sz w:val="14"/>
                <w:szCs w:val="14"/>
                <w:b w:val="1"/>
                <w:bCs w:val="1"/>
                <w:color w:val="auto"/>
                <w:w w:val="96"/>
              </w:rPr>
              <w:t>Distribution</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437"/>
              <w:spacing w:after="0" w:line="155" w:lineRule="exact"/>
              <w:rPr>
                <w:sz w:val="20"/>
                <w:szCs w:val="20"/>
                <w:color w:val="auto"/>
              </w:rPr>
            </w:pPr>
            <w:r>
              <w:rPr>
                <w:rFonts w:ascii="Arial" w:cs="Arial" w:eastAsia="Arial" w:hAnsi="Arial"/>
                <w:sz w:val="14"/>
                <w:szCs w:val="14"/>
                <w:b w:val="1"/>
                <w:bCs w:val="1"/>
                <w:color w:val="auto"/>
                <w:w w:val="95"/>
              </w:rPr>
              <w:t>Wellness</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368"/>
              <w:spacing w:after="0" w:line="155" w:lineRule="exact"/>
              <w:rPr>
                <w:sz w:val="20"/>
                <w:szCs w:val="20"/>
                <w:color w:val="auto"/>
              </w:rPr>
            </w:pPr>
            <w:r>
              <w:rPr>
                <w:rFonts w:ascii="Arial" w:cs="Arial" w:eastAsia="Arial" w:hAnsi="Arial"/>
                <w:sz w:val="14"/>
                <w:szCs w:val="14"/>
                <w:b w:val="1"/>
                <w:bCs w:val="1"/>
                <w:color w:val="auto"/>
              </w:rPr>
              <w:t>Total</w:t>
            </w:r>
          </w:p>
        </w:tc>
        <w:tc>
          <w:tcPr>
            <w:tcW w:w="140" w:type="dxa"/>
            <w:vAlign w:val="bottom"/>
            <w:shd w:val="clear" w:color="auto" w:fill="CFF0FC"/>
          </w:tcPr>
          <w:p>
            <w:pPr>
              <w:spacing w:after="0"/>
              <w:rPr>
                <w:sz w:val="13"/>
                <w:szCs w:val="13"/>
                <w:color w:val="auto"/>
              </w:rPr>
            </w:pPr>
          </w:p>
        </w:tc>
      </w:tr>
      <w:tr>
        <w:trPr>
          <w:trHeight w:val="155"/>
        </w:trPr>
        <w:tc>
          <w:tcPr>
            <w:tcW w:w="4140" w:type="dxa"/>
            <w:vAlign w:val="bottom"/>
          </w:tcPr>
          <w:p>
            <w:pPr>
              <w:spacing w:after="0" w:line="155" w:lineRule="exact"/>
              <w:rPr>
                <w:sz w:val="20"/>
                <w:szCs w:val="20"/>
                <w:color w:val="auto"/>
              </w:rPr>
            </w:pPr>
            <w:r>
              <w:rPr>
                <w:rFonts w:ascii="Arial" w:cs="Arial" w:eastAsia="Arial" w:hAnsi="Arial"/>
                <w:sz w:val="14"/>
                <w:szCs w:val="14"/>
                <w:color w:val="auto"/>
              </w:rPr>
              <w:t>Gross revenue</w:t>
            </w: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264,334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29,661</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277,300</w:t>
            </w:r>
          </w:p>
        </w:tc>
        <w:tc>
          <w:tcPr>
            <w:tcW w:w="260" w:type="dxa"/>
            <w:vAlign w:val="bottom"/>
          </w:tcPr>
          <w:p>
            <w:pPr>
              <w:spacing w:after="0"/>
              <w:rPr>
                <w:sz w:val="13"/>
                <w:szCs w:val="13"/>
                <w:color w:val="auto"/>
              </w:rPr>
            </w:pPr>
          </w:p>
        </w:tc>
        <w:tc>
          <w:tcPr>
            <w:tcW w:w="26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5,794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577,089</w:t>
            </w:r>
          </w:p>
        </w:tc>
        <w:tc>
          <w:tcPr>
            <w:tcW w:w="140" w:type="dxa"/>
            <w:vAlign w:val="bottom"/>
          </w:tcPr>
          <w:p>
            <w:pPr>
              <w:spacing w:after="0"/>
              <w:rPr>
                <w:sz w:val="13"/>
                <w:szCs w:val="13"/>
                <w:color w:val="auto"/>
              </w:rPr>
            </w:pPr>
          </w:p>
        </w:tc>
      </w:tr>
      <w:tr>
        <w:trPr>
          <w:trHeight w:val="162"/>
        </w:trPr>
        <w:tc>
          <w:tcPr>
            <w:tcW w:w="4140" w:type="dxa"/>
            <w:vAlign w:val="bottom"/>
            <w:shd w:val="clear" w:color="auto" w:fill="CFF0FC"/>
          </w:tcPr>
          <w:p>
            <w:pPr>
              <w:spacing w:after="0"/>
              <w:rPr>
                <w:sz w:val="20"/>
                <w:szCs w:val="20"/>
                <w:color w:val="auto"/>
              </w:rPr>
            </w:pPr>
            <w:r>
              <w:rPr>
                <w:rFonts w:ascii="Arial" w:cs="Arial" w:eastAsia="Arial" w:hAnsi="Arial"/>
                <w:sz w:val="14"/>
                <w:szCs w:val="14"/>
                <w:color w:val="auto"/>
              </w:rPr>
              <w:t>Excise taxes</w:t>
            </w:r>
          </w:p>
        </w:tc>
        <w:tc>
          <w:tcPr>
            <w:tcW w:w="1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(62,942)</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(1,062)</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37"/>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(64,004)</w:t>
            </w:r>
          </w:p>
        </w:tc>
      </w:tr>
      <w:tr>
        <w:trPr>
          <w:trHeight w:val="155"/>
        </w:trPr>
        <w:tc>
          <w:tcPr>
            <w:tcW w:w="4140" w:type="dxa"/>
            <w:vAlign w:val="bottom"/>
          </w:tcPr>
          <w:p>
            <w:pPr>
              <w:spacing w:after="0" w:line="155" w:lineRule="exact"/>
              <w:rPr>
                <w:sz w:val="20"/>
                <w:szCs w:val="20"/>
                <w:color w:val="auto"/>
              </w:rPr>
            </w:pPr>
            <w:r>
              <w:rPr>
                <w:rFonts w:ascii="Arial" w:cs="Arial" w:eastAsia="Arial" w:hAnsi="Arial"/>
                <w:sz w:val="14"/>
                <w:szCs w:val="14"/>
                <w:color w:val="auto"/>
              </w:rPr>
              <w:t>Net revenue</w:t>
            </w: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201,392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28,599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277,300</w:t>
            </w: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5,794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513,085</w:t>
            </w:r>
          </w:p>
        </w:tc>
        <w:tc>
          <w:tcPr>
            <w:tcW w:w="140" w:type="dxa"/>
            <w:vAlign w:val="bottom"/>
          </w:tcPr>
          <w:p>
            <w:pPr>
              <w:spacing w:after="0"/>
              <w:rPr>
                <w:sz w:val="13"/>
                <w:szCs w:val="13"/>
                <w:color w:val="auto"/>
              </w:rPr>
            </w:pPr>
          </w:p>
        </w:tc>
      </w:tr>
      <w:tr>
        <w:trPr>
          <w:trHeight w:val="162"/>
        </w:trPr>
        <w:tc>
          <w:tcPr>
            <w:tcW w:w="4140" w:type="dxa"/>
            <w:vAlign w:val="bottom"/>
            <w:shd w:val="clear" w:color="auto" w:fill="CFF0FC"/>
          </w:tcPr>
          <w:p>
            <w:pPr>
              <w:spacing w:after="0"/>
              <w:rPr>
                <w:sz w:val="20"/>
                <w:szCs w:val="20"/>
                <w:color w:val="auto"/>
              </w:rPr>
            </w:pPr>
            <w:r>
              <w:rPr>
                <w:rFonts w:ascii="Arial" w:cs="Arial" w:eastAsia="Arial" w:hAnsi="Arial"/>
                <w:sz w:val="14"/>
                <w:szCs w:val="14"/>
                <w:color w:val="auto"/>
              </w:rPr>
              <w:t>Cost of goods sold</w:t>
            </w:r>
          </w:p>
        </w:tc>
        <w:tc>
          <w:tcPr>
            <w:tcW w:w="1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130,511</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12,687</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242,472</w:t>
            </w:r>
          </w:p>
        </w:tc>
        <w:tc>
          <w:tcPr>
            <w:tcW w:w="26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4,233</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389,903</w:t>
            </w:r>
          </w:p>
        </w:tc>
        <w:tc>
          <w:tcPr>
            <w:tcW w:w="140" w:type="dxa"/>
            <w:vAlign w:val="bottom"/>
            <w:shd w:val="clear" w:color="auto" w:fill="CFF0FC"/>
          </w:tcPr>
          <w:p>
            <w:pPr>
              <w:spacing w:after="0"/>
              <w:rPr>
                <w:sz w:val="14"/>
                <w:szCs w:val="14"/>
                <w:color w:val="auto"/>
              </w:rPr>
            </w:pPr>
          </w:p>
        </w:tc>
      </w:tr>
      <w:tr>
        <w:trPr>
          <w:trHeight w:val="155"/>
        </w:trPr>
        <w:tc>
          <w:tcPr>
            <w:tcW w:w="41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Gross profit</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70,881</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15,912</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34,828</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1,561</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123,182</w:t>
            </w:r>
          </w:p>
        </w:tc>
        <w:tc>
          <w:tcPr>
            <w:tcW w:w="140" w:type="dxa"/>
            <w:vAlign w:val="bottom"/>
            <w:tcBorders>
              <w:bottom w:val="single" w:sz="8" w:color="CFF0FC"/>
            </w:tcBorders>
          </w:tcPr>
          <w:p>
            <w:pPr>
              <w:spacing w:after="0"/>
              <w:rPr>
                <w:sz w:val="13"/>
                <w:szCs w:val="13"/>
                <w:color w:val="auto"/>
              </w:rPr>
            </w:pPr>
          </w:p>
        </w:tc>
      </w:tr>
      <w:tr>
        <w:trPr>
          <w:trHeight w:val="155"/>
        </w:trPr>
        <w:tc>
          <w:tcPr>
            <w:tcW w:w="41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margin</w:t>
            </w:r>
          </w:p>
        </w:tc>
        <w:tc>
          <w:tcPr>
            <w:tcW w:w="1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35%</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56%</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13%</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27%</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24%</w:t>
            </w:r>
          </w:p>
        </w:tc>
      </w:tr>
      <w:tr>
        <w:trPr>
          <w:trHeight w:val="155"/>
        </w:trPr>
        <w:tc>
          <w:tcPr>
            <w:tcW w:w="4140" w:type="dxa"/>
            <w:vAlign w:val="bottom"/>
          </w:tcPr>
          <w:p>
            <w:pPr>
              <w:spacing w:after="0" w:line="155" w:lineRule="exact"/>
              <w:rPr>
                <w:sz w:val="20"/>
                <w:szCs w:val="20"/>
                <w:color w:val="auto"/>
              </w:rPr>
            </w:pPr>
            <w:r>
              <w:rPr>
                <w:rFonts w:ascii="Arial" w:cs="Arial" w:eastAsia="Arial" w:hAnsi="Arial"/>
                <w:sz w:val="14"/>
                <w:szCs w:val="14"/>
                <w:color w:val="auto"/>
              </w:rPr>
              <w:t>Adjustments:</w:t>
            </w: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41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Inventory valuation adjustment</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19,919</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37"/>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19,919</w:t>
            </w:r>
          </w:p>
        </w:tc>
        <w:tc>
          <w:tcPr>
            <w:tcW w:w="140" w:type="dxa"/>
            <w:vAlign w:val="bottom"/>
            <w:shd w:val="clear" w:color="auto" w:fill="CFF0FC"/>
          </w:tcPr>
          <w:p>
            <w:pPr>
              <w:spacing w:after="0"/>
              <w:rPr>
                <w:sz w:val="14"/>
                <w:szCs w:val="14"/>
                <w:color w:val="auto"/>
              </w:rPr>
            </w:pPr>
          </w:p>
        </w:tc>
      </w:tr>
      <w:tr>
        <w:trPr>
          <w:trHeight w:val="162"/>
        </w:trPr>
        <w:tc>
          <w:tcPr>
            <w:tcW w:w="4140" w:type="dxa"/>
            <w:vAlign w:val="bottom"/>
          </w:tcPr>
          <w:p>
            <w:pPr>
              <w:ind w:left="260"/>
              <w:spacing w:after="0"/>
              <w:rPr>
                <w:sz w:val="20"/>
                <w:szCs w:val="20"/>
                <w:color w:val="auto"/>
              </w:rPr>
            </w:pPr>
            <w:r>
              <w:rPr>
                <w:rFonts w:ascii="Arial" w:cs="Arial" w:eastAsia="Arial" w:hAnsi="Arial"/>
                <w:sz w:val="14"/>
                <w:szCs w:val="14"/>
                <w:color w:val="auto"/>
              </w:rPr>
              <w:t>Purchase price accounting step up</w:t>
            </w:r>
          </w:p>
        </w:tc>
        <w:tc>
          <w:tcPr>
            <w:tcW w:w="18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20" w:type="dxa"/>
            <w:vAlign w:val="bottom"/>
            <w:gridSpan w:val="2"/>
          </w:tcPr>
          <w:p>
            <w:pPr>
              <w:jc w:val="right"/>
              <w:ind w:right="13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835</w:t>
            </w:r>
          </w:p>
        </w:tc>
        <w:tc>
          <w:tcPr>
            <w:tcW w:w="140" w:type="dxa"/>
            <w:vAlign w:val="bottom"/>
          </w:tcPr>
          <w:p>
            <w:pPr>
              <w:spacing w:after="0"/>
              <w:rPr>
                <w:sz w:val="14"/>
                <w:szCs w:val="14"/>
                <w:color w:val="auto"/>
              </w:rPr>
            </w:pPr>
          </w:p>
        </w:tc>
      </w:tr>
      <w:tr>
        <w:trPr>
          <w:trHeight w:val="155"/>
        </w:trPr>
        <w:tc>
          <w:tcPr>
            <w:tcW w:w="41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Adjusted gross profit</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90,800</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16,747</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34,828</w:t>
            </w:r>
          </w:p>
        </w:tc>
        <w:tc>
          <w:tcPr>
            <w:tcW w:w="2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1,561</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143,936</w:t>
            </w:r>
          </w:p>
        </w:tc>
        <w:tc>
          <w:tcPr>
            <w:tcW w:w="140" w:type="dxa"/>
            <w:vAlign w:val="bottom"/>
            <w:tcBorders>
              <w:top w:val="single" w:sz="8" w:color="CFF0FC"/>
            </w:tcBorders>
            <w:shd w:val="clear" w:color="auto" w:fill="CFF0FC"/>
          </w:tcPr>
          <w:p>
            <w:pPr>
              <w:spacing w:after="0"/>
              <w:rPr>
                <w:sz w:val="13"/>
                <w:szCs w:val="13"/>
                <w:color w:val="auto"/>
              </w:rPr>
            </w:pPr>
          </w:p>
        </w:tc>
      </w:tr>
      <w:tr>
        <w:trPr>
          <w:trHeight w:val="155"/>
        </w:trPr>
        <w:tc>
          <w:tcPr>
            <w:tcW w:w="4140" w:type="dxa"/>
            <w:vAlign w:val="bottom"/>
          </w:tcPr>
          <w:p>
            <w:pPr>
              <w:spacing w:after="0" w:line="155" w:lineRule="exact"/>
              <w:rPr>
                <w:sz w:val="20"/>
                <w:szCs w:val="20"/>
                <w:color w:val="auto"/>
              </w:rPr>
            </w:pPr>
            <w:r>
              <w:rPr>
                <w:rFonts w:ascii="Arial" w:cs="Arial" w:eastAsia="Arial" w:hAnsi="Arial"/>
                <w:sz w:val="14"/>
                <w:szCs w:val="14"/>
                <w:color w:val="auto"/>
              </w:rPr>
              <w:t>Adjusted gross margin</w:t>
            </w:r>
          </w:p>
        </w:tc>
        <w:tc>
          <w:tcPr>
            <w:tcW w:w="180" w:type="dxa"/>
            <w:vAlign w:val="bottom"/>
          </w:tcPr>
          <w:p>
            <w:pPr>
              <w:spacing w:after="0"/>
              <w:rPr>
                <w:sz w:val="13"/>
                <w:szCs w:val="13"/>
                <w:color w:val="auto"/>
              </w:rPr>
            </w:pPr>
          </w:p>
        </w:tc>
        <w:tc>
          <w:tcPr>
            <w:tcW w:w="11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59%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13%</w:t>
            </w:r>
          </w:p>
        </w:tc>
        <w:tc>
          <w:tcPr>
            <w:tcW w:w="260" w:type="dxa"/>
            <w:vAlign w:val="bottom"/>
          </w:tcPr>
          <w:p>
            <w:pPr>
              <w:spacing w:after="0"/>
              <w:rPr>
                <w:sz w:val="13"/>
                <w:szCs w:val="13"/>
                <w:color w:val="auto"/>
              </w:rPr>
            </w:pPr>
          </w:p>
        </w:tc>
        <w:tc>
          <w:tcPr>
            <w:tcW w:w="11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28%</w:t>
            </w:r>
          </w:p>
        </w:tc>
      </w:tr>
      <w:tr>
        <w:trPr>
          <w:trHeight w:val="20"/>
        </w:trPr>
        <w:tc>
          <w:tcPr>
            <w:tcW w:w="4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18"/>
        </w:trPr>
        <w:tc>
          <w:tcPr>
            <w:tcW w:w="41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3"/>
              </w:rPr>
              <w:t>Year ended May 31, 2020</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r>
      <w:tr>
        <w:trPr>
          <w:trHeight w:val="155"/>
        </w:trPr>
        <w:tc>
          <w:tcPr>
            <w:tcW w:w="41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Gross profit (excluding adjustments)</w:t>
            </w:r>
          </w:p>
        </w:tc>
        <w:tc>
          <w:tcPr>
            <w:tcW w:w="1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480"/>
              <w:spacing w:after="0" w:line="155" w:lineRule="exact"/>
              <w:rPr>
                <w:sz w:val="20"/>
                <w:szCs w:val="20"/>
                <w:color w:val="auto"/>
              </w:rPr>
            </w:pPr>
            <w:r>
              <w:rPr>
                <w:rFonts w:ascii="Arial" w:cs="Arial" w:eastAsia="Arial" w:hAnsi="Arial"/>
                <w:sz w:val="14"/>
                <w:szCs w:val="14"/>
                <w:b w:val="1"/>
                <w:bCs w:val="1"/>
                <w:color w:val="auto"/>
              </w:rPr>
              <w:t>Cannabis</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448"/>
              <w:spacing w:after="0" w:line="155" w:lineRule="exact"/>
              <w:rPr>
                <w:sz w:val="20"/>
                <w:szCs w:val="20"/>
                <w:color w:val="auto"/>
              </w:rPr>
            </w:pPr>
            <w:r>
              <w:rPr>
                <w:rFonts w:ascii="Arial" w:cs="Arial" w:eastAsia="Arial" w:hAnsi="Arial"/>
                <w:sz w:val="14"/>
                <w:szCs w:val="14"/>
                <w:b w:val="1"/>
                <w:bCs w:val="1"/>
                <w:color w:val="auto"/>
              </w:rPr>
              <w:t>Beverage</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center"/>
              <w:ind w:right="420"/>
              <w:spacing w:after="0" w:line="155" w:lineRule="exact"/>
              <w:rPr>
                <w:sz w:val="20"/>
                <w:szCs w:val="20"/>
                <w:color w:val="auto"/>
              </w:rPr>
            </w:pPr>
            <w:r>
              <w:rPr>
                <w:rFonts w:ascii="Arial" w:cs="Arial" w:eastAsia="Arial" w:hAnsi="Arial"/>
                <w:sz w:val="14"/>
                <w:szCs w:val="14"/>
                <w:b w:val="1"/>
                <w:bCs w:val="1"/>
                <w:color w:val="auto"/>
                <w:w w:val="96"/>
              </w:rPr>
              <w:t>Distribution</w:t>
            </w:r>
          </w:p>
        </w:tc>
        <w:tc>
          <w:tcPr>
            <w:tcW w:w="26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437"/>
              <w:spacing w:after="0" w:line="155" w:lineRule="exact"/>
              <w:rPr>
                <w:sz w:val="20"/>
                <w:szCs w:val="20"/>
                <w:color w:val="auto"/>
              </w:rPr>
            </w:pPr>
            <w:r>
              <w:rPr>
                <w:rFonts w:ascii="Arial" w:cs="Arial" w:eastAsia="Arial" w:hAnsi="Arial"/>
                <w:sz w:val="14"/>
                <w:szCs w:val="14"/>
                <w:b w:val="1"/>
                <w:bCs w:val="1"/>
                <w:color w:val="auto"/>
                <w:w w:val="95"/>
              </w:rPr>
              <w:t>Wellness</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jc w:val="right"/>
              <w:ind w:right="368"/>
              <w:spacing w:after="0" w:line="155" w:lineRule="exact"/>
              <w:rPr>
                <w:sz w:val="20"/>
                <w:szCs w:val="20"/>
                <w:color w:val="auto"/>
              </w:rPr>
            </w:pPr>
            <w:r>
              <w:rPr>
                <w:rFonts w:ascii="Arial" w:cs="Arial" w:eastAsia="Arial" w:hAnsi="Arial"/>
                <w:sz w:val="14"/>
                <w:szCs w:val="14"/>
                <w:b w:val="1"/>
                <w:bCs w:val="1"/>
                <w:color w:val="auto"/>
              </w:rPr>
              <w:t>Total</w:t>
            </w:r>
          </w:p>
        </w:tc>
        <w:tc>
          <w:tcPr>
            <w:tcW w:w="140" w:type="dxa"/>
            <w:vAlign w:val="bottom"/>
            <w:shd w:val="clear" w:color="auto" w:fill="CFF0FC"/>
          </w:tcPr>
          <w:p>
            <w:pPr>
              <w:spacing w:after="0"/>
              <w:rPr>
                <w:sz w:val="13"/>
                <w:szCs w:val="13"/>
                <w:color w:val="auto"/>
              </w:rPr>
            </w:pPr>
          </w:p>
        </w:tc>
      </w:tr>
      <w:tr>
        <w:trPr>
          <w:trHeight w:val="156"/>
        </w:trPr>
        <w:tc>
          <w:tcPr>
            <w:tcW w:w="4140" w:type="dxa"/>
            <w:vAlign w:val="bottom"/>
          </w:tcPr>
          <w:p>
            <w:pPr>
              <w:spacing w:after="0" w:line="155" w:lineRule="exact"/>
              <w:rPr>
                <w:sz w:val="20"/>
                <w:szCs w:val="20"/>
                <w:color w:val="auto"/>
              </w:rPr>
            </w:pPr>
            <w:r>
              <w:rPr>
                <w:rFonts w:ascii="Arial" w:cs="Arial" w:eastAsia="Arial" w:hAnsi="Arial"/>
                <w:sz w:val="14"/>
                <w:szCs w:val="14"/>
                <w:color w:val="auto"/>
              </w:rPr>
              <w:t>Gross revenue</w:t>
            </w: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153,477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275,430</w:t>
            </w:r>
          </w:p>
        </w:tc>
        <w:tc>
          <w:tcPr>
            <w:tcW w:w="260" w:type="dxa"/>
            <w:vAlign w:val="bottom"/>
          </w:tcPr>
          <w:p>
            <w:pPr>
              <w:spacing w:after="0"/>
              <w:rPr>
                <w:sz w:val="13"/>
                <w:szCs w:val="13"/>
                <w:color w:val="auto"/>
              </w:rPr>
            </w:pPr>
          </w:p>
        </w:tc>
        <w:tc>
          <w:tcPr>
            <w:tcW w:w="26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428,907</w:t>
            </w:r>
          </w:p>
        </w:tc>
        <w:tc>
          <w:tcPr>
            <w:tcW w:w="140" w:type="dxa"/>
            <w:vAlign w:val="bottom"/>
          </w:tcPr>
          <w:p>
            <w:pPr>
              <w:spacing w:after="0"/>
              <w:rPr>
                <w:sz w:val="13"/>
                <w:szCs w:val="13"/>
                <w:color w:val="auto"/>
              </w:rPr>
            </w:pPr>
          </w:p>
        </w:tc>
      </w:tr>
      <w:tr>
        <w:trPr>
          <w:trHeight w:val="162"/>
        </w:trPr>
        <w:tc>
          <w:tcPr>
            <w:tcW w:w="4140" w:type="dxa"/>
            <w:vAlign w:val="bottom"/>
            <w:shd w:val="clear" w:color="auto" w:fill="CFF0FC"/>
          </w:tcPr>
          <w:p>
            <w:pPr>
              <w:spacing w:after="0"/>
              <w:rPr>
                <w:sz w:val="20"/>
                <w:szCs w:val="20"/>
                <w:color w:val="auto"/>
              </w:rPr>
            </w:pPr>
            <w:r>
              <w:rPr>
                <w:rFonts w:ascii="Arial" w:cs="Arial" w:eastAsia="Arial" w:hAnsi="Arial"/>
                <w:sz w:val="14"/>
                <w:szCs w:val="14"/>
                <w:color w:val="auto"/>
              </w:rPr>
              <w:t>Excise taxes</w:t>
            </w:r>
          </w:p>
        </w:tc>
        <w:tc>
          <w:tcPr>
            <w:tcW w:w="1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(23,581)</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37"/>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(23,581)</w:t>
            </w:r>
          </w:p>
        </w:tc>
      </w:tr>
      <w:tr>
        <w:trPr>
          <w:trHeight w:val="156"/>
        </w:trPr>
        <w:tc>
          <w:tcPr>
            <w:tcW w:w="4140" w:type="dxa"/>
            <w:vAlign w:val="bottom"/>
          </w:tcPr>
          <w:p>
            <w:pPr>
              <w:spacing w:after="0" w:line="155" w:lineRule="exact"/>
              <w:rPr>
                <w:sz w:val="20"/>
                <w:szCs w:val="20"/>
                <w:color w:val="auto"/>
              </w:rPr>
            </w:pPr>
            <w:r>
              <w:rPr>
                <w:rFonts w:ascii="Arial" w:cs="Arial" w:eastAsia="Arial" w:hAnsi="Arial"/>
                <w:sz w:val="14"/>
                <w:szCs w:val="14"/>
                <w:color w:val="auto"/>
              </w:rPr>
              <w:t>Net revenue</w:t>
            </w: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129,896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275,430</w:t>
            </w: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405,326</w:t>
            </w:r>
          </w:p>
        </w:tc>
        <w:tc>
          <w:tcPr>
            <w:tcW w:w="140" w:type="dxa"/>
            <w:vAlign w:val="bottom"/>
          </w:tcPr>
          <w:p>
            <w:pPr>
              <w:spacing w:after="0"/>
              <w:rPr>
                <w:sz w:val="13"/>
                <w:szCs w:val="13"/>
                <w:color w:val="auto"/>
              </w:rPr>
            </w:pPr>
          </w:p>
        </w:tc>
      </w:tr>
      <w:tr>
        <w:trPr>
          <w:trHeight w:val="162"/>
        </w:trPr>
        <w:tc>
          <w:tcPr>
            <w:tcW w:w="4140" w:type="dxa"/>
            <w:vAlign w:val="bottom"/>
            <w:shd w:val="clear" w:color="auto" w:fill="CFF0FC"/>
          </w:tcPr>
          <w:p>
            <w:pPr>
              <w:spacing w:after="0"/>
              <w:rPr>
                <w:sz w:val="20"/>
                <w:szCs w:val="20"/>
                <w:color w:val="auto"/>
              </w:rPr>
            </w:pPr>
            <w:r>
              <w:rPr>
                <w:rFonts w:ascii="Arial" w:cs="Arial" w:eastAsia="Arial" w:hAnsi="Arial"/>
                <w:sz w:val="14"/>
                <w:szCs w:val="14"/>
                <w:color w:val="auto"/>
              </w:rPr>
              <w:t>Cost of goods sold</w:t>
            </w: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68,551</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240,722</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37"/>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309,273</w:t>
            </w:r>
          </w:p>
        </w:tc>
        <w:tc>
          <w:tcPr>
            <w:tcW w:w="140" w:type="dxa"/>
            <w:vAlign w:val="bottom"/>
            <w:shd w:val="clear" w:color="auto" w:fill="CFF0FC"/>
          </w:tcPr>
          <w:p>
            <w:pPr>
              <w:spacing w:after="0"/>
              <w:rPr>
                <w:sz w:val="14"/>
                <w:szCs w:val="14"/>
                <w:color w:val="auto"/>
              </w:rPr>
            </w:pPr>
          </w:p>
        </w:tc>
      </w:tr>
      <w:tr>
        <w:trPr>
          <w:trHeight w:val="156"/>
        </w:trPr>
        <w:tc>
          <w:tcPr>
            <w:tcW w:w="41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Gross profit</w:t>
            </w: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61,345</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34,708</w:t>
            </w:r>
          </w:p>
        </w:tc>
        <w:tc>
          <w:tcPr>
            <w:tcW w:w="2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96,053</w:t>
            </w:r>
          </w:p>
        </w:tc>
        <w:tc>
          <w:tcPr>
            <w:tcW w:w="140" w:type="dxa"/>
            <w:vAlign w:val="bottom"/>
            <w:tcBorders>
              <w:bottom w:val="single" w:sz="8" w:color="CFF0FC"/>
            </w:tcBorders>
          </w:tcPr>
          <w:p>
            <w:pPr>
              <w:spacing w:after="0"/>
              <w:rPr>
                <w:sz w:val="13"/>
                <w:szCs w:val="13"/>
                <w:color w:val="auto"/>
              </w:rPr>
            </w:pPr>
          </w:p>
        </w:tc>
      </w:tr>
      <w:tr>
        <w:trPr>
          <w:trHeight w:val="155"/>
        </w:trPr>
        <w:tc>
          <w:tcPr>
            <w:tcW w:w="41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Gross margin</w:t>
            </w:r>
          </w:p>
        </w:tc>
        <w:tc>
          <w:tcPr>
            <w:tcW w:w="18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47%</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9"/>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13%</w:t>
            </w:r>
          </w:p>
        </w:tc>
        <w:tc>
          <w:tcPr>
            <w:tcW w:w="26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9"/>
              </w:rPr>
              <w:t>%</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24%</w:t>
            </w:r>
          </w:p>
        </w:tc>
      </w:tr>
      <w:tr>
        <w:trPr>
          <w:trHeight w:val="155"/>
        </w:trPr>
        <w:tc>
          <w:tcPr>
            <w:tcW w:w="4140" w:type="dxa"/>
            <w:vAlign w:val="bottom"/>
          </w:tcPr>
          <w:p>
            <w:pPr>
              <w:spacing w:after="0" w:line="155" w:lineRule="exact"/>
              <w:rPr>
                <w:sz w:val="20"/>
                <w:szCs w:val="20"/>
                <w:color w:val="auto"/>
              </w:rPr>
            </w:pPr>
            <w:r>
              <w:rPr>
                <w:rFonts w:ascii="Arial" w:cs="Arial" w:eastAsia="Arial" w:hAnsi="Arial"/>
                <w:sz w:val="14"/>
                <w:szCs w:val="14"/>
                <w:color w:val="auto"/>
              </w:rPr>
              <w:t>Adjustments:</w:t>
            </w: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62"/>
        </w:trPr>
        <w:tc>
          <w:tcPr>
            <w:tcW w:w="41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Inventory valuation adjustment</w:t>
            </w:r>
          </w:p>
        </w:tc>
        <w:tc>
          <w:tcPr>
            <w:tcW w:w="18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37"/>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4140" w:type="dxa"/>
            <w:vAlign w:val="bottom"/>
          </w:tcPr>
          <w:p>
            <w:pPr>
              <w:ind w:left="260"/>
              <w:spacing w:after="0"/>
              <w:rPr>
                <w:sz w:val="20"/>
                <w:szCs w:val="20"/>
                <w:color w:val="auto"/>
              </w:rPr>
            </w:pPr>
            <w:r>
              <w:rPr>
                <w:rFonts w:ascii="Arial" w:cs="Arial" w:eastAsia="Arial" w:hAnsi="Arial"/>
                <w:sz w:val="14"/>
                <w:szCs w:val="14"/>
                <w:color w:val="auto"/>
              </w:rPr>
              <w:t>Purchase price accounting step up</w:t>
            </w:r>
          </w:p>
        </w:tc>
        <w:tc>
          <w:tcPr>
            <w:tcW w:w="18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20" w:type="dxa"/>
            <w:vAlign w:val="bottom"/>
            <w:gridSpan w:val="2"/>
          </w:tcPr>
          <w:p>
            <w:pPr>
              <w:jc w:val="right"/>
              <w:ind w:right="137"/>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56"/>
        </w:trPr>
        <w:tc>
          <w:tcPr>
            <w:tcW w:w="41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Adjusted gross profit</w:t>
            </w: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61,345</w:t>
            </w: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34,708</w:t>
            </w:r>
          </w:p>
        </w:tc>
        <w:tc>
          <w:tcPr>
            <w:tcW w:w="2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96,053</w:t>
            </w:r>
          </w:p>
        </w:tc>
        <w:tc>
          <w:tcPr>
            <w:tcW w:w="140" w:type="dxa"/>
            <w:vAlign w:val="bottom"/>
            <w:tcBorders>
              <w:top w:val="single" w:sz="8" w:color="CFF0FC"/>
            </w:tcBorders>
            <w:shd w:val="clear" w:color="auto" w:fill="CFF0FC"/>
          </w:tcPr>
          <w:p>
            <w:pPr>
              <w:spacing w:after="0"/>
              <w:rPr>
                <w:sz w:val="13"/>
                <w:szCs w:val="13"/>
                <w:color w:val="auto"/>
              </w:rPr>
            </w:pPr>
          </w:p>
        </w:tc>
      </w:tr>
      <w:tr>
        <w:trPr>
          <w:trHeight w:val="155"/>
        </w:trPr>
        <w:tc>
          <w:tcPr>
            <w:tcW w:w="4140" w:type="dxa"/>
            <w:vAlign w:val="bottom"/>
          </w:tcPr>
          <w:p>
            <w:pPr>
              <w:spacing w:after="0" w:line="155" w:lineRule="exact"/>
              <w:rPr>
                <w:sz w:val="20"/>
                <w:szCs w:val="20"/>
                <w:color w:val="auto"/>
              </w:rPr>
            </w:pPr>
            <w:r>
              <w:rPr>
                <w:rFonts w:ascii="Arial" w:cs="Arial" w:eastAsia="Arial" w:hAnsi="Arial"/>
                <w:sz w:val="14"/>
                <w:szCs w:val="14"/>
                <w:color w:val="auto"/>
              </w:rPr>
              <w:t>Adjusted gross margin</w:t>
            </w:r>
          </w:p>
        </w:tc>
        <w:tc>
          <w:tcPr>
            <w:tcW w:w="180" w:type="dxa"/>
            <w:vAlign w:val="bottom"/>
          </w:tcPr>
          <w:p>
            <w:pPr>
              <w:spacing w:after="0"/>
              <w:rPr>
                <w:sz w:val="13"/>
                <w:szCs w:val="13"/>
                <w:color w:val="auto"/>
              </w:rPr>
            </w:pPr>
          </w:p>
        </w:tc>
        <w:tc>
          <w:tcPr>
            <w:tcW w:w="11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line="155" w:lineRule="exact"/>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13%</w:t>
            </w:r>
          </w:p>
        </w:tc>
        <w:tc>
          <w:tcPr>
            <w:tcW w:w="26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w w:val="79"/>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24%</w:t>
            </w:r>
          </w:p>
        </w:tc>
      </w:tr>
      <w:tr>
        <w:trPr>
          <w:trHeight w:val="20"/>
        </w:trPr>
        <w:tc>
          <w:tcPr>
            <w:tcW w:w="4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868045</wp:posOffset>
            </wp:positionH>
            <wp:positionV relativeFrom="page">
              <wp:posOffset>97790</wp:posOffset>
            </wp:positionV>
            <wp:extent cx="2245995" cy="4972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22459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sectPr>
      <w:pgSz w:w="11900" w:h="16838" w:orient="portrait"/>
      <w:cols w:equalWidth="0" w:num="1">
        <w:col w:w="11240"/>
      </w:cols>
      <w:pgMar w:left="320" w:top="8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2021-07-28T06:30:37Z</dcterms:created>
  <dcterms:modified xsi:type="dcterms:W3CDTF">2021-07-28T06:30:37Z</dcterms:modified>
</cp:coreProperties>
</file>