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28"/>
        </w:rPr>
      </w:pPr>
      <w:bookmarkStart w:id="0" w:name="ny20053807x1_pre14a_100-regcov_pg1"/>
      <w:bookmarkStart w:id="1" w:name="ny20053807x3_defa14a.htm"/>
      <w:bookmarkStart w:id="2" w:name="ksny20053807x3_defa14a"/>
      <w:bookmarkEnd w:id="0"/>
      <w:bookmarkEnd w:id="1"/>
      <w:bookmarkEnd w:id="2"/>
      <w:r>
        <w:rPr>
          <w:rFonts w:ascii="Arial;Helvetica;sans-serif" w:hAnsi="Arial;Helvetica;sans-serif"/>
          <w:b/>
          <w:color w:val="000000"/>
          <w:sz w:val="28"/>
        </w:rPr>
        <w:t xml:space="preserve">UNITED STATES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 xml:space="preserve">SECURITIES AND EXCHANGE COMMISSION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 xml:space="preserve">(Rule 14a-101)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>INFORMATION REQUIRED IN PROXY STATEMENT</w:t>
      </w:r>
    </w:p>
    <w:p>
      <w:pPr>
        <w:pStyle w:val="TextBody"/>
        <w:bidi w:val="0"/>
        <w:spacing w:before="0" w:after="283"/>
        <w:jc w:val="center"/>
        <w:rPr>
          <w:color w:val="000000"/>
        </w:rPr>
      </w:pPr>
      <w:r>
        <w:rPr>
          <w:color w:val="000000"/>
        </w:rPr>
        <w:t xml:space="preserve"> 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>SCHEDULE 14A INFORMATION</w:t>
      </w:r>
    </w:p>
    <w:p>
      <w:pPr>
        <w:pStyle w:val="TextBody"/>
        <w:bidi w:val="0"/>
        <w:spacing w:before="130" w:after="283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Proxy Statement Pursuant to Section 14(a) of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the Securities Exchange Act of 1934 </w:t>
      </w:r>
    </w:p>
    <w:p>
      <w:pPr>
        <w:pStyle w:val="TextBody"/>
        <w:bidi w:val="0"/>
        <w:spacing w:before="15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Filed by a Party other than the Registrant  ☐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Check the appropriate box:</w:t>
      </w:r>
    </w:p>
    <w:tbl>
      <w:tblPr>
        <w:tblW w:w="281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58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5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Preliminary Proxy Statement </w:t>
            </w:r>
          </w:p>
        </w:tc>
      </w:tr>
    </w:tbl>
    <w:tbl>
      <w:tblPr>
        <w:tblW w:w="767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740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74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>Confidential, for Use of the Commission Only (as permitted by Rule 14a-6(e)(2))</w:t>
            </w: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 </w:t>
            </w:r>
          </w:p>
        </w:tc>
      </w:tr>
    </w:tbl>
    <w:tbl>
      <w:tblPr>
        <w:tblW w:w="275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5"/>
        <w:gridCol w:w="2420"/>
      </w:tblGrid>
      <w:tr>
        <w:trPr/>
        <w:tc>
          <w:tcPr>
            <w:tcW w:w="3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 ☐ </w:t>
            </w:r>
          </w:p>
        </w:tc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93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66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415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87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8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Soliciting Material Pursuant to § 240.14a-12 </w:t>
            </w:r>
          </w:p>
        </w:tc>
      </w:tr>
    </w:tbl>
    <w:tbl>
      <w:tblPr>
        <w:tblW w:w="667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"/>
        <w:gridCol w:w="6365"/>
        <w:gridCol w:w="155"/>
      </w:tblGrid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36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36"/>
              </w:rPr>
              <w:t xml:space="preserve">Tilray Brands, Inc. 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(Name of Registrant as Specified in its Charter)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>
              <w:bottom w:val="single" w:sz="8" w:space="0" w:color="000000"/>
            </w:tcBorders>
            <w:tcMar>
              <w:bottom w:w="43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(Name of Person(s) Filing Proxy Statement, if Other Than the Registrant)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13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the appropriate box): </w:t>
      </w:r>
    </w:p>
    <w:tbl>
      <w:tblPr>
        <w:tblW w:w="16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4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No fee required. </w:t>
            </w:r>
          </w:p>
        </w:tc>
      </w:tr>
    </w:tbl>
    <w:tbl>
      <w:tblPr>
        <w:tblW w:w="437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410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41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paid previously with preliminary materials. </w:t>
            </w:r>
          </w:p>
        </w:tc>
      </w:tr>
    </w:tbl>
    <w:tbl>
      <w:tblPr>
        <w:tblW w:w="913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885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8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computed on table in exhibit required by Item 25(b) per Exchange Act Rules 14a-6(i)(1) and 0-11. 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 </w:t>
      </w:r>
      <w:r>
        <w:rPr>
          <w:color w:val="000000"/>
        </w:rPr>
        <w:drawing>
          <wp:inline distT="0" distB="0" distL="0" distR="0">
            <wp:extent cx="6905625" cy="8382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905625" cy="88201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882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" w:name="ny20053807x1_pre14a_104-qa_pg3"/>
      <w:bookmarkStart w:id="4" w:name="ny20053807x1_pre14a_104-qa_pg3"/>
      <w:bookmarkEnd w:id="4"/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143</Words>
  <Characters>788</Characters>
  <CharactersWithSpaces>943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