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lry20250531_10k.htm"/>
      <w:bookmarkStart w:id="1" w:name="kstlry20250531_10k"/>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UNITED STATES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10-K</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(Mark</w:t>
      </w:r>
      <w:r>
        <w:rPr>
          <w:rFonts w:ascii="Times New Roman" w:hAnsi="Times New Roman"/>
          <w:caps w:val="false"/>
          <w:smallCaps w:val="false"/>
          <w:sz w:val="20"/>
        </w:rPr>
        <w:t> </w:t>
      </w:r>
      <w:r>
        <w:rPr>
          <w:rFonts w:ascii="Times New Roman" w:hAnsi="Times New Roman"/>
          <w:b/>
          <w:caps w:val="false"/>
          <w:smallCaps w:val="false"/>
          <w:sz w:val="20"/>
        </w:rPr>
        <w:t xml:space="preserve">One) </w:t>
      </w:r>
    </w:p>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30"/>
        <w:gridCol w:w="95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REPORT PURSUANT TO SECTION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13 OR 15(d) OF THE SECURITIES EXCHANGE ACT OF</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TRANSITION REPORT PURSUANT TO SECTION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13 OR 15(d) OF THE SECURITIES EXCHANGE ACT OF</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1934 FOR THE TRANSITION PERIOD FROM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TO</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w:t>
      </w:r>
      <w:r>
        <w:rPr>
          <w:rFonts w:ascii="Times New Roman" w:hAnsi="Times New Roman"/>
          <w:caps w:val="false"/>
          <w:smallCaps w:val="false"/>
          <w:sz w:val="20"/>
        </w:rPr>
        <w:t> </w:t>
      </w:r>
      <w:r>
        <w:rPr>
          <w:rFonts w:ascii="Times New Roman" w:hAnsi="Times New Roman"/>
          <w:b/>
          <w:caps w:val="false"/>
          <w:smallCaps w:val="false"/>
          <w:sz w:val="20"/>
        </w:rPr>
        <w:t xml:space="preserve">001-38594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TILRAY BRANDS,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840"/>
        <w:gridCol w:w="1370"/>
      </w:tblGrid>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82-4310622</w:t>
            </w:r>
          </w:p>
        </w:tc>
      </w:tr>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(State or other jurisdiction of</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(I.R.S. Employer</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Identification No.)</w:t>
            </w:r>
          </w:p>
        </w:tc>
      </w:tr>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265 Talbot Street West,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Leamington, 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N8H 5L4</w:t>
            </w:r>
          </w:p>
        </w:tc>
      </w:tr>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(844) 845-7291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3140"/>
        <w:gridCol w:w="60"/>
        <w:gridCol w:w="860"/>
        <w:gridCol w:w="60"/>
        <w:gridCol w:w="3695"/>
      </w:tblGrid>
      <w:tr>
        <w:trPr/>
        <w:tc>
          <w:tcPr>
            <w:tcW w:w="31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1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TLRY</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 xml:space="preserve">Securities registered pursuant to Section 12(g) of the Act: </w:t>
      </w:r>
      <w:r>
        <w:rPr>
          <w:rFonts w:ascii="Times New Roman" w:hAnsi="Times New Roman"/>
          <w:b/>
          <w:caps w:val="false"/>
          <w:smallCaps w:val="false"/>
          <w:sz w:val="18"/>
        </w:rPr>
        <w:t xml:space="preserve">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355" w:type="dxa"/>
            <w:gridSpan w:val="4"/>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355" w:type="dxa"/>
            <w:gridSpan w:val="4"/>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aggregate market value of the voting and non-voting common equity held by non-affiliates of the Registrant, based on the closing price of the shares of the Registrant’s Common Stock on The Nasdaq Global Select Stock Market on November 29, 2024, was approximately $1.2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As of  July 24 2025, there were 1,100,530,099 shares of the Registrant’s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Part III incorporates certain information by reference from the definitive proxy statement to be filed by the registrant in connection with the 2025 Annual Meeting of Stockholders (the “Proxy Statement”) with the Securities and Exchange Commission pursuant to Regulation 14A not later than 120 days after the end of the year ended May 31, 2025, provided that if such Proxy Statement is not filed within such period, such information will be included in an amendment to this Form 10</w:t>
        <w:noBreakHyphen/>
        <w:t>K to be filed within such 120-day period.</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
        <w:gridCol w:w="8744"/>
        <w:gridCol w:w="441"/>
      </w:tblGrid>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10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744"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u w:val="single"/>
                </w:rPr>
                <w:t>Business</w:t>
              </w:r>
            </w:hyperlink>
          </w:p>
        </w:tc>
        <w:tc>
          <w:tcPr>
            <w:tcW w:w="441" w:type="dxa"/>
            <w:tcBorders/>
            <w:vAlign w:val="center"/>
          </w:tcPr>
          <w:p>
            <w:pPr>
              <w:pStyle w:val="TableContents"/>
              <w:bidi w:val="0"/>
              <w:spacing w:before="0" w:after="0"/>
              <w:ind w:left="0" w:right="0" w:hanging="0"/>
              <w:jc w:val="right"/>
              <w:rPr/>
            </w:pPr>
            <w:hyperlink w:anchor="item1">
              <w:r>
                <w:rPr>
                  <w:rStyle w:val="InternetLink"/>
                  <w:rFonts w:ascii="Times New Roman" w:hAnsi="Times New Roman"/>
                  <w:caps w:val="false"/>
                  <w:smallCaps w:val="false"/>
                  <w:sz w:val="20"/>
                </w:rPr>
                <w:t>4</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744" w:type="dxa"/>
            <w:tcBorders/>
            <w:vAlign w:val="center"/>
          </w:tcPr>
          <w:p>
            <w:pPr>
              <w:pStyle w:val="TableContents"/>
              <w:bidi w:val="0"/>
              <w:spacing w:before="0" w:after="0"/>
              <w:ind w:left="0" w:right="0" w:hanging="0"/>
              <w:jc w:val="left"/>
              <w:rPr/>
            </w:pPr>
            <w:hyperlink w:anchor="item1a">
              <w:r>
                <w:rPr>
                  <w:rStyle w:val="InternetLink"/>
                  <w:rFonts w:ascii="Times New Roman" w:hAnsi="Times New Roman"/>
                  <w:caps w:val="false"/>
                  <w:smallCaps w:val="false"/>
                  <w:sz w:val="20"/>
                  <w:u w:val="single"/>
                </w:rPr>
                <w:t>Risk Factors</w:t>
              </w:r>
            </w:hyperlink>
          </w:p>
        </w:tc>
        <w:tc>
          <w:tcPr>
            <w:tcW w:w="441" w:type="dxa"/>
            <w:tcBorders/>
            <w:vAlign w:val="center"/>
          </w:tcPr>
          <w:p>
            <w:pPr>
              <w:pStyle w:val="TableContents"/>
              <w:bidi w:val="0"/>
              <w:spacing w:before="0" w:after="0"/>
              <w:ind w:left="0" w:right="0" w:hanging="0"/>
              <w:jc w:val="right"/>
              <w:rPr/>
            </w:pPr>
            <w:hyperlink w:anchor="item1a">
              <w:r>
                <w:rPr>
                  <w:rStyle w:val="InternetLink"/>
                  <w:rFonts w:ascii="Times New Roman" w:hAnsi="Times New Roman"/>
                  <w:caps w:val="false"/>
                  <w:smallCaps w:val="false"/>
                  <w:sz w:val="20"/>
                </w:rPr>
                <w:t>16</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8744" w:type="dxa"/>
            <w:tcBorders/>
            <w:vAlign w:val="center"/>
          </w:tcPr>
          <w:p>
            <w:pPr>
              <w:pStyle w:val="TableContents"/>
              <w:bidi w:val="0"/>
              <w:spacing w:before="0" w:after="0"/>
              <w:ind w:left="0" w:right="0" w:hanging="0"/>
              <w:jc w:val="left"/>
              <w:rPr/>
            </w:pPr>
            <w:hyperlink w:anchor="item1b">
              <w:r>
                <w:rPr>
                  <w:rStyle w:val="InternetLink"/>
                  <w:rFonts w:ascii="Times New Roman" w:hAnsi="Times New Roman"/>
                  <w:caps w:val="false"/>
                  <w:smallCaps w:val="false"/>
                  <w:sz w:val="20"/>
                  <w:u w:val="single"/>
                </w:rPr>
                <w:t>Unresolved Staff Comments</w:t>
              </w:r>
            </w:hyperlink>
          </w:p>
        </w:tc>
        <w:tc>
          <w:tcPr>
            <w:tcW w:w="441" w:type="dxa"/>
            <w:tcBorders/>
            <w:vAlign w:val="center"/>
          </w:tcPr>
          <w:p>
            <w:pPr>
              <w:pStyle w:val="TableContents"/>
              <w:bidi w:val="0"/>
              <w:spacing w:before="0" w:after="0"/>
              <w:ind w:left="0" w:right="0" w:hanging="0"/>
              <w:jc w:val="right"/>
              <w:rPr/>
            </w:pPr>
            <w:hyperlink w:anchor="item1b">
              <w:r>
                <w:rPr>
                  <w:rStyle w:val="InternetLink"/>
                  <w:rFonts w:ascii="Times New Roman" w:hAnsi="Times New Roman"/>
                  <w:caps w:val="false"/>
                  <w:smallCaps w:val="false"/>
                  <w:sz w:val="20"/>
                </w:rPr>
                <w:t>36</w:t>
              </w:r>
            </w:hyperlink>
          </w:p>
        </w:tc>
      </w:tr>
      <w:tr>
        <w:trPr/>
        <w:tc>
          <w:tcPr>
            <w:tcW w:w="1020" w:type="dxa"/>
            <w:tcBorders/>
            <w:vAlign w:val="center"/>
          </w:tcPr>
          <w:p>
            <w:pPr>
              <w:pStyle w:val="TableContents"/>
              <w:bidi w:val="0"/>
              <w:spacing w:before="0" w:after="283"/>
              <w:jc w:val="left"/>
              <w:rPr/>
            </w:pPr>
            <w:r>
              <w:rPr/>
              <w:t>   </w:t>
            </w:r>
            <w:r>
              <w:rPr/>
              <w:t>Item 1C.</w:t>
            </w:r>
          </w:p>
        </w:tc>
        <w:tc>
          <w:tcPr>
            <w:tcW w:w="8744" w:type="dxa"/>
            <w:tcBorders/>
            <w:vAlign w:val="center"/>
          </w:tcPr>
          <w:p>
            <w:pPr>
              <w:pStyle w:val="TableContents"/>
              <w:bidi w:val="0"/>
              <w:spacing w:before="0" w:after="283"/>
              <w:jc w:val="left"/>
              <w:rPr/>
            </w:pPr>
            <w:hyperlink w:anchor="item1b">
              <w:r>
                <w:rPr>
                  <w:rStyle w:val="InternetLink"/>
                </w:rPr>
                <w:t>Cybersecurity</w:t>
              </w:r>
            </w:hyperlink>
          </w:p>
        </w:tc>
        <w:tc>
          <w:tcPr>
            <w:tcW w:w="441" w:type="dxa"/>
            <w:tcBorders/>
            <w:vAlign w:val="center"/>
          </w:tcPr>
          <w:p>
            <w:pPr>
              <w:pStyle w:val="TableContents"/>
              <w:bidi w:val="0"/>
              <w:spacing w:before="0" w:after="283"/>
              <w:jc w:val="right"/>
              <w:rPr/>
            </w:pPr>
            <w:hyperlink w:anchor="item1b">
              <w:r>
                <w:rPr>
                  <w:rStyle w:val="InternetLink"/>
                </w:rPr>
                <w:t>36</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744"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u w:val="single"/>
                </w:rPr>
                <w:t>Properties</w:t>
              </w:r>
            </w:hyperlink>
          </w:p>
        </w:tc>
        <w:tc>
          <w:tcPr>
            <w:tcW w:w="441" w:type="dxa"/>
            <w:tcBorders/>
            <w:vAlign w:val="center"/>
          </w:tcPr>
          <w:p>
            <w:pPr>
              <w:pStyle w:val="TableContents"/>
              <w:bidi w:val="0"/>
              <w:spacing w:before="0" w:after="0"/>
              <w:ind w:left="0" w:right="0" w:hanging="0"/>
              <w:jc w:val="right"/>
              <w:rPr/>
            </w:pPr>
            <w:hyperlink w:anchor="item2">
              <w:r>
                <w:rPr>
                  <w:rStyle w:val="InternetLink"/>
                  <w:rFonts w:ascii="Times New Roman" w:hAnsi="Times New Roman"/>
                  <w:caps w:val="false"/>
                  <w:smallCaps w:val="false"/>
                  <w:sz w:val="20"/>
                </w:rPr>
                <w:t>37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744"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u w:val="single"/>
                </w:rPr>
                <w:t>Legal Proceedings</w:t>
              </w:r>
            </w:hyperlink>
          </w:p>
        </w:tc>
        <w:tc>
          <w:tcPr>
            <w:tcW w:w="441"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39</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744"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u w:val="single"/>
                </w:rPr>
                <w:t>Mine Safety Disclosures</w:t>
              </w:r>
            </w:hyperlink>
          </w:p>
        </w:tc>
        <w:tc>
          <w:tcPr>
            <w:tcW w:w="441"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39</w:t>
              </w:r>
            </w:hyperlink>
          </w:p>
        </w:tc>
      </w:tr>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744" w:type="dxa"/>
            <w:tcBorders/>
            <w:vAlign w:val="center"/>
          </w:tcPr>
          <w:p>
            <w:pPr>
              <w:pStyle w:val="TableContents"/>
              <w:bidi w:val="0"/>
              <w:spacing w:before="0" w:after="0"/>
              <w:ind w:left="0" w:right="0" w:hanging="0"/>
              <w:jc w:val="left"/>
              <w:rPr/>
            </w:pPr>
            <w:hyperlink w:anchor="item5">
              <w:r>
                <w:rPr>
                  <w:rStyle w:val="InternetLink"/>
                  <w:rFonts w:ascii="Times New Roman" w:hAnsi="Times New Roman"/>
                  <w:caps w:val="false"/>
                  <w:smallCaps w:val="false"/>
                  <w:sz w:val="20"/>
                  <w:u w:val="single"/>
                </w:rPr>
                <w:t>Market for Registrant’s Common Equity, Related Stockholder Matters and Issuer Purchases of Equity Securities</w:t>
              </w:r>
            </w:hyperlink>
          </w:p>
        </w:tc>
        <w:tc>
          <w:tcPr>
            <w:tcW w:w="441" w:type="dxa"/>
            <w:tcBorders/>
            <w:vAlign w:val="center"/>
          </w:tcPr>
          <w:p>
            <w:pPr>
              <w:pStyle w:val="TableContents"/>
              <w:bidi w:val="0"/>
              <w:spacing w:before="0" w:after="0"/>
              <w:ind w:left="0" w:right="0" w:hanging="0"/>
              <w:jc w:val="right"/>
              <w:rPr/>
            </w:pPr>
            <w:hyperlink w:anchor="item5">
              <w:r>
                <w:rPr>
                  <w:rStyle w:val="InternetLink"/>
                  <w:rFonts w:ascii="Times New Roman" w:hAnsi="Times New Roman"/>
                  <w:caps w:val="false"/>
                  <w:smallCaps w:val="false"/>
                  <w:sz w:val="20"/>
                </w:rPr>
                <w:t>40</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744" w:type="dxa"/>
            <w:tcBorders/>
            <w:vAlign w:val="center"/>
          </w:tcPr>
          <w:p>
            <w:pPr>
              <w:pStyle w:val="TableContents"/>
              <w:bidi w:val="0"/>
              <w:spacing w:before="0" w:after="0"/>
              <w:ind w:left="0" w:right="0" w:hanging="0"/>
              <w:jc w:val="left"/>
              <w:rPr/>
            </w:pPr>
            <w:hyperlink w:anchor="item6">
              <w:r>
                <w:rPr>
                  <w:rStyle w:val="InternetLink"/>
                  <w:rFonts w:ascii="Times New Roman" w:hAnsi="Times New Roman"/>
                  <w:caps w:val="false"/>
                  <w:smallCaps w:val="false"/>
                  <w:sz w:val="20"/>
                  <w:u w:val="single"/>
                </w:rPr>
                <w:t>[Reserved]</w:t>
              </w:r>
            </w:hyperlink>
          </w:p>
        </w:tc>
        <w:tc>
          <w:tcPr>
            <w:tcW w:w="441" w:type="dxa"/>
            <w:tcBorders/>
            <w:vAlign w:val="center"/>
          </w:tcPr>
          <w:p>
            <w:pPr>
              <w:pStyle w:val="TableContents"/>
              <w:bidi w:val="0"/>
              <w:spacing w:before="0" w:after="0"/>
              <w:ind w:left="0" w:right="0" w:hanging="0"/>
              <w:jc w:val="right"/>
              <w:rPr/>
            </w:pPr>
            <w:hyperlink w:anchor="item6">
              <w:r>
                <w:rPr>
                  <w:rStyle w:val="InternetLink"/>
                  <w:rFonts w:ascii="Times New Roman" w:hAnsi="Times New Roman"/>
                  <w:caps w:val="false"/>
                  <w:smallCaps w:val="false"/>
                  <w:sz w:val="20"/>
                </w:rPr>
                <w:t>41</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8744"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42</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8744" w:type="dxa"/>
            <w:tcBorders/>
            <w:vAlign w:val="center"/>
          </w:tcPr>
          <w:p>
            <w:pPr>
              <w:pStyle w:val="TableContents"/>
              <w:bidi w:val="0"/>
              <w:spacing w:before="0" w:after="0"/>
              <w:ind w:left="0" w:right="0" w:hanging="0"/>
              <w:jc w:val="left"/>
              <w:rPr/>
            </w:pPr>
            <w:hyperlink w:anchor="item7a">
              <w:r>
                <w:rPr>
                  <w:rStyle w:val="InternetLink"/>
                  <w:rFonts w:ascii="Times New Roman" w:hAnsi="Times New Roman"/>
                  <w:caps w:val="false"/>
                  <w:smallCaps w:val="false"/>
                  <w:sz w:val="20"/>
                  <w:u w:val="single"/>
                </w:rPr>
                <w:t>Quantitative and Qualitative Disclosures About Market Risk</w:t>
              </w:r>
            </w:hyperlink>
          </w:p>
        </w:tc>
        <w:tc>
          <w:tcPr>
            <w:tcW w:w="441" w:type="dxa"/>
            <w:tcBorders/>
            <w:vAlign w:val="center"/>
          </w:tcPr>
          <w:p>
            <w:pPr>
              <w:pStyle w:val="TableContents"/>
              <w:bidi w:val="0"/>
              <w:spacing w:before="0" w:after="0"/>
              <w:ind w:left="0" w:right="0" w:hanging="0"/>
              <w:jc w:val="right"/>
              <w:rPr/>
            </w:pPr>
            <w:hyperlink w:anchor="item7a">
              <w:r>
                <w:rPr>
                  <w:rStyle w:val="InternetLink"/>
                  <w:rFonts w:ascii="Times New Roman" w:hAnsi="Times New Roman"/>
                  <w:caps w:val="false"/>
                  <w:smallCaps w:val="false"/>
                  <w:sz w:val="20"/>
                </w:rPr>
                <w:t>67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8744" w:type="dxa"/>
            <w:tcBorders/>
            <w:vAlign w:val="center"/>
          </w:tcPr>
          <w:p>
            <w:pPr>
              <w:pStyle w:val="TableContents"/>
              <w:bidi w:val="0"/>
              <w:spacing w:before="0" w:after="0"/>
              <w:ind w:left="0" w:right="0" w:hanging="0"/>
              <w:jc w:val="left"/>
              <w:rPr/>
            </w:pPr>
            <w:hyperlink w:anchor="item8">
              <w:r>
                <w:rPr>
                  <w:rStyle w:val="InternetLink"/>
                  <w:rFonts w:ascii="Times New Roman" w:hAnsi="Times New Roman"/>
                  <w:caps w:val="false"/>
                  <w:smallCaps w:val="false"/>
                  <w:sz w:val="20"/>
                  <w:u w:val="single"/>
                </w:rPr>
                <w:t>Financial Statements and Supplementary Data</w:t>
              </w:r>
            </w:hyperlink>
          </w:p>
        </w:tc>
        <w:tc>
          <w:tcPr>
            <w:tcW w:w="441" w:type="dxa"/>
            <w:tcBorders/>
            <w:vAlign w:val="center"/>
          </w:tcPr>
          <w:p>
            <w:pPr>
              <w:pStyle w:val="TableContents"/>
              <w:bidi w:val="0"/>
              <w:spacing w:before="0" w:after="0"/>
              <w:ind w:left="0" w:right="0" w:hanging="0"/>
              <w:jc w:val="right"/>
              <w:rPr/>
            </w:pPr>
            <w:hyperlink w:anchor="item8">
              <w:r>
                <w:rPr>
                  <w:rStyle w:val="InternetLink"/>
                  <w:rFonts w:ascii="Times New Roman" w:hAnsi="Times New Roman"/>
                  <w:caps w:val="false"/>
                  <w:smallCaps w:val="false"/>
                  <w:sz w:val="20"/>
                </w:rPr>
                <w:t>68</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8744" w:type="dxa"/>
            <w:tcBorders/>
            <w:vAlign w:val="center"/>
          </w:tcPr>
          <w:p>
            <w:pPr>
              <w:pStyle w:val="TableContents"/>
              <w:bidi w:val="0"/>
              <w:spacing w:before="0" w:after="0"/>
              <w:ind w:left="0" w:right="0" w:hanging="0"/>
              <w:jc w:val="left"/>
              <w:rPr/>
            </w:pPr>
            <w:hyperlink w:anchor="item9">
              <w:r>
                <w:rPr>
                  <w:rStyle w:val="InternetLink"/>
                  <w:rFonts w:ascii="Times New Roman" w:hAnsi="Times New Roman"/>
                  <w:caps w:val="false"/>
                  <w:smallCaps w:val="false"/>
                  <w:sz w:val="20"/>
                  <w:u w:val="single"/>
                </w:rPr>
                <w:t>Changes in and Disagreements With Accountants on Accounting and Financial Disclosure</w:t>
              </w:r>
            </w:hyperlink>
          </w:p>
        </w:tc>
        <w:tc>
          <w:tcPr>
            <w:tcW w:w="441" w:type="dxa"/>
            <w:tcBorders/>
            <w:vAlign w:val="center"/>
          </w:tcPr>
          <w:p>
            <w:pPr>
              <w:pStyle w:val="TableContents"/>
              <w:bidi w:val="0"/>
              <w:spacing w:before="0" w:after="0"/>
              <w:ind w:left="0" w:right="0" w:hanging="0"/>
              <w:jc w:val="right"/>
              <w:rPr/>
            </w:pPr>
            <w:hyperlink w:anchor="item9">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8744" w:type="dxa"/>
            <w:tcBorders/>
            <w:vAlign w:val="center"/>
          </w:tcPr>
          <w:p>
            <w:pPr>
              <w:pStyle w:val="TableContents"/>
              <w:bidi w:val="0"/>
              <w:spacing w:before="0" w:after="0"/>
              <w:ind w:left="0" w:right="0" w:hanging="0"/>
              <w:jc w:val="left"/>
              <w:rPr/>
            </w:pPr>
            <w:hyperlink w:anchor="item9a">
              <w:r>
                <w:rPr>
                  <w:rStyle w:val="InternetLink"/>
                  <w:rFonts w:ascii="Times New Roman" w:hAnsi="Times New Roman"/>
                  <w:caps w:val="false"/>
                  <w:smallCaps w:val="false"/>
                  <w:sz w:val="20"/>
                  <w:u w:val="single"/>
                </w:rPr>
                <w:t>Controls and Procedures</w:t>
              </w:r>
            </w:hyperlink>
          </w:p>
        </w:tc>
        <w:tc>
          <w:tcPr>
            <w:tcW w:w="441" w:type="dxa"/>
            <w:tcBorders/>
            <w:vAlign w:val="center"/>
          </w:tcPr>
          <w:p>
            <w:pPr>
              <w:pStyle w:val="TableContents"/>
              <w:bidi w:val="0"/>
              <w:spacing w:before="0" w:after="0"/>
              <w:ind w:left="0" w:right="0" w:hanging="0"/>
              <w:jc w:val="right"/>
              <w:rPr/>
            </w:pPr>
            <w:hyperlink w:anchor="item9a">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8744" w:type="dxa"/>
            <w:tcBorders/>
            <w:vAlign w:val="center"/>
          </w:tcPr>
          <w:p>
            <w:pPr>
              <w:pStyle w:val="TableContents"/>
              <w:bidi w:val="0"/>
              <w:spacing w:before="0" w:after="0"/>
              <w:ind w:left="0" w:right="0" w:hanging="0"/>
              <w:jc w:val="left"/>
              <w:rPr/>
            </w:pPr>
            <w:hyperlink w:anchor="item9b">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0"/>
              <w:ind w:left="0" w:right="0" w:hanging="0"/>
              <w:jc w:val="right"/>
              <w:rPr/>
            </w:pPr>
            <w:hyperlink w:anchor="item9b">
              <w:r>
                <w:rPr>
                  <w:rStyle w:val="InternetLink"/>
                  <w:rFonts w:ascii="Times New Roman" w:hAnsi="Times New Roman"/>
                  <w:caps w:val="false"/>
                  <w:smallCaps w:val="false"/>
                  <w:sz w:val="20"/>
                </w:rPr>
                <w:t>118</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9C.</w:t>
            </w:r>
          </w:p>
        </w:tc>
        <w:tc>
          <w:tcPr>
            <w:tcW w:w="8744" w:type="dxa"/>
            <w:tcBorders/>
            <w:vAlign w:val="center"/>
          </w:tcPr>
          <w:p>
            <w:pPr>
              <w:pStyle w:val="TableContents"/>
              <w:bidi w:val="0"/>
              <w:spacing w:before="0" w:after="0"/>
              <w:ind w:left="0" w:right="0" w:hanging="0"/>
              <w:jc w:val="left"/>
              <w:rPr/>
            </w:pPr>
            <w:hyperlink w:anchor="item9c">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0"/>
              <w:ind w:left="0" w:right="0" w:hanging="0"/>
              <w:jc w:val="right"/>
              <w:rPr/>
            </w:pPr>
            <w:hyperlink w:anchor="item9c">
              <w:r>
                <w:rPr>
                  <w:rStyle w:val="InternetLink"/>
                  <w:rFonts w:ascii="Times New Roman" w:hAnsi="Times New Roman"/>
                  <w:caps w:val="false"/>
                  <w:smallCaps w:val="false"/>
                  <w:sz w:val="20"/>
                </w:rPr>
                <w:t>118</w:t>
              </w:r>
            </w:hyperlink>
          </w:p>
        </w:tc>
      </w:tr>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III</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8744" w:type="dxa"/>
            <w:tcBorders/>
            <w:vAlign w:val="center"/>
          </w:tcPr>
          <w:p>
            <w:pPr>
              <w:pStyle w:val="TableContents"/>
              <w:bidi w:val="0"/>
              <w:spacing w:before="0" w:after="0"/>
              <w:ind w:left="0" w:right="0" w:hanging="0"/>
              <w:jc w:val="left"/>
              <w:rPr/>
            </w:pPr>
            <w:hyperlink w:anchor="item10">
              <w:r>
                <w:rPr>
                  <w:rStyle w:val="InternetLink"/>
                  <w:rFonts w:ascii="Times New Roman" w:hAnsi="Times New Roman"/>
                  <w:caps w:val="false"/>
                  <w:smallCaps w:val="false"/>
                  <w:sz w:val="20"/>
                  <w:u w:val="single"/>
                </w:rPr>
                <w:t>Directors, Executive Officers and Corporate Governance</w:t>
              </w:r>
            </w:hyperlink>
          </w:p>
        </w:tc>
        <w:tc>
          <w:tcPr>
            <w:tcW w:w="441" w:type="dxa"/>
            <w:tcBorders/>
            <w:vAlign w:val="center"/>
          </w:tcPr>
          <w:p>
            <w:pPr>
              <w:pStyle w:val="TableContents"/>
              <w:bidi w:val="0"/>
              <w:spacing w:before="0" w:after="0"/>
              <w:ind w:left="0" w:right="0" w:hanging="0"/>
              <w:jc w:val="right"/>
              <w:rPr/>
            </w:pPr>
            <w:hyperlink w:anchor="item10">
              <w:r>
                <w:rPr>
                  <w:rStyle w:val="InternetLink"/>
                  <w:rFonts w:ascii="Times New Roman" w:hAnsi="Times New Roman"/>
                  <w:caps w:val="false"/>
                  <w:smallCaps w:val="false"/>
                  <w:sz w:val="20"/>
                </w:rPr>
                <w:t>119</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8744" w:type="dxa"/>
            <w:tcBorders/>
            <w:vAlign w:val="center"/>
          </w:tcPr>
          <w:p>
            <w:pPr>
              <w:pStyle w:val="TableContents"/>
              <w:bidi w:val="0"/>
              <w:spacing w:before="0" w:after="0"/>
              <w:ind w:left="0" w:right="0" w:hanging="0"/>
              <w:jc w:val="left"/>
              <w:rPr/>
            </w:pPr>
            <w:hyperlink w:anchor="item11">
              <w:r>
                <w:rPr>
                  <w:rStyle w:val="InternetLink"/>
                  <w:rFonts w:ascii="Times New Roman" w:hAnsi="Times New Roman"/>
                  <w:caps w:val="false"/>
                  <w:smallCaps w:val="false"/>
                  <w:sz w:val="20"/>
                  <w:u w:val="single"/>
                </w:rPr>
                <w:t>Executive Compensation</w:t>
              </w:r>
            </w:hyperlink>
          </w:p>
        </w:tc>
        <w:tc>
          <w:tcPr>
            <w:tcW w:w="441" w:type="dxa"/>
            <w:tcBorders/>
            <w:vAlign w:val="center"/>
          </w:tcPr>
          <w:p>
            <w:pPr>
              <w:pStyle w:val="TableContents"/>
              <w:bidi w:val="0"/>
              <w:spacing w:before="0" w:after="0"/>
              <w:ind w:left="0" w:right="0" w:hanging="0"/>
              <w:jc w:val="right"/>
              <w:rPr/>
            </w:pPr>
            <w:hyperlink w:anchor="item11">
              <w:r>
                <w:rPr>
                  <w:rStyle w:val="InternetLink"/>
                  <w:rFonts w:ascii="Times New Roman" w:hAnsi="Times New Roman"/>
                  <w:caps w:val="false"/>
                  <w:smallCaps w:val="false"/>
                  <w:sz w:val="20"/>
                </w:rPr>
                <w:t>119</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8744" w:type="dxa"/>
            <w:tcBorders/>
            <w:vAlign w:val="center"/>
          </w:tcPr>
          <w:p>
            <w:pPr>
              <w:pStyle w:val="TableContents"/>
              <w:bidi w:val="0"/>
              <w:spacing w:before="0" w:after="0"/>
              <w:ind w:left="0" w:right="0" w:hanging="0"/>
              <w:jc w:val="left"/>
              <w:rPr/>
            </w:pPr>
            <w:hyperlink w:anchor="item12">
              <w:r>
                <w:rPr>
                  <w:rStyle w:val="InternetLink"/>
                  <w:rFonts w:ascii="Times New Roman" w:hAnsi="Times New Roman"/>
                  <w:caps w:val="false"/>
                  <w:smallCaps w:val="false"/>
                  <w:sz w:val="20"/>
                  <w:u w:val="single"/>
                </w:rPr>
                <w:t>Security Ownership of Certain Beneficial Owners and Management and Related Stockholder Matters</w:t>
              </w:r>
            </w:hyperlink>
          </w:p>
        </w:tc>
        <w:tc>
          <w:tcPr>
            <w:tcW w:w="441" w:type="dxa"/>
            <w:tcBorders/>
            <w:vAlign w:val="center"/>
          </w:tcPr>
          <w:p>
            <w:pPr>
              <w:pStyle w:val="TableContents"/>
              <w:bidi w:val="0"/>
              <w:spacing w:before="0" w:after="0"/>
              <w:ind w:left="0" w:right="0" w:hanging="0"/>
              <w:jc w:val="right"/>
              <w:rPr/>
            </w:pPr>
            <w:hyperlink w:anchor="item12">
              <w:r>
                <w:rPr>
                  <w:rStyle w:val="InternetLink"/>
                  <w:rFonts w:ascii="Times New Roman" w:hAnsi="Times New Roman"/>
                  <w:caps w:val="false"/>
                  <w:smallCaps w:val="false"/>
                  <w:sz w:val="20"/>
                </w:rPr>
                <w:t>119</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8744" w:type="dxa"/>
            <w:tcBorders/>
            <w:vAlign w:val="center"/>
          </w:tcPr>
          <w:p>
            <w:pPr>
              <w:pStyle w:val="TableContents"/>
              <w:bidi w:val="0"/>
              <w:spacing w:before="0" w:after="0"/>
              <w:ind w:left="0" w:right="0" w:hanging="0"/>
              <w:jc w:val="left"/>
              <w:rPr/>
            </w:pPr>
            <w:hyperlink w:anchor="item13">
              <w:r>
                <w:rPr>
                  <w:rStyle w:val="InternetLink"/>
                  <w:rFonts w:ascii="Times New Roman" w:hAnsi="Times New Roman"/>
                  <w:caps w:val="false"/>
                  <w:smallCaps w:val="false"/>
                  <w:sz w:val="20"/>
                  <w:u w:val="single"/>
                </w:rPr>
                <w:t>Certain Relationships and Related Transactions, and Director Independence</w:t>
              </w:r>
            </w:hyperlink>
          </w:p>
        </w:tc>
        <w:tc>
          <w:tcPr>
            <w:tcW w:w="441" w:type="dxa"/>
            <w:tcBorders/>
            <w:vAlign w:val="center"/>
          </w:tcPr>
          <w:p>
            <w:pPr>
              <w:pStyle w:val="TableContents"/>
              <w:bidi w:val="0"/>
              <w:spacing w:before="0" w:after="0"/>
              <w:ind w:left="0" w:right="0" w:hanging="0"/>
              <w:jc w:val="right"/>
              <w:rPr/>
            </w:pPr>
            <w:hyperlink w:anchor="item13">
              <w:r>
                <w:rPr>
                  <w:rStyle w:val="InternetLink"/>
                  <w:rFonts w:ascii="Times New Roman" w:hAnsi="Times New Roman"/>
                  <w:caps w:val="false"/>
                  <w:smallCaps w:val="false"/>
                  <w:sz w:val="20"/>
                </w:rPr>
                <w:t>119</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8744" w:type="dxa"/>
            <w:tcBorders/>
            <w:vAlign w:val="center"/>
          </w:tcPr>
          <w:p>
            <w:pPr>
              <w:pStyle w:val="TableContents"/>
              <w:bidi w:val="0"/>
              <w:spacing w:before="0" w:after="0"/>
              <w:ind w:left="0" w:right="0" w:hanging="0"/>
              <w:jc w:val="left"/>
              <w:rPr/>
            </w:pPr>
            <w:hyperlink w:anchor="item14">
              <w:r>
                <w:rPr>
                  <w:rStyle w:val="InternetLink"/>
                  <w:rFonts w:ascii="Times New Roman" w:hAnsi="Times New Roman"/>
                  <w:caps w:val="false"/>
                  <w:smallCaps w:val="false"/>
                  <w:sz w:val="20"/>
                  <w:u w:val="single"/>
                </w:rPr>
                <w:t>Principal Accounting Fees and Services</w:t>
              </w:r>
            </w:hyperlink>
          </w:p>
        </w:tc>
        <w:tc>
          <w:tcPr>
            <w:tcW w:w="441" w:type="dxa"/>
            <w:tcBorders/>
            <w:vAlign w:val="center"/>
          </w:tcPr>
          <w:p>
            <w:pPr>
              <w:pStyle w:val="TableContents"/>
              <w:bidi w:val="0"/>
              <w:spacing w:before="0" w:after="0"/>
              <w:ind w:left="0" w:right="0" w:hanging="0"/>
              <w:jc w:val="right"/>
              <w:rPr/>
            </w:pPr>
            <w:hyperlink w:anchor="item14">
              <w:r>
                <w:rPr>
                  <w:rStyle w:val="InternetLink"/>
                  <w:rFonts w:ascii="Times New Roman" w:hAnsi="Times New Roman"/>
                  <w:caps w:val="false"/>
                  <w:smallCaps w:val="false"/>
                  <w:sz w:val="20"/>
                </w:rPr>
                <w:t>119</w:t>
              </w:r>
            </w:hyperlink>
          </w:p>
        </w:tc>
      </w:tr>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IV</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8744" w:type="dxa"/>
            <w:tcBorders/>
            <w:vAlign w:val="center"/>
          </w:tcPr>
          <w:p>
            <w:pPr>
              <w:pStyle w:val="TableContents"/>
              <w:bidi w:val="0"/>
              <w:spacing w:before="0" w:after="0"/>
              <w:ind w:left="0" w:right="0" w:hanging="0"/>
              <w:jc w:val="left"/>
              <w:rPr/>
            </w:pPr>
            <w:hyperlink w:anchor="item15">
              <w:r>
                <w:rPr>
                  <w:rStyle w:val="InternetLink"/>
                  <w:rFonts w:ascii="Times New Roman" w:hAnsi="Times New Roman"/>
                  <w:caps w:val="false"/>
                  <w:smallCaps w:val="false"/>
                  <w:sz w:val="20"/>
                  <w:u w:val="single"/>
                </w:rPr>
                <w:t>Exhibits, Financial Statement Schedules</w:t>
              </w:r>
            </w:hyperlink>
          </w:p>
        </w:tc>
        <w:tc>
          <w:tcPr>
            <w:tcW w:w="441" w:type="dxa"/>
            <w:tcBorders/>
            <w:vAlign w:val="center"/>
          </w:tcPr>
          <w:p>
            <w:pPr>
              <w:pStyle w:val="TableContents"/>
              <w:bidi w:val="0"/>
              <w:spacing w:before="0" w:after="0"/>
              <w:ind w:left="0" w:right="0" w:hanging="0"/>
              <w:jc w:val="right"/>
              <w:rPr/>
            </w:pPr>
            <w:hyperlink w:anchor="item15">
              <w:r>
                <w:rPr>
                  <w:rStyle w:val="InternetLink"/>
                  <w:rFonts w:ascii="Times New Roman" w:hAnsi="Times New Roman"/>
                  <w:caps w:val="false"/>
                  <w:smallCaps w:val="false"/>
                  <w:sz w:val="20"/>
                </w:rPr>
                <w:t>120</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8744" w:type="dxa"/>
            <w:tcBorders/>
            <w:vAlign w:val="center"/>
          </w:tcPr>
          <w:p>
            <w:pPr>
              <w:pStyle w:val="TableContents"/>
              <w:bidi w:val="0"/>
              <w:spacing w:before="0" w:after="0"/>
              <w:ind w:left="0" w:right="0" w:hanging="0"/>
              <w:jc w:val="left"/>
              <w:rPr/>
            </w:pPr>
            <w:hyperlink w:anchor="item16">
              <w:r>
                <w:rPr>
                  <w:rStyle w:val="InternetLink"/>
                  <w:rFonts w:ascii="Times New Roman" w:hAnsi="Times New Roman"/>
                  <w:caps w:val="false"/>
                  <w:smallCaps w:val="false"/>
                  <w:sz w:val="20"/>
                  <w:u w:val="single"/>
                </w:rPr>
                <w:t>Form 10-K Summary</w:t>
              </w:r>
            </w:hyperlink>
          </w:p>
        </w:tc>
        <w:tc>
          <w:tcPr>
            <w:tcW w:w="441" w:type="dxa"/>
            <w:tcBorders/>
            <w:vAlign w:val="center"/>
          </w:tcPr>
          <w:p>
            <w:pPr>
              <w:pStyle w:val="TableContents"/>
              <w:bidi w:val="0"/>
              <w:spacing w:before="0" w:after="0"/>
              <w:ind w:left="0" w:right="0" w:hanging="0"/>
              <w:jc w:val="right"/>
              <w:rPr/>
            </w:pPr>
            <w:hyperlink w:anchor="item16">
              <w:r>
                <w:rPr>
                  <w:rStyle w:val="InternetLink"/>
                  <w:rFonts w:ascii="Times New Roman" w:hAnsi="Times New Roman"/>
                  <w:caps w:val="false"/>
                  <w:smallCaps w:val="false"/>
                  <w:sz w:val="20"/>
                </w:rPr>
                <w:t>124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Annual Report on Form 10-K, “we,” “our,” “us,” “Tilray,” and the “Company” refer to Tilray Brands,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parti"/>
      <w:bookmarkEnd w:id="2"/>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Cautionary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Annual Report on Form 10-K for the fiscal year ended</w:t>
      </w:r>
      <w:r>
        <w:rPr>
          <w:rFonts w:ascii="Times New Roman" w:hAnsi="Times New Roman"/>
          <w:caps w:val="false"/>
          <w:smallCaps w:val="false"/>
          <w:sz w:val="20"/>
        </w:rPr>
        <w:t>  </w:t>
      </w:r>
      <w:r>
        <w:rPr>
          <w:rFonts w:ascii="Times New Roman" w:hAnsi="Times New Roman"/>
          <w:i/>
          <w:caps w:val="false"/>
          <w:smallCaps w:val="false"/>
          <w:sz w:val="20"/>
        </w:rPr>
        <w:t xml:space="preserve">May 31, 2025 (the </w:t>
      </w:r>
      <w:r>
        <w:rPr>
          <w:rFonts w:ascii="Times New Roman" w:hAnsi="Times New Roman"/>
          <w:caps w:val="false"/>
          <w:smallCaps w:val="false"/>
          <w:sz w:val="20"/>
        </w:rPr>
        <w:t>“</w:t>
      </w:r>
      <w:r>
        <w:rPr>
          <w:rFonts w:ascii="Times New Roman" w:hAnsi="Times New Roman"/>
          <w:i/>
          <w:caps w:val="false"/>
          <w:smallCaps w:val="false"/>
          <w:sz w:val="20"/>
        </w:rPr>
        <w:t>Form 10-K</w:t>
      </w:r>
      <w:r>
        <w:rPr>
          <w:rFonts w:ascii="Times New Roman" w:hAnsi="Times New Roman"/>
          <w:caps w:val="false"/>
          <w:smallCaps w:val="false"/>
          <w:sz w:val="20"/>
        </w:rPr>
        <w:t>”</w:t>
      </w:r>
      <w:r>
        <w:rPr>
          <w:rFonts w:ascii="Times New Roman" w:hAnsi="Times New Roman"/>
          <w:i/>
          <w:caps w:val="false"/>
          <w:smallCaps w:val="false"/>
          <w:sz w:val="20"/>
        </w:rPr>
        <w:t xml:space="preserve">) contains forward-looking statements under Canadian securities laws and within the meaning of Section 27A of the Securities Act of 1933, as amended, and Section 21E of the Securities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under the Canadian securities laws and within the meaning of Section 27A of the Securities Act of 1933, as amended, and Section 21E of the Exchange Act, that are intended to be subject to the </w:t>
      </w:r>
      <w:r>
        <w:rPr>
          <w:rFonts w:ascii="Times New Roman" w:hAnsi="Times New Roman"/>
          <w:caps w:val="false"/>
          <w:smallCaps w:val="false"/>
          <w:sz w:val="20"/>
        </w:rPr>
        <w:t>“</w:t>
      </w:r>
      <w:r>
        <w:rPr>
          <w:rFonts w:ascii="Times New Roman" w:hAnsi="Times New Roman"/>
          <w:i/>
          <w:caps w:val="false"/>
          <w:smallCaps w:val="false"/>
          <w:sz w:val="20"/>
        </w:rPr>
        <w:t>safe harbor</w:t>
      </w:r>
      <w:r>
        <w:rPr>
          <w:rFonts w:ascii="Times New Roman" w:hAnsi="Times New Roman"/>
          <w:caps w:val="false"/>
          <w:smallCaps w:val="false"/>
          <w:sz w:val="20"/>
        </w:rPr>
        <w:t xml:space="preserve">” </w:t>
      </w:r>
      <w:r>
        <w:rPr>
          <w:rFonts w:ascii="Times New Roman" w:hAnsi="Times New Roman"/>
          <w:i/>
          <w:caps w:val="false"/>
          <w:smallCaps w:val="false"/>
          <w:sz w:val="20"/>
        </w:rPr>
        <w:t>created by those sections and other applicable laws.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words </w:t>
      </w:r>
      <w:r>
        <w:rPr>
          <w:rFonts w:ascii="Times New Roman" w:hAnsi="Times New Roman"/>
          <w:caps w:val="false"/>
          <w:smallCaps w:val="false"/>
          <w:sz w:val="20"/>
        </w:rPr>
        <w:t>“</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might,</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should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regarding our cost savings initiatives; our strategic initiatives, business strategy, supply chain, brand portfolio, product performance and expansion efforts; current or future macroeconomic trends and industry or regulatory trends; our statements regarding the consolidation of the Canadian cannabis industry; future corporate acquisitions and strategic transactions; and our synergies, cash savings and efficiencies anticipated from the integration of our completed acquisitions and strategic transactions.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Risks and uncertainties that may cause actual results to differ materially from forward-looking statements include, but are not limited to, those identified in this Form 10-K and those discussed in the sections titled </w:t>
      </w:r>
      <w:r>
        <w:rPr>
          <w:rFonts w:ascii="Times New Roman" w:hAnsi="Times New Roman"/>
          <w:caps w:val="false"/>
          <w:smallCaps w:val="false"/>
          <w:sz w:val="20"/>
        </w:rPr>
        <w:t>“</w:t>
      </w:r>
      <w:r>
        <w:rPr>
          <w:rFonts w:ascii="Times New Roman" w:hAnsi="Times New Roman"/>
          <w:i/>
          <w:caps w:val="false"/>
          <w:smallCaps w:val="false"/>
          <w:sz w:val="20"/>
        </w:rPr>
        <w:t>Risk Factor Summary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set forth below,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set forth in Part I, Item 1A of this Form 10-K, and</w:t>
      </w:r>
      <w:r>
        <w:rPr>
          <w:rFonts w:ascii="Times New Roman" w:hAnsi="Times New Roman"/>
          <w:caps w:val="false"/>
          <w:smallCaps w:val="false"/>
          <w:sz w:val="20"/>
        </w:rPr>
        <w:t>  </w:t>
      </w:r>
      <w:r>
        <w:rPr>
          <w:rFonts w:ascii="Times New Roman" w:hAnsi="Times New Roman"/>
          <w:i/>
          <w:caps w:val="false"/>
          <w:smallCaps w:val="false"/>
          <w:sz w:val="20"/>
        </w:rPr>
        <w:t xml:space="preserve">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w:t>
      </w:r>
      <w:r>
        <w:rPr>
          <w:rFonts w:ascii="Times New Roman" w:hAnsi="Times New Roman"/>
          <w:caps w:val="false"/>
          <w:smallCaps w:val="false"/>
          <w:sz w:val="20"/>
        </w:rPr>
        <w:t xml:space="preserve">” </w:t>
      </w:r>
      <w:r>
        <w:rPr>
          <w:rFonts w:ascii="Times New Roman" w:hAnsi="Times New Roman"/>
          <w:i/>
          <w:caps w:val="false"/>
          <w:smallCaps w:val="false"/>
          <w:sz w:val="20"/>
        </w:rPr>
        <w:t>set forth in Part II, Item 7 of this Form 10-K, as well as our other filings made from time to time with the U.S. Securities and Exchange Commission and in our Canadian securities filings.</w:t>
      </w:r>
      <w:r>
        <w:rPr>
          <w:rFonts w:ascii="Times New Roman" w:hAnsi="Times New Roman"/>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We undertake no obligation to update forward-looking statements to reflect actual results or changes in assumptions or circumstances, except as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 Factor 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w:t>
      </w:r>
      <w:r>
        <w:rPr>
          <w:rFonts w:ascii="Times New Roman" w:hAnsi="Times New Roman"/>
          <w:i/>
          <w:caps w:val="false"/>
          <w:smallCaps w:val="false"/>
          <w:sz w:val="20"/>
        </w:rPr>
        <w:t>Item 1A</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achieve the expected revenue or other benefits from the craft beer operations we acquired in fiscal years 2024 and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pPr>
            <w:r>
              <w:rPr/>
              <w:t>We may experience difficulties integrating operations and realizing the expected benefits of recent acquisitions, including the Craft brands acquisitions.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cannabis business is dependent upon regulatory approvals and licenses, ongoing compliance and reporting obligations, and timely renewals.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intense competition, including from the illicit cannabis market, and anticipate competition will increase, which could hurt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production and processing facilities are integral to our business and adverse changes or developments affecting our facilities may have an adverse impact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10"/>
        <w:gridCol w:w="6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Regulations constrain our ability to market and distribute our products in Canada.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pPr>
            <w:r>
              <w:rPr/>
              <w:t>United States regulations relating to hemp-derived CBD products, Delta-9 products, and medical cannabis products are new and rapidly evolving, and changes may not develop in the timeframe or manner most favorable to our business objectives.</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110"/>
        <w:gridCol w:w="95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consumer preferences or public attitudes about alcohol could decrease demand for our beverage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pPr>
            <w:r>
              <w:rPr/>
              <w:t>SweetWater, Breckenridge, Montauk and our recently-acquired craft beer brands each face substantial competition in the beer industry or the broader market for beverage products, which could impact our business and financial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litigation, arbitration and demands, which could result in significant liability and costs, and impact our resources and reputation.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may be materially adversely affected by the imposition of duties and tariffs and other trade barriers and retaliatory countermeasures implemented by the U.S. and other governments.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impairments of our goodwill, impairments of our intangible and other long-lived assets, and changes in the estimated useful lives of intangible assets could have a material adverse impact on our financial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limited operating history and a history of net losses, and we may not achieve or maintain profitability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strategic alliances and other third-party business relationships may not achieve the intended beneficial impact and expose us to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successfully identify and execute future acquisitions, dispositions or other equity transactions or to successfully manage the impacts of such transactions on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110"/>
        <w:gridCol w:w="74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risks inherent in an agricultural business, including the risk of crop failure.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depend on recurring customers for a substantial portion of our revenue. If we fail to retain or expand our customer relationships or these customers reduce their purchases, our revenue could decline significantly.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products may be subject to recalls for a variety of reasons, which could require us to expend significant management and capital resources.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interruptions in our access to certain supply chains for key inputs such as raw materials, supplies, electricity, water and other utilities may impair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10"/>
        <w:gridCol w:w="96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may not be able to successfully establish and maintain effective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10"/>
        <w:gridCol w:w="100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failure to meet the continued listing requirements of Nasdaq could result in a delisting of our publicly traded securities.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uncertainty regarding the impact of our implementation of a reverse stock split.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price of our common stock in public markets has experienced and may continue to experience severe volatility and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volatility of our stock and the stockholder base may hinder or prevent us from engaging in beneficial corporate initiatives.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terms of our outstanding warrants may limit our ability to raise additional equity capital or pursue acquisitions, which may impact funding of our ongoing operations and cause significant dilution to existing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have the ability to raise the funds necessary to settle conversions of the convertible securities in cash or to repurchase the convertible securities upon a fundamental 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planned cryptocurrency strategy faces high risk and uncertainty in light of market volatility and an evolving regulatory landscape.</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10"/>
        <w:gridCol w:w="7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other risks generally applicable to our industry and the conduct of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item1"/>
      <w:bookmarkEnd w:id="3"/>
      <w:r>
        <w:rPr>
          <w:rFonts w:ascii="Times New Roman" w:hAnsi="Times New Roman"/>
          <w:b/>
          <w:caps w:val="false"/>
          <w:smallCaps w:val="false"/>
          <w:sz w:val="20"/>
        </w:rPr>
        <w:t xml:space="preserve">Item 1.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Our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2022, we changed our name from Tilray, Inc. to Tilray Brands, Inc, in order to reflect our consumer/patient-focused approach to sustainably growing our businesses by building brand equity and consumer/patient loyalty through the delivery of high-quality products under brands that emotionally connect with and are trusted by consumers/patients worldwide. Today, our portfolio includes some of the most well-known and beloved brands in their respective industries and markets including SweetWater Brewing, Montauk Brewing, Shock Top, 10 Barrell, Breckenridge Brewery, Blue Point Brewing, Breckenridge Distillery, Atwater, Revolver, Terrapin, Broken Coast, Good Supply, Redecan, Solei, Tilray, XMG and Manitoba Harvest. In the U.S., we are the 4th largest craft brewer. In Canada, we continued to lead the Canadian cannabis market with the highest cannabis revenue in Canada. Outside of North America, we have supplied high-quality medical cannabis products to patients in over 20 countries spanning five continents through our global subsidiaries, and through agreements with established distributors. Our Manitoba Harvest business is a leader in the hemp-based food category in the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Our core values drive our performance and guide our pursuits:</w:t>
      </w:r>
    </w:p>
    <w:p>
      <w:pPr>
        <w:pStyle w:val="TextBody"/>
        <w:bidi w:val="0"/>
        <w:spacing w:before="0" w:after="0"/>
        <w:ind w:left="0" w:right="0" w:firstLine="9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Creativity:</w:t>
            </w:r>
            <w:r>
              <w:rPr>
                <w:rFonts w:ascii="Times New Roman;Times;serif" w:hAnsi="Times New Roman;Times;serif"/>
                <w:sz w:val="20"/>
              </w:rPr>
              <w:t xml:space="preserve"> We find solutions to challenges by exploring all options, and by leveraging the collective ingenuity of our teams, internal fortitude, and by putting the consumers’ needs first. We continually set the bar higher for ourselves by encouraging and embracing innovative thinking, crafting an environment where new ideas are valued, and growth opportunities and continuous improvement are cultivated.</w:t>
            </w:r>
          </w:p>
        </w:tc>
      </w:tr>
    </w:tbl>
    <w:p>
      <w:pPr>
        <w:pStyle w:val="TextBody"/>
        <w:bidi w:val="0"/>
        <w:spacing w:before="0" w:after="0"/>
        <w:ind w:left="0" w:right="0" w:firstLine="9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Respect: </w:t>
            </w:r>
            <w:r>
              <w:rPr>
                <w:rFonts w:ascii="Times New Roman;Times;serif" w:hAnsi="Times New Roman;Times;serif"/>
                <w:sz w:val="20"/>
              </w:rPr>
              <w:t>We treat everyone with dignity and consideration, acknowledging the diverse perspectives and contributions of individuals by fostering a culture of openness, inclusion and belonging.</w:t>
            </w:r>
          </w:p>
        </w:tc>
      </w:tr>
    </w:tbl>
    <w:p>
      <w:pPr>
        <w:pStyle w:val="TextBody"/>
        <w:bidi w:val="0"/>
        <w:spacing w:before="0" w:after="0"/>
        <w:ind w:left="0" w:right="0" w:firstLine="9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Accountability: </w:t>
            </w:r>
            <w:r>
              <w:rPr>
                <w:rFonts w:ascii="Times New Roman;Times;serif" w:hAnsi="Times New Roman;Times;serif"/>
                <w:sz w:val="20"/>
              </w:rPr>
              <w:t>We take ownership of our responsibilities and actions and are resilient and adaptive in the face of change. We take pride in the maintenance of our world-class facilities and the quality of our products. We make choices rooted in the belief that safety, transparency, integrity, and accountability are at the core of all that we do.</w:t>
            </w:r>
          </w:p>
        </w:tc>
      </w:tr>
    </w:tbl>
    <w:p>
      <w:pPr>
        <w:pStyle w:val="TextBody"/>
        <w:bidi w:val="0"/>
        <w:spacing w:before="0" w:after="0"/>
        <w:ind w:left="0" w:right="0" w:firstLine="9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Fun:</w:t>
            </w:r>
            <w:r>
              <w:rPr>
                <w:rFonts w:ascii="Times New Roman;Times;serif" w:hAnsi="Times New Roman;Times;serif"/>
                <w:sz w:val="20"/>
              </w:rPr>
              <w:t xml:space="preserve"> We have fun by engaging the spirit and lifestyle of our brands. We love what we do, and it shows in the quality of our products, the passion of our teams, and the response of our consumers. We work hard and we also recognize the importance of enjoying the journey as much as the outcome.</w:t>
            </w:r>
          </w:p>
        </w:tc>
      </w:tr>
    </w:tbl>
    <w:p>
      <w:pPr>
        <w:pStyle w:val="TextBody"/>
        <w:bidi w:val="0"/>
        <w:spacing w:before="0" w:after="0"/>
        <w:ind w:left="0" w:right="0" w:firstLine="9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Teamwork:</w:t>
            </w:r>
            <w:r>
              <w:rPr>
                <w:rFonts w:ascii="Times New Roman;Times;serif" w:hAnsi="Times New Roman;Times;serif"/>
                <w:sz w:val="20"/>
              </w:rPr>
              <w:t xml:space="preserve"> We strive for excellence and are steadfast yet agile in the pursuit of our goals by emphasizing collaboration and teamwork. We recognize that collective effort and shared goals lead to greater success, and we encourage open communication and mutual support within our team.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Our Strategy and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in order to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specialists and leaders that are well-established in wellness foods, all of whom apply an innovative and consumer-centric approach to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achieve our vision of building the leading global lifestyle consumer products company that is leading as a transformative force at the nexus of cannabis, beverage, wellness, and entertainment, elevating lives through moments of connection, we will focus on the following strategies: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Build global brands that lead in their respective industries by winning the hearts and minds of our consumers and patients</w:t>
            </w:r>
            <w:r>
              <w:rPr>
                <w:rFonts w:ascii="Times New Roman;Times;serif" w:hAnsi="Times New Roman;Times;serif"/>
                <w:caps w:val="false"/>
                <w:smallCaps w:val="false"/>
                <w:sz w:val="20"/>
              </w:rPr>
              <w:t>. We have a house of high-quality, consumer/patient connected brands, which are beloved and trusted by our consumers and patients.  Through this extensive portfolio, we seek to continue to build loyalty by providing our consumers and patients with the value proposition they have come to expect.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Develop innovative products and form factors that change the way the world consumes cannabis.</w:t>
            </w:r>
            <w:r>
              <w:rPr>
                <w:rFonts w:ascii="Times New Roman;Times;serif" w:hAnsi="Times New Roman;Times;serif"/>
                <w:caps w:val="false"/>
                <w:smallCaps w:val="false"/>
                <w:sz w:val="20"/>
              </w:rPr>
              <w:t> In Canada, we produce, market and sell one of the most comprehensive portfolio of adult-use cannabis and medical form factors, including whole flower, pre-rolls, vapes, topicals, edibles (gummies and chocolates) and beverages. We plan to continue to develop innovative products that possess the most consumer demand and are truly differentiated from our competitors, while optimizing our cultivation and production facilities. We will continue to invest in innovation in order to continue to provide our patients and consumers with a differentiated portfolio of products that exceeds their expectations and meets their needs, driven by research and insights.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Grow and leverage our investment in beverage and hemp-based food</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Within the U.S., our strategic acquisitions of beverage businesses are the cornerstone of our longer-term U.S. strategy and an important step towards achieving our vision to lead as a transformative force at the nexus of cannabis, beverage, wellness, and entertainment, elevating lives through moments of connection.  This diversification strategy not only provides us with a platform and infrastructure to enable us to access the U.S. market more quickly in the event of federal legalization, but also in advance of any federal legalization, a purposefully-built platform where we are focused on leading the beer and spirits segments, including building our ever-growing beverage portfolio by bringing new consumers into the segment, focusing on new product development and driving innovation that delights our consumers while expanding brand awareness. On September 29, 2023, we acquired a portfolio of craft brands, assets and businesses comprising eight beer and beverage brands from Anheuser-Busch Companies, LLC, (“AB”) including breweries and brewpubs associated with them (the “Craft Acquisition I”).  This fiscal year we continued to invest in our expanding beverage business and capabilities by acquiring a portfolio of beverage brands, assets and businesses comprising four beer and beverage brands from Molson Coors Beverage Company (“Molson”), including Atwater Brewery, Hop Valley Brewing Company, Terrapin Beer Company., and Revolver Brewing as well as the breweries and brewpubs associated with them (“Craft Acquisition II”). The acquired businesses/brands are a welcomed addition to our growing beverage business. In addition to driving growth in our beverage businesses, we also seek to drive growth in our Tilray Wellness platform, which currently consists of our Manitoba Harvest brand and The Humble Seed cracker company and other hemp-based foods and ingredients products. We are focused on consumer insights and consumer marketing activities, new product development, as well as educating the consumer on the benefits from hemp-based foods. Furthermore, we expanded into the emerging hemp-derived Delta-9 (“HD-D9”) product category by introducing four new brands in legally permissible states. Lastly, in the event of federal legalization in the U.S., we expect to be well-positioned to compete in the U.S. cannabis market given our portfolio of strong brands and distribution system in addition to our track record of growth in consumer-packaged goods and cannabis products. Until federal legalization, we intend to continue to diversify and grow our businesses while maximizing their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Expand the availability of high quality, consistent medical cannabis products for patients around the world, wherever it is legal.</w:t>
            </w:r>
            <w:r>
              <w:rPr>
                <w:rFonts w:ascii="Times New Roman;Times;serif" w:hAnsi="Times New Roman;Times;serif"/>
                <w:caps w:val="false"/>
                <w:smallCaps w:val="false"/>
                <w:sz w:val="20"/>
              </w:rPr>
              <w:t> Since 2014, we have seen an increase in the demand for medical cannabis from patients, doctors and governments in conjunction with a shift in the medical community, which is increasingly recognizing medical cannabis as a viable option for the treatment of patients suffering from a variety of health conditions. We are focused on driving the availability of high-quality medical cannabis that is accessible to all who need it. Internationally, we have made significant investments in our operations within Europe and we are well-positioned to pursue international growth opportunities with our strong medical cannabis brands, distribution network in Germany with CC Pharma, and end-to-end European Union Good Manufacturing Practices (“EU-GMP”) supply chain, which includes EU-GMP production facilities in Portugal and Germany. We intend to continue to maximize the utilization of our existing assets and investments in connection with the development and execution of our international growth plans, while leveraging our cannabis expertise and well-established medical brands as well as our Canadian brands. Through our well positioned cultivation facilities in Portugal and Germany and those in Canada, we intend to fuel the demand for our EU-GMP certified medical grade cannabis internationally. Furthermore, in the event that recent efforts in the U.S. to reschedule cannabis as a Schedule III substance prevail and enable Tilray to enter the medical cannabis business, we believe that as a leader in medical cannabis businesses in both Canada, Europe and Australia, Tilray has the expertise to launch medical cannabis operations in the U.S. expeditiously. By leveraging our existing foundation, we plan to grow our leadership position in the evolving global cannabis industry.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Optimize and drive efficiencies in our global operations with a relentless focus on cost reduction and cash generation.</w:t>
            </w:r>
            <w:r>
              <w:rPr>
                <w:rFonts w:ascii="Times New Roman;Times;serif" w:hAnsi="Times New Roman;Times;serif"/>
                <w:caps w:val="false"/>
                <w:smallCaps w:val="false"/>
                <w:sz w:val="20"/>
              </w:rPr>
              <w:t>  In each of our pillars, we continuously evaluate our cost structure for efficiencies and synergies and eliminate cost when warranted. In cannabis, our state-of-the-art facilities are among the lowest cost production operations with the capabilities to produce a complete portfolio of form factors and products, including flower, pre-roll, capsules, vapes, edibles and beverages. In beverage, we are focused on integrating our recently acquired craft brands and improving our cost structure. This approach has permitted us to maintain a strong, flexible balance sheet, cash balance and access to capital, which we believe will assist us in accelerating growth and deliver long-term sustainable value for our stockholders.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Acquisitions and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executing our strategy as outlined above, during Fiscal 2025 we completed the following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 2024, Tilray acquired Craft Acquisition II, which consisted of four craft beer brands and breweries from Molson including Atwater Brewery, Hop Valley Brewing Company, Terrapin Beer Company., and Revolver Brewing.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consists of four reporting segments, which are defined by the industry in which we compete, target consumers and need, route to market, and margins.  This enables us to track and measure our performance and build processes for repeatable success in each of these categories. Our defined reporting segments align with how our Chief Operating Decision Maker (“CODM”), our CEO and Chairman of the Board, evaluates and manages our business, including resource allocation and performance assessment.  We report our operating results in four reportable segments:</w:t>
      </w:r>
    </w:p>
    <w:p>
      <w:pPr>
        <w:pStyle w:val="TextBody"/>
        <w:bidi w:val="0"/>
        <w:spacing w:before="0" w:after="0"/>
        <w:ind w:left="0" w:right="0" w:firstLine="72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10"/>
        <w:gridCol w:w="4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Beverage</w:t>
            </w:r>
            <w:r>
              <w:rPr>
                <w:rFonts w:ascii="Times New Roman;Times;serif" w:hAnsi="Times New Roman;Times;serif"/>
                <w:caps w:val="false"/>
                <w:smallCaps w:val="false"/>
                <w:sz w:val="20"/>
              </w:rPr>
              <w:t> – Production, marketing and sale of beverages.</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60"/>
        <w:gridCol w:w="110"/>
        <w:gridCol w:w="8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Cannabis</w:t>
            </w:r>
            <w:r>
              <w:rPr>
                <w:rFonts w:ascii="Times New Roman;Times;serif" w:hAnsi="Times New Roman;Times;serif"/>
                <w:caps w:val="false"/>
                <w:smallCaps w:val="false"/>
                <w:sz w:val="20"/>
              </w:rPr>
              <w:t> – Cultivation, production, distribution and sale of both medical and adult-use cannabis products.</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10"/>
        <w:gridCol w:w="72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Distribution</w:t>
            </w:r>
            <w:r>
              <w:rPr>
                <w:rFonts w:ascii="Times New Roman;Times;serif" w:hAnsi="Times New Roman;Times;serif"/>
                <w:caps w:val="false"/>
                <w:smallCaps w:val="false"/>
                <w:sz w:val="20"/>
              </w:rPr>
              <w:t> – Purchase, resale and distribution of pharmaceutical and wellness products.</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10"/>
        <w:gridCol w:w="80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Wellness</w:t>
            </w:r>
            <w:r>
              <w:rPr>
                <w:rFonts w:ascii="Times New Roman;Times;serif" w:hAnsi="Times New Roman;Times;serif"/>
                <w:caps w:val="false"/>
                <w:smallCaps w:val="false"/>
                <w:sz w:val="20"/>
              </w:rPr>
              <w:t> – Production, marketing and distribution of hemp-based food and other wellness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in these four reportable business segments, and the year-over-year comparison, is as follows:</w:t>
      </w:r>
    </w:p>
    <w:p>
      <w:pPr>
        <w:pStyle w:val="TextBody"/>
        <w:bidi w:val="0"/>
        <w:spacing w:before="0" w:after="0"/>
        <w:ind w:left="0" w:right="0" w:firstLine="720"/>
        <w:jc w:val="both"/>
        <w:rPr>
          <w:caps w:val="false"/>
          <w:smallCaps w:val="false"/>
        </w:rPr>
      </w:pPr>
      <w:r>
        <w:rPr>
          <w:caps w:val="false"/>
          <w:smallCaps w:val="false"/>
        </w:rPr>
        <w:t> </w:t>
      </w:r>
    </w:p>
    <w:tbl>
      <w:tblPr>
        <w:tblW w:w="9854" w:type="dxa"/>
        <w:jc w:val="left"/>
        <w:tblInd w:w="0" w:type="dxa"/>
        <w:tblLayout w:type="fixed"/>
        <w:tblCellMar>
          <w:top w:w="0" w:type="dxa"/>
          <w:left w:w="0" w:type="dxa"/>
          <w:bottom w:w="0" w:type="dxa"/>
          <w:right w:w="0" w:type="dxa"/>
        </w:tblCellMar>
      </w:tblPr>
      <w:tblGrid>
        <w:gridCol w:w="2435"/>
        <w:gridCol w:w="60"/>
        <w:gridCol w:w="92"/>
        <w:gridCol w:w="1082"/>
        <w:gridCol w:w="60"/>
        <w:gridCol w:w="60"/>
        <w:gridCol w:w="140"/>
        <w:gridCol w:w="794"/>
        <w:gridCol w:w="185"/>
        <w:gridCol w:w="60"/>
        <w:gridCol w:w="92"/>
        <w:gridCol w:w="1082"/>
        <w:gridCol w:w="60"/>
        <w:gridCol w:w="60"/>
        <w:gridCol w:w="140"/>
        <w:gridCol w:w="794"/>
        <w:gridCol w:w="185"/>
        <w:gridCol w:w="60"/>
        <w:gridCol w:w="92"/>
        <w:gridCol w:w="1082"/>
        <w:gridCol w:w="60"/>
        <w:gridCol w:w="60"/>
        <w:gridCol w:w="140"/>
        <w:gridCol w:w="794"/>
        <w:gridCol w:w="185"/>
      </w:tblGrid>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in these four reportable business segments as reported in constant currency1, and the year-over-year comparison,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1"/>
        <w:gridCol w:w="60"/>
        <w:gridCol w:w="183"/>
        <w:gridCol w:w="2064"/>
        <w:gridCol w:w="60"/>
        <w:gridCol w:w="60"/>
        <w:gridCol w:w="219"/>
        <w:gridCol w:w="1234"/>
        <w:gridCol w:w="185"/>
        <w:gridCol w:w="60"/>
        <w:gridCol w:w="183"/>
        <w:gridCol w:w="2064"/>
        <w:gridCol w:w="60"/>
        <w:gridCol w:w="60"/>
        <w:gridCol w:w="219"/>
        <w:gridCol w:w="1234"/>
        <w:gridCol w:w="189"/>
      </w:tblGrid>
      <w:tr>
        <w:trPr/>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189" w:type="dxa"/>
            <w:tcBorders/>
            <w:shd w:fill="FFFFFF" w:val="clear"/>
            <w:vAlign w:val="center"/>
          </w:tcPr>
          <w:p>
            <w:pPr>
              <w:pStyle w:val="TableContents"/>
              <w:bidi w:val="0"/>
              <w:spacing w:before="0" w:after="283"/>
              <w:jc w:val="left"/>
              <w:rPr/>
            </w:pPr>
            <w:r>
              <w:rPr/>
              <w:t> </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2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2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from our cannabis operations from the following sales channels and the year-over-year comparison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4"/>
        <w:gridCol w:w="60"/>
        <w:gridCol w:w="84"/>
        <w:gridCol w:w="995"/>
        <w:gridCol w:w="80"/>
        <w:gridCol w:w="60"/>
        <w:gridCol w:w="140"/>
        <w:gridCol w:w="750"/>
        <w:gridCol w:w="231"/>
        <w:gridCol w:w="60"/>
        <w:gridCol w:w="84"/>
        <w:gridCol w:w="995"/>
        <w:gridCol w:w="80"/>
        <w:gridCol w:w="60"/>
        <w:gridCol w:w="140"/>
        <w:gridCol w:w="750"/>
        <w:gridCol w:w="231"/>
        <w:gridCol w:w="60"/>
        <w:gridCol w:w="84"/>
        <w:gridCol w:w="995"/>
        <w:gridCol w:w="80"/>
        <w:gridCol w:w="60"/>
        <w:gridCol w:w="140"/>
        <w:gridCol w:w="750"/>
        <w:gridCol w:w="242"/>
      </w:tblGrid>
      <w:tr>
        <w:trPr/>
        <w:tc>
          <w:tcPr>
            <w:tcW w:w="2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42" w:type="dxa"/>
            <w:tcBorders/>
            <w:shd w:fill="FFFFFF" w:val="clear"/>
            <w:vAlign w:val="center"/>
          </w:tcPr>
          <w:p>
            <w:pPr>
              <w:pStyle w:val="TableContents"/>
              <w:bidi w:val="0"/>
              <w:spacing w:before="0" w:after="283"/>
              <w:jc w:val="left"/>
              <w:rPr/>
            </w:pPr>
            <w:r>
              <w:rPr/>
              <w:t> </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2" w:type="dxa"/>
            <w:tcBorders/>
            <w:shd w:fill="FFFFFF" w:val="clear"/>
            <w:vAlign w:val="center"/>
          </w:tcPr>
          <w:p>
            <w:pPr>
              <w:pStyle w:val="TableContents"/>
              <w:bidi w:val="0"/>
              <w:spacing w:before="0" w:after="283"/>
              <w:jc w:val="left"/>
              <w:rPr/>
            </w:pPr>
            <w:r>
              <w:rPr/>
              <w:t> </w:t>
            </w:r>
          </w:p>
        </w:tc>
      </w:tr>
      <w:tr>
        <w:trPr/>
        <w:tc>
          <w:tcPr>
            <w:tcW w:w="2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 from our cannabis operations from the following sales channels as reported in constant currency1 and the year-over-year comparison is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8"/>
        <w:gridCol w:w="60"/>
        <w:gridCol w:w="168"/>
        <w:gridCol w:w="1852"/>
        <w:gridCol w:w="80"/>
        <w:gridCol w:w="60"/>
        <w:gridCol w:w="203"/>
        <w:gridCol w:w="1140"/>
        <w:gridCol w:w="222"/>
        <w:gridCol w:w="60"/>
        <w:gridCol w:w="168"/>
        <w:gridCol w:w="1852"/>
        <w:gridCol w:w="80"/>
        <w:gridCol w:w="60"/>
        <w:gridCol w:w="203"/>
        <w:gridCol w:w="1140"/>
        <w:gridCol w:w="229"/>
      </w:tblGrid>
      <w:tr>
        <w:trPr/>
        <w:tc>
          <w:tcPr>
            <w:tcW w:w="2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r>
      <w:tr>
        <w:trPr/>
        <w:tc>
          <w:tcPr>
            <w:tcW w:w="2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229" w:type="dxa"/>
            <w:tcBorders/>
            <w:shd w:fill="FFFFFF" w:val="clear"/>
            <w:vAlign w:val="center"/>
          </w:tcPr>
          <w:p>
            <w:pPr>
              <w:pStyle w:val="TableContents"/>
              <w:bidi w:val="0"/>
              <w:spacing w:before="0" w:after="283"/>
              <w:jc w:val="left"/>
              <w:rPr/>
            </w:pPr>
            <w:r>
              <w:rPr/>
              <w:t> </w:t>
            </w:r>
          </w:p>
        </w:tc>
      </w:tr>
      <w:tr>
        <w:trPr/>
        <w:tc>
          <w:tcPr>
            <w:tcW w:w="26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(1)</w:t>
            </w:r>
          </w:p>
        </w:tc>
        <w:tc>
          <w:tcPr>
            <w:tcW w:w="99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constant currency presentation of our Cannabis revenue based on market channel is a non-GAAP financial measure.</w:t>
            </w:r>
            <w:r>
              <w:rPr>
                <w:rFonts w:ascii="Times New Roman" w:hAnsi="Times New Roman"/>
                <w:caps w:val="false"/>
                <w:smallCaps w:val="false"/>
                <w:sz w:val="20"/>
              </w:rPr>
              <w:t> </w:t>
            </w:r>
            <w:r>
              <w:rPr>
                <w:rFonts w:ascii="Times New Roman" w:hAnsi="Times New Roman"/>
                <w:i/>
                <w:caps w:val="false"/>
                <w:smallCaps w:val="false"/>
                <w:sz w:val="20"/>
              </w:rPr>
              <w:t>See</w:t>
            </w:r>
            <w:r>
              <w:rPr>
                <w:rFonts w:ascii="Times New Roman" w:hAnsi="Times New Roman"/>
                <w:caps w:val="false"/>
                <w:smallCaps w:val="false"/>
                <w:sz w:val="20"/>
              </w:rPr>
              <w:t> “</w:t>
            </w:r>
            <w:r>
              <w:rPr>
                <w:rFonts w:ascii="Times New Roman" w:hAnsi="Times New Roman"/>
                <w:i/>
                <w:caps w:val="false"/>
                <w:smallCaps w:val="false"/>
                <w:sz w:val="20"/>
              </w:rPr>
              <w:t>Use of Non-GAAP Measures</w:t>
            </w:r>
            <w:r>
              <w:rPr>
                <w:rFonts w:ascii="Times New Roman" w:hAnsi="Times New Roman"/>
                <w:caps w:val="false"/>
                <w:smallCaps w:val="false"/>
                <w:sz w:val="20"/>
              </w:rPr>
              <w:t> –</w:t>
            </w:r>
            <w:r>
              <w:rPr>
                <w:rFonts w:ascii="Times New Roman" w:hAnsi="Times New Roman"/>
                <w:i/>
                <w:caps w:val="false"/>
                <w:smallCaps w:val="false"/>
                <w:sz w:val="20"/>
              </w:rPr>
              <w:t>Constant Currency Presentation</w:t>
            </w:r>
            <w:r>
              <w:rPr>
                <w:rFonts w:ascii="Times New Roman" w:hAnsi="Times New Roman"/>
                <w:caps w:val="false"/>
                <w:smallCaps w:val="false"/>
                <w:sz w:val="20"/>
              </w:rPr>
              <w:t>” </w:t>
            </w:r>
            <w:r>
              <w:rPr>
                <w:rFonts w:ascii="Times New Roman" w:hAnsi="Times New Roman"/>
                <w:i/>
                <w:caps w:val="false"/>
                <w:smallCaps w:val="false"/>
                <w:sz w:val="20"/>
              </w:rPr>
              <w:t>for a discussion of these Non-GAAP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Beverage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Brands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major player in the craft beverage business through our evolving portfolio and are the 4th largest craft brewery in the United States according to the Brewers Association 2024 U.S. Craft Brewing Industry Figures Report. Through our evolution of product offerings and exciting new brands, Tilray's craft beverages create a broad consumer appeal which has enabled strong distribution across the United States. The Company also operates in the craft spirits businesses through Breckenridge Distillery, which was founded in 2008 in Breckenridge, Colorado and has grown its award-winning bourbon whiskey collection and innovative craft spirits portfolio to be distributed in all 50 states in addition to operating two tasting rooms/retail shops and a world class restaurant.</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beverage brands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Alpine Beer Company </w:t>
            </w:r>
            <w:r>
              <w:rPr>
                <w:rFonts w:ascii="Times New Roman;Times;serif" w:hAnsi="Times New Roman;Times;serif"/>
                <w:caps w:val="false"/>
                <w:smallCaps w:val="false"/>
                <w:sz w:val="20"/>
              </w:rPr>
              <w:t>– An award-winning craft brand founded in 1999, Alpine is rated a top 50 brand in the United States with highly-rated favorites including Nelson IPA and Duet IPA. We added a Hazy into our lineup last year called Infinite Haze, a brilliant Hazy IPA bursting with endless aromas of citrus and sweet, tropical fruits which complement our existing product offerings that make up our highly acclaimed year-round lineup.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Atwater Brewery </w:t>
            </w:r>
            <w:r>
              <w:rPr>
                <w:rFonts w:ascii="Times New Roman;Times;serif" w:hAnsi="Times New Roman;Times;serif"/>
                <w:sz w:val="20"/>
              </w:rPr>
              <w:t>– Atwater Brewery is Detroit’s craft brewery. Founded with a philosophy that hard work deserves a quality beer, Atwater was born in 1997 in the Rivertown neighborhood when its streets were pocked with potholes and lined with abandoned warehouses and the only people around were the ones high on their dreams or down on their luck. Its portfolio of award-winning craft beers offers something for everyone, based on the belief that beer should be approachable to every drinker.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Blue Point Brewing Company</w:t>
            </w:r>
            <w:r>
              <w:rPr>
                <w:rFonts w:ascii="Times New Roman;Times;serif" w:hAnsi="Times New Roman;Times;serif"/>
                <w:sz w:val="20"/>
              </w:rPr>
              <w:t> – Founded in 1998, Blue Point has grown into one of the largest breweries in New York State, offering a lineup of quality lagers and innovative craft beers. Its product portfolio includes Toasted Lager, Long Island Light, Imperial Sunshine, Hoptical Illusion as well as a rotating line of Innovation Beers. Blue Point has won numerous awards over the years that highlight the quality of innovation at forums such as the World Beer Cup, the Great American Beer Festival, the New York Craft Beer Competition, the Australian International Beer Awards, and the Atlantic City Beer Festival.</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Breckenridge Brewery</w:t>
            </w:r>
            <w:r>
              <w:rPr>
                <w:rFonts w:ascii="Times New Roman;Times;serif" w:hAnsi="Times New Roman;Times;serif"/>
                <w:sz w:val="20"/>
              </w:rPr>
              <w:t xml:space="preserve"> – Since its doors opened in 1990 in the ski town of Breckenridge, Colorado, the brand has grown into one of the most recognized craft breweries in the U.S. Today. Breckenridge Brewery has two locations to visit – the original brewpub in Breckenridge and its renowned Farm House restaurant in Littleton, CO, outside Denver. With a focus on balanced, approachable, and interesting beer, the brewery’s portfolio includes Avalanche Amber Ale, Palisade Peach Wheat, Juice Drop Hazy IPA, Funslinger Lager, Vanilla Porter, Juice Drop Imperial Hazy IPA, Strawberry Sky, Mountain Beach Session Sour, Agave Wheat, Palisade Peach, Nitro Vanilla Porter, Nitro Irish Stout, and Christmas Ale (seasonal). In 2022, Breckenridge Agave Wheat won a Bronze medal in the American Wheat Beer category at the Great American Beer Festival.</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Breckenridge Distillery </w:t>
            </w:r>
            <w:r>
              <w:rPr>
                <w:rFonts w:ascii="Times New Roman;Times;serif" w:hAnsi="Times New Roman;Times;serif"/>
                <w:caps w:val="false"/>
                <w:smallCaps w:val="false"/>
                <w:sz w:val="20"/>
              </w:rPr>
              <w:t>– A highly sought-after and award-winning brand widely known for its blended bourbon whiskey and its collection of artisanal spirits including vodka and gin that brings to life the best that Colorado has to offer. Breckenridge continues to be one of the most awarded craft distilleries in the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Green Flash </w:t>
            </w:r>
            <w:r>
              <w:rPr>
                <w:rFonts w:ascii="Times New Roman;Times;serif" w:hAnsi="Times New Roman;Times;serif"/>
                <w:caps w:val="false"/>
                <w:smallCaps w:val="false"/>
                <w:sz w:val="20"/>
              </w:rPr>
              <w:t>– An award-winning craft brand founded in 2002 to bring fresh ideas and a sense of adventure to craft beer. Green Flash delivers an eclectic lineup of specialty craft beers and distributes them throughout the west. Our staple brand, West Coast IPA, as well as our newly launched Hazy West Coast IPA, continue to excite consumers across the west coast. Green Flash has created a variety 12-pack that takes the best of the west and the east to make an exciting and adventurous consumer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Hop Valley Brewing Company </w:t>
            </w:r>
            <w:r>
              <w:rPr>
                <w:rFonts w:ascii="Times New Roman;Times;serif" w:hAnsi="Times New Roman;Times;serif"/>
                <w:caps w:val="false"/>
                <w:smallCaps w:val="false"/>
                <w:sz w:val="20"/>
              </w:rPr>
              <w:t>– Hop Valley Brewing Co. was founded in 2009 with the mission to create high-quality craft beers that push the boundaries of flavor and innovation. Based in Eugene, Oregon, Hop Valley Brewing’s award-winning brew team is known for their creative approach to brewing and its commitment to using the finest ingredients. The brewery embraces the spirit of the Pacific Northwest and is dedicated to crafting beers that reflect the vibrant culture and natural beauty of the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Montauk </w:t>
            </w:r>
            <w:r>
              <w:rPr>
                <w:rFonts w:ascii="Times New Roman;Times;serif" w:hAnsi="Times New Roman;Times;serif"/>
                <w:caps w:val="false"/>
                <w:smallCaps w:val="false"/>
                <w:sz w:val="20"/>
              </w:rPr>
              <w:t>– As the #1 craft brewer in Metro New York, Montauk is well-known for its easy-drinking product portfolio, its home on the Eastern end of Long Island, and premium price point. Wave Chaser IPA is a staple of Montauk and has expanded into Surf Beer, a Golden Ale, Tropical IPA, Juicy IPA and most recently NA IPA, a non-alcoholic offering. Montauk’s brand reach has predominantly been in New York City, Long Island, and northern New Jersey, but has now been expanded into Connecticut, Rhode Island, Upstate New York, Pennsylvania and the remainder of New Jersey.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Redhook Brewery </w:t>
            </w:r>
            <w:r>
              <w:rPr>
                <w:rFonts w:ascii="Times New Roman;Times;serif" w:hAnsi="Times New Roman;Times;serif"/>
                <w:sz w:val="20"/>
              </w:rPr>
              <w:t>– Founded in Seattle, Washington, Redhook is one of the nation’s original craft breweries, crafting better beer since 1981. Four decades later, one thing has never changed—Redhook is still brewing great beers. Its award-winning beers include Big Ballard Imperial IPA, Hazy Big Ballard Imperial IPA, Tropical Big Ballard Imperial IPA, Storm Surge Hazy IPA, Montlake Gameday Gold Lager, and Long Hammer IPA.</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Revolver Brewing Company</w:t>
            </w:r>
            <w:r>
              <w:rPr>
                <w:rFonts w:ascii="Times New Roman;Times;serif" w:hAnsi="Times New Roman;Times;serif"/>
                <w:sz w:val="20"/>
              </w:rPr>
              <w:t> – Founded in Granbury, Texas, Revolver has built its reputation on pushing boundaries while staying true to its roots. With a lineup of innovative, high-quality brews, Revolver continues to craft beers that embody Texas tradition with a modern twist.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Shock Top</w:t>
            </w:r>
            <w:r>
              <w:rPr>
                <w:rFonts w:ascii="Times New Roman;Times;serif" w:hAnsi="Times New Roman;Times;serif"/>
                <w:sz w:val="20"/>
              </w:rPr>
              <w:t xml:space="preserve"> – An award winning traditional Belgian-style wheat ale that was originally introduced in 2006 as a seasonal offering. After taking home the gold medal at the North American Beer Awards in the Belgian White category, it became a year-round offering. Shock Top Belgian White is a spiced wheat ale brewed with coriander spice and the peels of three different citrus fruits: orange, lemon, and lime. This uniquely crafted ale is unfiltered to create a naturally cloudy brew with a light golden color and a smooth, refreshing finish.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Square Mile Cider Company </w:t>
            </w:r>
            <w:r>
              <w:rPr>
                <w:rFonts w:ascii="Times New Roman;Times;serif" w:hAnsi="Times New Roman;Times;serif"/>
                <w:sz w:val="20"/>
              </w:rPr>
              <w:t>– Launched in 2013, Square Mile Cider offers ciders made with pure Pacific Northwest apples and lager yeast to create a perfectly crisp, clean, and semi-dry hard cider. Its offerings include Original Hard Cider, Rosé Apple Cider, Peach Lemonade Cider, Raspberry Lemonade Cider, and rotating Imperial series of ciders, including Blackberry, Key Lime Pie, Apple Pie and Tropical Punch.</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SweetWater</w:t>
            </w:r>
            <w:r>
              <w:rPr>
                <w:rFonts w:ascii="Times New Roman;Times;serif" w:hAnsi="Times New Roman;Times;serif"/>
                <w:caps w:val="false"/>
                <w:smallCaps w:val="false"/>
                <w:sz w:val="20"/>
              </w:rPr>
              <w:t> – A craft brand with an award-winning lineup of year-round, seasonal and specialty beers under a portfolio of brands closely aligned with a cannabis lifestyle, which include the flagship 420 Extra Pale Ale, a strong supporting IPA portfolio, including newly released Day Trip IPA, and various supporting legacy beers. We believe the SweetWater product offerings resonate with consumers that want to drink flavorful and refreshing products. We also continue to be innovative with our 420 Strain G13 IPA, which plays a critical role in our portfolio and resonates as a cannabis lifestyle brand. SweetWater’s various 420 strains of craft brews use plant-based terpenes and natural hemp flavors that, when combined with select hops, emulate the flavors and aromas of popular cannabis strains to appeal to a loyal consumer base.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Terrapin Beer Company </w:t>
            </w:r>
            <w:r>
              <w:rPr>
                <w:rFonts w:ascii="Times New Roman;Times;serif" w:hAnsi="Times New Roman;Times;serif"/>
                <w:sz w:val="20"/>
              </w:rPr>
              <w:t>– Terrapin Beer Co. began with the ambition to create distinctive craft beers and officially launched in April 2002, introducing its inaugural brew, Rye Pale Ale, in Athens, GA. Within six months, Terrapin Beer achieved significant recognition by securing its first Gold Medal at the Great American Beer Festival in Denver.  Terrapin Beer Co. has a sustainability initiative called Terraprint, which aims to reduce the environmental impact of its operations. This includes minimizing waste, conserving water, and promoting recycling to ensure responsible and sustainable growth.</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Widmer Brothers Brewing </w:t>
            </w:r>
            <w:r>
              <w:rPr>
                <w:rFonts w:ascii="Times New Roman;Times;serif" w:hAnsi="Times New Roman;Times;serif"/>
                <w:sz w:val="20"/>
              </w:rPr>
              <w:t>– Founded in Portland, Oregon in 1984, Widmer Brothers is one of the largest craft breweries in the Pacific Northwest. In 1986, Widmer Brothers introduced its Hefe beer, an American variant on the traditional Hefeweizen, which spread widely across the country. In the 2023 Best of Craft Beer Awards, Hefe won Gold in the American Wheat category and Widmer Brothers was awarded “Large Brewery of the Year”. Its award-winning beers include Hefe, Drop Top Amber, Deadlift Imperial IPA, Hopcadia NW IPA, Cold Waters Cold IPA, Juicy Sunrise IPA, and Green Skies Hazy IPA.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10 Barrel Brewing Company </w:t>
            </w:r>
            <w:r>
              <w:rPr>
                <w:rFonts w:ascii="Times New Roman;Times;serif" w:hAnsi="Times New Roman;Times;serif"/>
                <w:sz w:val="20"/>
              </w:rPr>
              <w:t>– Founded in 2006 in Bend, Oregon, 10 Barrel Brewing Company is one of the most acclaimed breweries in the U.S., and consistently a top medal winner at the Oregon Beer Awards. Its products include Apocalypse IPA, Nature Calls, Profuse Juice, Rock Hop IPA, All Ways Down, Club Tread Mandarin IPA, Pilsner, Pub Beer, and Cucumber Crush. 10 Barrel took home three Gold and one Silver medal at the 2023 World Beer Cup.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alternative adult beverage brands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Happy Flower</w:t>
            </w:r>
            <w:r>
              <w:rPr>
                <w:rFonts w:ascii="Times New Roman;Times;serif" w:hAnsi="Times New Roman;Times;serif"/>
                <w:sz w:val="20"/>
              </w:rPr>
              <w:t> – Inspired by classic cocktails, Happy Flower offers a citrusy Margarita, a juicy Strawberry Daiquiri, and a bubbly and fruity Peach Bellini. Each Happy Flower cocktail contains 5mg HD-D9 per can and provides a new way for consumers to relax and unwind in a format that’s familiar, convenient, and delicious.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420 Fizz</w:t>
            </w:r>
            <w:r>
              <w:rPr>
                <w:rFonts w:ascii="Times New Roman;Times;serif" w:hAnsi="Times New Roman;Times;serif"/>
                <w:sz w:val="20"/>
              </w:rPr>
              <w:t> – A sleek and modern brand built off Tilray’s iconic 420 beverage platform. Enhanced with 5mg HD-D9 per can, 420 Fizz is an exciting new seltzer with a refreshing taste.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Herb &amp; Bloom </w:t>
            </w:r>
            <w:r>
              <w:rPr>
                <w:rFonts w:ascii="Times New Roman;Times;serif" w:hAnsi="Times New Roman;Times;serif"/>
                <w:sz w:val="20"/>
              </w:rPr>
              <w:t>– A super-premium beverage, Herb &amp; Bloom offers a unique way to experience timeless classics with its harmonious blend of refreshing fruit notes infused with 5mg HD-D9 per can. Each drink is crafted for a smooth and balanced experience, resulting in a delicious taste.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Fizzy Jane's</w:t>
            </w:r>
            <w:r>
              <w:rPr>
                <w:rFonts w:ascii="Times New Roman;Times;serif" w:hAnsi="Times New Roman;Times;serif"/>
                <w:sz w:val="20"/>
              </w:rPr>
              <w:t> – A light and delicious seltzer with 5mg HD-D9 per can and three classic flavors Blackberry, Blood Orange and Vanilla. Fizzy Jane's is a nostalgic brand created for the curious consumer.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beverage, we have diverse and expansive facilities across the U.S. which produce a balanced variety of year-round and seasonal specialty craft brews under our 18 craft beverage brands. Specifically, we have 7 production facilities across the U.S.: Atlanta, GA, Athens, GA, Portland, OR, Bend, OR, Littleton, CO, Detroit, MI, and Patchogue, NY as well as 16 vibrant brewpubs for our curated brand portfolio and our Breckenridge restaurant and Breckenridge tasting room.  Through the continued expansion of our operational footprint, we have also broadened our production capabilities to include ciders, seltzers, non-alcoholic and functional beverages.  Additionally, Breckenridge Distillery, the world’s highest distillery, located in Breckenridge, Colorado is where our award-winning craft spirits are produced.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our beverage brands are distributed under a three-tier model. Tilray’s beverage portfolio is distributed in all 50 states, with brand strongholds in the Pacific Northwest, Southwest, Southeast, and Northeast. Our distribution points include nearly 50,000 off-premises retail locations ranging from independent bottle shops to national chains. Additionally, the Company’s significant on-premises business allows consumers to enjoy its brands in more than 30,000 restaurants and bars.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our traditional distribution footprint, our brands can be found in airports and sports venues across the U.S. with branded taprooms in John F. Kennedy International Airport and Long Island MacArthur Airport in Long Island, New York, Hartsfield-Jackson Atlanta International Airport, and Denver International Airport, and partnerships with the New York Mets, Denver Nuggets, Atlanta United, University of Florida, the Portland Timbers, University of Colorado, University of Denver, University of Oregon and University of Washington among others. Our brands can also be found aboard all Delta Air Lines flights nationwide and internationally. Additionally, the Company has developed an international presence with our craft beers and spirits being distributed across Europe, Asia and Australia as well as aboard international cruise lines.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Consistent with our distribution strategy, our craft spirit brands from Breckenridge Distillery are distributed in all 50 states, and in two on-premises tasting and retail store locations. In addition to our traditional distribution, Breckenridge Distillery is the official bourbon and vodka sponsor of the Denver Broncos. Breckenridge is also distributed globally in over 20 different countries, with the intention of further expanding our international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Beverages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beverage industry in the United States is regulated by federal, state and local governments. These regulations govern the production, sale and distribution of beverages, including permitting, licensing, marketing and advertising. To operate our production facilities, we must obtain and maintain numerous permits, licenses and approvals from various governmental agencies, including but not limited to, the Alcohol and Tobacco Tax and Trade Bureau (the “TTB”), the FDA, state alcohol regulatory agencies and state and federal environmental agencies. Our brewery and distillery operations are subject to audit and inspection by the TTB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alcohol industry is subject to substantial federal and state excise taxes.  Excise taxes may be increased in the future by the federal government or any state government or both. In the past, increases in excise taxes on alcoholic beverages have been considered in connection with various governmental budget-balancing or funding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Competitive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Beverage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compete in the craft brewing and distillery markets, respectively, as well as in the much larger beverage alcohol market, which encompasses domestic and imported beers, flavored alcoholic beverages, spirits, wine, hard ciders, ready to drink beverages (“RTDs”), fermented malt-based beverages (“FMBs”) and hard seltzers. With the proliferation of participants and offerings in the wider beverage market and within the craft beer and craft spirits segments, we face significant competition. There have also been numerous acquisitions and investments in craft brewers by larger breweries and private equity and other investors, which further intensified competition within the craft beer market. In addition, on a macro level, consumer reports indicate that consumers are drinking less beverage alcohol products for various reasons, including socioeconomic pressures and wellness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craft beer and craft spirits markets are highly competitive, we believe that we possess certain competitive advantages. Our unique portfolio combines an award-winning lineup of craft beers and craft spirits with a unique portfolio of brands closely aligned with a cannabis lifestyle and supported by state-of-the-art breweries and distilleries and strong distribution across the United States. Additionally, as our breweries and distillery are domestic, we maintain certain competitive advantages over imported beers and spirits, such as lower transportation costs, a lack of import charges and superior product freshness.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Cannabis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Brands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Medical Cannabis Brands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were among the first companies to be permitted to cultivate and sell legal medical cannabis. To date, we have supplied high-quality medical cannabis products to patients in over 20 countries spanning five continents through our global subsidiaries, and through agreements with established pharmaceutical distributors. Tilray Medical is dedicated to transforming lives and fostering dignity for patients in need through safe and reliable access to a global portfolio of medical cannabis brands. In Canada, we supply medical cannabis to patients under the Tilray, Aphria, Broken Coast, Symbios, and Charlotte's WebTM brands. Outside of North America, we supply medical cannabis products to patients under the Tilray Medical, Broken Coast, Redecan, Good Supply, Tilray Craft and Navcora brands. Tilray grew from being one of the first companies to become an approved licensed producer of medical cannabis in Canada to building among the first EU-GMP certified cannabis production facilities in Portugal and Germany. Today, Tilray Medical is one of the largest suppliers of medical cannabis to patients, physicians, hospitals, pharmacies, researchers and governments in countries spanning across five continents.  Our medical cannabis brands consist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Tilray Medical®</w:t>
            </w:r>
            <w:r>
              <w:rPr>
                <w:rFonts w:ascii="Times New Roman;Times;serif" w:hAnsi="Times New Roman;Times;serif"/>
                <w:caps w:val="false"/>
                <w:smallCaps w:val="false"/>
                <w:sz w:val="20"/>
              </w:rPr>
              <w:t xml:space="preserve"> - The Tilray Medical brand was designed for prescribers and patients in the global medical market and is well-known for offering a wide range of consistent high-quality, pharmaceutical-grade medical cannabis and cannabinoid-based products.  We believe patients and prescribers choose the Tilray Medical brand because of the trust they have in our rigorous quality standards and our science-based approach to our medical-grade products.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Aphria®</w:t>
            </w:r>
            <w:r>
              <w:rPr>
                <w:rFonts w:ascii="Times New Roman;Times;serif" w:hAnsi="Times New Roman;Times;serif"/>
                <w:caps w:val="false"/>
                <w:smallCaps w:val="false"/>
                <w:sz w:val="20"/>
              </w:rPr>
              <w:t>- Since 2014, the Aphria brand is a leading, trusted choice for Canadian patients seeking high quality pharmaceutical-grade medical cannabis. Today, the Aphria brand continues to be a leading brand in Canada.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Broken Coast®</w:t>
            </w:r>
            <w:r>
              <w:rPr>
                <w:rFonts w:ascii="Times New Roman;Times;serif" w:hAnsi="Times New Roman;Times;serif"/>
                <w:caps w:val="false"/>
                <w:smallCaps w:val="false"/>
                <w:sz w:val="20"/>
              </w:rPr>
              <w:t> - Medical cannabis products under the Broken Coast brand are grown in small batches in single-strain rooms, with a commitment to product quality in order to meet our patient expectations around the world.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Symbios®</w:t>
            </w:r>
            <w:r>
              <w:rPr>
                <w:rFonts w:ascii="Times New Roman;Times;serif" w:hAnsi="Times New Roman;Times;serif"/>
                <w:caps w:val="false"/>
                <w:smallCaps w:val="false"/>
                <w:sz w:val="20"/>
              </w:rPr>
              <w:t> - Launched in 2021, Symbios was developed to provide Canadian patients with a broader spectrum of formats and unique cannabinoid ratios at a more approachable price point.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Navcora® </w:t>
            </w:r>
            <w:r>
              <w:rPr>
                <w:rFonts w:ascii="Times New Roman;Times;serif" w:hAnsi="Times New Roman;Times;serif"/>
                <w:caps w:val="false"/>
                <w:smallCaps w:val="false"/>
                <w:sz w:val="20"/>
              </w:rPr>
              <w:t>- Launched in 2020, Navcora is dedicated to making pharmaceutical grade cannabis more accessible in the German market.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Charlotte's Web</w:t>
            </w:r>
            <w:r>
              <w:rPr>
                <w:rFonts w:ascii="Times New Roman;Times;serif" w:hAnsi="Times New Roman;Times;serif"/>
                <w:caps w:val="false"/>
                <w:smallCaps w:val="false"/>
                <w:sz w:val="20"/>
              </w:rPr>
              <w:t>TM - In 2023, the Company entered into a strategic alliance which includes licensing, manufacturing, quality, marketing and distribution for Charlotte’s WebTM CBD hemp extract products in Canada. For the first time, Canadians had the ease of nationwide availability of Charlotte’s WebTM full spectrum CBD products through Tilray’s medical cannabis distribution network.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Good Supply </w:t>
            </w:r>
            <w:r>
              <w:rPr>
                <w:rFonts w:ascii="Times New Roman;Times;serif" w:hAnsi="Times New Roman;Times;serif"/>
                <w:caps w:val="false"/>
                <w:smallCaps w:val="false"/>
                <w:sz w:val="20"/>
              </w:rPr>
              <w:t>– Good Supply never misses the mark. With an established reputation for reliable, quality flower, we’re the go-to choice for thousands. By carefully selecting tried and trusted strains, you can count on us to deliver on our name: Good Supply, every time.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Redecan </w:t>
            </w:r>
            <w:r>
              <w:rPr>
                <w:rFonts w:ascii="Times New Roman;Times;serif" w:hAnsi="Times New Roman;Times;serif"/>
                <w:caps w:val="false"/>
                <w:smallCaps w:val="false"/>
                <w:sz w:val="20"/>
              </w:rPr>
              <w:t>– Redecan is more than a recognizable name. Our reputation’s built on a long legacy of trust. From day one, the love of growing has driven every decision. As growers, we never underestimate the role each harvest plays in writing the next chapter of the plant’s story. No shortcuts, the legacy lives 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Tilray Craft </w:t>
            </w:r>
            <w:r>
              <w:rPr>
                <w:rFonts w:ascii="Times New Roman;Times;serif" w:hAnsi="Times New Roman;Times;serif"/>
                <w:caps w:val="false"/>
                <w:smallCaps w:val="false"/>
                <w:sz w:val="20"/>
              </w:rPr>
              <w:t>– Tilray Craft is next level quality. It’s our specialist range of high-potency flower, exclusive to German patients. Indoor grown in Neumunster, we focus on precision, optimizing every stage of the process so that we bring patients only the very best buds.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Tilray Medical is a leading provider of EU-GMP certified medical cannabis products with a segmented approach to our brand portfolio and a comprehensive portfolio of THC and CBD products, which delivers on the value proposition required by our patients.  Each medical cannabis product that Tilray offers has been selected to ensure patients can receive both the highest product quality as well as consistency when it comes to supply of their medicinal cannabis products.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take a scientific approach to our medical-use product development, which we believe establishes credibility and trust in doctors, patients and governments. We continue to conduct extensive research and development activities in order to innovate and develop new products for medical use.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Adult-Use Cannabis Brands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our portfolio of brands, developed for consumers across broad demographics and targeted segments, remains unmatched in the industry. With a focus on brand building, innovation, loyalty and conversion, we seek to drive growth with our differentiated portfolio of brands and products, both in sales and market share across categories. The Company is investing capital and resources to establish a leadership position in the adult-use market in Canada. These investments are focused on building our brands with consumers through product innovation, distribution, trade marketing and cannabis education. Our strategy is to develop a brand focused portfolio that resonates with consumers in all category segments.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positioned to grow our adult-use brand portfolio to specifically meet the needs and preferences of different consumer segments of the adult-use cannabis market. We leverage our selection of strains to offer each consumer segment a different experience through its product and terpene profiles, while also focusing on the value proposition for each of these segments as it relates to price, potency and product assortment.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brand is unique to a specific consumer segment and designed to meet the needs of these targeted segments, as described below. Our portfolio of brands and products and our marketing activities have been carefully curated and structured to enable us to develop and promote our brands and product lines in an effective and compliant manner. We continue to develop additional brands and new products, such as edibles and beverages, with more innovative products in our pipeline. Our brand portfolio consists of the following: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ECONOMY BRANDS</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Bake Sale</w:t>
            </w:r>
          </w:p>
        </w:tc>
        <w:tc>
          <w:tcPr>
            <w:tcW w:w="9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Unlock culinary creativity with Bake Sale's perfect balance of potency and affordability. Whether you're crafting in the kitchen or sparking up, Bake Sale delivers delectable cannabis experiences that won't break the bank.</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BRANDS</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 Supply</w:t>
            </w:r>
          </w:p>
        </w:tc>
        <w:tc>
          <w:tcPr>
            <w:tcW w:w="9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Good Supply offers feel good highs for the stoner in everyone. Consistent, dependable and readily available in classic, innovative and novel formats. We’re always up for a good time—and you should be too—because cannabis is supposed to be fun. Trust Good Supply to deliver an exciting sensorial experience that you can depend on.</w:t>
            </w:r>
          </w:p>
        </w:tc>
      </w:tr>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Original Stash</w:t>
            </w:r>
          </w:p>
        </w:tc>
        <w:tc>
          <w:tcPr>
            <w:tcW w:w="9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Keep it real with Original Stash – staying true to the essence of the cannabis culture. Crafted with care and priced just right, our high-quality weed embodies the OG spirit. It's all about enjoying the pure thrill of toking without draining your wallet. No fuss, just quality bud.</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MAINSTREAM BRANDS</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Redecan</w:t>
            </w:r>
          </w:p>
        </w:tc>
        <w:tc>
          <w:tcPr>
            <w:tcW w:w="9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Quality cannabis starts with how it’s made. No shortcuts, no excuses. Redecan was founded on the belief in quality at every stage. With a purpose-built facility and hand-trimmed buds, Redecan delivers on its promise of excellence.</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Canaca</w:t>
            </w:r>
          </w:p>
        </w:tc>
        <w:tc>
          <w:tcPr>
            <w:tcW w:w="9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Canaca brings Canadian inspiration to our technically innovative cannabis products that are potently Canadian and crafted for intensity. Prepare for your senses to be thrilled from the untamed flavors and aromas of our ultra-potent and pure products, for a homegrown experience that’s beautiful to behold – just like the country we call home. </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RIFF</w:t>
            </w:r>
          </w:p>
        </w:tc>
        <w:tc>
          <w:tcPr>
            <w:tcW w:w="9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RIFF loves a joint effort. We collaborate with growers and the hottest creatives in our communities to bring you that fire. It’s all about celebrating the joy of connecting with others and encouraging our community to create something meaningful. We strive to elevate the standard for cannabis in Canada, ‘cause if it’s not expertly grown, crafted or made — it's not worth being on the shelf.</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Hexo</w:t>
            </w:r>
          </w:p>
        </w:tc>
        <w:tc>
          <w:tcPr>
            <w:tcW w:w="9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Experience the essence of Quebec with HEXO's greenhouse-grown cannabis. Cultivated amidst the lush landscapes of Quebec, our buds embody the region's rich heritage and natural beauty.</w:t>
            </w:r>
          </w:p>
        </w:tc>
      </w:tr>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Solei</w:t>
            </w:r>
          </w:p>
        </w:tc>
        <w:tc>
          <w:tcPr>
            <w:tcW w:w="9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elevate your mind and body with Solei. With thoughtfully designed cannabis products, you can curate sensorial experiences based on what you need, when you need it, entirely on your terms. Let us be your well-being guide in innovative formats, featuring varied and rare cannabinoids, curated to allow you to easily fine-tune your wellness routines. </w:t>
            </w:r>
          </w:p>
        </w:tc>
      </w:tr>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XMG</w:t>
            </w:r>
          </w:p>
        </w:tc>
        <w:tc>
          <w:tcPr>
            <w:tcW w:w="9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XMG is the #1 cannabis beverage brand in Canada focused on delivering high intensity and full flavor. Every beverage is maxed out at 10mg of nano-emulsified THC for a powerful and fast-acting experience. XMG is bold and unapologetic – our mission is to be straight-up, bold, and rebellious in creating beverages that are unique, intense, and fun. With multiple product lines ranging from XMG+, with naturally occurring caffeine, to XMG Zero, with zero calories and zero sugar, and a range of flavors across nostalgic sodas and refreshing fruit flavors, there’s something for everyone and every occasion.</w:t>
            </w:r>
          </w:p>
        </w:tc>
      </w:tr>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Mollo</w:t>
            </w:r>
          </w:p>
        </w:tc>
        <w:tc>
          <w:tcPr>
            <w:tcW w:w="9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Mollo was one of the first cannabis-infused beverages launched in the Canadian market and continues to be a top five beverage brand nationally. Mollo is dedicated to crafting beverages for every social occasion and to offer Canadians healthier alternatives to alcohol-based beverages. Mollo is inviting, easygoing, and confident in helping consumers slow down and take it all in where chilling and connecting are the focus. Mollo 10 continues to be the top beer-analogue cannabis-infused beverage in the market, and Mollo has launched Ciders and Seltzers so that Canadians can have a variety of non-alcoholic options for every season and celebration!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7"/>
        <w:gridCol w:w="9398"/>
      </w:tblGrid>
      <w:tr>
        <w:trPr/>
        <w:tc>
          <w:tcPr>
            <w:tcW w:w="8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Chowie Wowie</w:t>
            </w:r>
          </w:p>
        </w:tc>
        <w:tc>
          <w:tcPr>
            <w:tcW w:w="9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Chowie Wowie, we think edibles should be fun, safe, tasty and consistent – and most importantly, enjoyed with friends. That’s why we make delicious edibles portioned for super shareability with consistent and reliable dosing. So, whether you’re looking for a fruity explosion of gummy deliciousness or a buttery-smooth chocolate indulgence, we’ve got something right for you and your friends.</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PREMIUM BRANDS</w:t>
            </w:r>
          </w:p>
        </w:tc>
      </w:tr>
      <w:tr>
        <w:trPr/>
        <w:tc>
          <w:tcPr>
            <w:tcW w:w="807"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Broken Coast</w:t>
            </w:r>
          </w:p>
        </w:tc>
        <w:tc>
          <w:tcPr>
            <w:tcW w:w="9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Broken Coast is a heritage cannabis brand widely recognized for setting the standard for craft cannabis in Canada. We are relentlessly dedicated to producing the ultimate expression of craft cannabis by using proprietary growing practices in bespoke growing conditions for each cultivar that we diligently phenohunt. This means all our craft cannabis is grown indoors in small-batch, strain-specific rooms, then is slowly hang cured before being hand trimmed.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our cannabis reporting segment, we have invested in state-of-the-art facilities and infrastructure, and we believe that we maintain some of the highest-quality, lowest cost cannabis production operations in Canada, with the scale and distribution network that differentiates us from our competitors in the industry. We also made significant investments in our operations within Europe and we are well-positioned to pursue international growth opportunities with our strong medical cannabis brands, distribution network in Germany, and end-to-end European Union Good Manufacturing Practices (“EU-GMP”) supply chain, which includes EU-GMP production facilities in Portugal and Germany. During the course of our fiscal year ended May 31, 2025, we invested in upgrading the quality and consistency of our flower production in both our Cantanhede, Portugal and Neumunster, Germany facilities, which included importing some of our most desired cultivars from our Canadian operations and improving our cultivation and post-harvest processes to improve upon our yields, potencies and the overall quality of our medical flowers. We also began to import cannabis flowers from our Canadian operations in order to provide our patients with a broad and differentiated portfolio. We seek to continue to invest in the expansion of our global supply chain to address the unmet needs of patients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maintain key international operations in Portugal, Germany, Poland, Italy, United Kingdom, Australia and Argentina. While these markets are still in various stages of development, and the regulatory environment around them is either newly formed or still being formed, we are uniquely positioned to bring the knowledge and expertise gained in Canada and leverage our operational footprint in order to generate profitable growth in these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Canadian Adult-use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Canadian legislative regime, provincial, territorial and municipal governments have the authority to prescribe regulations regarding retail and distribution of adult-use cannabis. As such, the distribution model for adult-use cannabis is prescribed by provincial regulations and differs from province to province. Some provinces utilize government run retailers, while others utilize government-licensed private retailers, and some a combination of the two. All of our adult-use sales are conducted according to the applicable provincial and territorial legislation and through applicable local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our subsidiaries, Aphria and High Park Holdings Ltd. (“High Park”), we maintain supply agreements for adult-use cannabis with all the provinces and territories in Canada.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is party to a distribution agreement with Great North Distributors to provide sales force and wholesale/retail channel expertise required to efficiently distribute our adult-use products through each of the provincial/territorial cannabis control agencies, excluding Quebec where we utilize internal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Canadian Medical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Canada, Tilray Medical operates a direct to patient distribution model and online platform for patients to effectively and efficiently manage the process of registering and ordering medical products from Tilray Medical’s full portfolio of medical brands including Tilray, Aphria, Broken Coast, Symbios, Charlotte's WebTM, and select adult-use brands. In Canada, Tilray has also partnered with Indiva to carry a wider array of product offerings, specifically edibles and CBD vapes, through its medical platform to better serve the interests of our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International Medical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Medical currently offers broad access to medical cannabis products in legal medical markets across Europe, Australia, and Latin America. Through our various distribution subsidiaries and partnerships with distributors, our medical products are available to patients on 5 continents, which include the following international distribution channels: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CC Pharma, our wholly-owned subsidiary, is a leading importer and distributor of pharmaceuticals for the German market and we are leveraging its distribution network in Germany for medical cannabis.</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110"/>
        <w:gridCol w:w="7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Italy, FL Group, our wholly-owned subsidiary, distributes medical cannabis throughout Italy.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Argentina, ABP, S.A., our wholly-owned subsidiary, distributes medical cannabis throughout Argentina under the Argentinian “Compassionate Use” national law, which allows patients with refractory epilepsy, holding a medical prescription from a neurologist, to apply for special access to imported medical cannabis products.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products are also distributed by multiple wholesalers and directly to pharmacies in various countries throughout Europe and in Australia.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Wholesale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Canada, we are authorized to sell wholesale bulk and finished cannabis products to other licensees under the Cannabis Regulations. The bulk wholesale sales and distribution channel requires minimal selling, administrative, and fulfillment costs. Our focus on the right strain assortment, quality of flower, extraction capabilities and processing, enables us to drive wholesale channel opportunities for revenue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the Canadian market continue to result in more competitors moving towards an asset light model through the rationalization of cultivation facilities. As this transition occurs, the Company anticipates demand for its saleable flower to increase, providing new opportunities in the wholesale channel.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intend to expand our capabilities outside of saleable flower, as our quality of extraction processes continue to grow into new categories including the latest in cannabis 3.0 products. We plan to be selective in choosing partners, with the intent to secure supply agreements to further optimize and drive efficiency within our supply chain and operations.  While we intend to pursue wholesale sales channels as part of our growth strategies in Canada, these sales will continue to be used to aid in balancing inventory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Canadian Medical and Adult-Use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Medical and adult-use cannabis in Canada is regulated under the federal </w:t>
      </w:r>
      <w:r>
        <w:rPr>
          <w:rFonts w:ascii="Times New Roman" w:hAnsi="Times New Roman"/>
          <w:i/>
          <w:caps w:val="false"/>
          <w:smallCaps w:val="false"/>
          <w:sz w:val="20"/>
        </w:rPr>
        <w:t>Cannabis Act</w:t>
      </w:r>
      <w:r>
        <w:rPr>
          <w:rFonts w:ascii="Times New Roman" w:hAnsi="Times New Roman"/>
          <w:caps w:val="false"/>
          <w:smallCaps w:val="false"/>
          <w:sz w:val="20"/>
        </w:rPr>
        <w:t xml:space="preserve"> (Canada) (the “Cannabis Act”) and the Cannabis Regulations (“CR”) promulgated under the Cannabis Act. Both the Cannabis Act and CR came into force in October 2018, superseding earlier legislation that only permitted commercial distribution and home cultivation of medical cannabis. The following are the highlights of the current federal legislation: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federal license is required for companies to cultivate, process and sell cannabis for medical or non-medical purposes. Health Canada, a federal government entity, is the oversight and regulatory body for cannabis licenses in Canada;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allows individuals to purchase, possess and cultivate limited amounts of cannabis for medical purposes and, for individuals over the age of 18 years, for adult-use recreational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enables the provinces and territories to regulate other aspects associated with recreational adult-use. In particular, each province or territory may adopt its own laws governing the distribution, sale and consumption of cannabis and cannabis accessory products, and those laws may set lower maximum permitted quantities for individuals and higher age requirements;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promotion, packaging and labelling of cannabis is strictly regulated. For example, promotion is largely restricted to the place of sale and age-gated environments (</w:t>
            </w:r>
            <w:r>
              <w:rPr>
                <w:rFonts w:ascii="Times New Roman;Times;serif" w:hAnsi="Times New Roman;Times;serif"/>
                <w:i/>
                <w:caps w:val="false"/>
                <w:smallCaps w:val="false"/>
                <w:sz w:val="20"/>
              </w:rPr>
              <w:t>i.e.,</w:t>
            </w:r>
            <w:r>
              <w:rPr>
                <w:rFonts w:ascii="Times New Roman;Times;serif" w:hAnsi="Times New Roman;Times;serif"/>
                <w:caps w:val="false"/>
                <w:smallCaps w:val="false"/>
                <w:sz w:val="20"/>
              </w:rPr>
              <w:t> environments with verification measures in place to restrict access to persons of legal age). Promotions that appeal to underage individuals are prohibited;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since the current federal regime came into force on October 17, 2018, certain classes of cannabis, including dried cannabis and oils, have been permitted for sale into the medical and adult-use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following amendments to the CR that came into force on October 17, 2019 (often referred to as Cannabis 2.0 regulations), other non-combustible form-factors, including edibles, topicals, and extracts (both ingested and inhaled), are permitted in the medical and adult-use markets;</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export is restricted to medical cannabis, cannabis for scientific purposes, and industrial hemp;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 of medical cannabis occurs on a direct-to-patient basis from a federally licensed provider, while sale of adult-use cannabis occurs through retail-distribution models established by provincial and territorial governments.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provincial and territorial governments have, to varying degrees, enacted regulatory regimes for the distribution and sale of recreational adult-use cannabis within their jurisdiction, including minimum age requirements. The retail-distribution models for adult-use cannabis varies nationwide: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Quebec, New Brunswick, Nova Scotia and Prince Edward Island adopted a government-run model for retail and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Ontario, British Columbia, Alberta, and Newfoundland and Labrador adopted a hybrid model with some aspects, including distribution and online retail being government-run while allowing for private licensed retail stores;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Manitoba and Saskatchewan adopted a private model, with privately-run retail stores and online sales, with distribution in Manitoba managed by the provincial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three northern territories of Yukon, Northwest Territories and Nunavut adopted a model that mirrors their government-run liquor distribution model.</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cannabis industry is subject to substantial federal and provincial excise taxes. Excise taxes may be increased in the future by the federal or any provincial government or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European Union Medical Use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country within the European Union (“EU”) has its own laws and regulations relating to medical and adult-use cannabis, with most countries only permitting the use of medical cannabis and then to varying degrees.  Countries within the EU are at different stages of legalization of medical and adult-use cannabis as some countries have expressed a clear political ambition to legalize adult-use cannabis (Germany, Portugal, Luxembourg and Czech Republic), some are engaging in an experiment for adult-use (Germany, Netherlands and Switzerland) and some are debating regulations for cannabinoid-based medicine (France and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EU also requires adherence to EU-GMP standards for the manufacture of active substances and medicinal products, including cannabis products. The EU system for certification of EU-GMP allows a Competent Authority of any EU member state to conduct inspections of manufacturing sites and, if the strict EU-GMP standards are met, to issue a certificate of EU-GMP compliance that is also accepted in other EU member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Competitive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face intense competition from the illicit market as well as other companies, some of which may have longer operating histories and more financial resources and manufacturing and marketing experience. With potential consolidation in the cannabis industry, we could face increased competition by larger and better financed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Growers of cannabis and retailers operating in the illicit market continue to hold significant market share in Canada and are effectively competitors to our business.  Illicit market participants divert consumers away through product offerings, price point, anonymity and convenience.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Outdoor cultivation also significantly reduces the barrier to entry by reducing the start-up capital required for new entrants in the cannabis industry. It may also ultimately lower prices as capital expenditure requirements related to growing outside are typically much lower than those associated with indoor growing. Further, the licensed outdoor cultivation capacity is extremely large. While outdoor cultivation is almost exclusively extraction grade, its presence in the market will have a negative effect on pricing of extraction grade wholesale cannabis.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May 31, 2025, Health Canada has issued approximately 1,000 active licenses to cannabis cultivators, processors and sellers. Health Canada licenses are limited to individual properties. As such, if a licensed producer seeks to commence production at a new site, it must apply to Health Canada for a new license. As of May 31, 2025, approximately 3,700 authorized retail cannabis stores have opened across Canada. As demand for legal cannabis increases and the number of authorized retail distribution points increases, we believe new competitors are likely to enter the Canadian cannabis market. Nevertheless, we believe our brand recognition combined with the quality, consistency, and variety of cannabis products we offer will allow us to maintain a prominent position in the Canadian adult use and medical markets.</w:t>
      </w:r>
    </w:p>
    <w:p>
      <w:pPr>
        <w:pStyle w:val="TextBody"/>
        <w:bidi w:val="0"/>
        <w:spacing w:before="0" w:after="0"/>
        <w:ind w:left="0" w:right="0" w:hanging="0"/>
        <w:jc w:val="left"/>
        <w:rPr/>
      </w:pPr>
      <w:r>
        <w:rPr/>
        <w:t> </w:t>
      </w:r>
    </w:p>
    <w:p>
      <w:pPr>
        <w:pStyle w:val="TextBody"/>
        <w:bidi w:val="0"/>
        <w:spacing w:before="0" w:after="0"/>
        <w:ind w:left="0" w:right="0" w:firstLine="780"/>
        <w:jc w:val="both"/>
        <w:rPr>
          <w:rFonts w:ascii="Times New Roman" w:hAnsi="Times New Roman"/>
          <w:caps w:val="false"/>
          <w:smallCaps w:val="false"/>
          <w:sz w:val="20"/>
        </w:rPr>
      </w:pPr>
      <w:r>
        <w:rPr>
          <w:rFonts w:ascii="Times New Roman" w:hAnsi="Times New Roman"/>
          <w:caps w:val="false"/>
          <w:smallCaps w:val="false"/>
          <w:sz w:val="20"/>
        </w:rPr>
        <w:t>Competition is also based on product innovation, product quality, price, brand recognition and loyalty, effectiveness of marketing and promotional activity, the ability to identify and satisfy consumer preferences, as well as convenience and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Internationally, cannabis companies are limited to those countries which have adopted a drug policy that has legalized various aspects of the cultivation, distribution, sale or use of medical cannabis. These disparate frameworks previously have created a barrier to entry for competitors.  While navigating these regulatory frameworks remains challenging, we continue to observe more entrants into various markets, especially Germany and Australia.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more countries to pass regulation allowing for the use of medical and/or recreational cannabis. While expansion of the global cannabis market will provide more opportunities to grow our international business, we also expect to experience increased global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Distribution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Pharma GmbH (“CC Pharma”) was founded in 1999 and is today one of the leading drug importers in Germany. It specializes in the re-importation and parallel importation of European pharmaceuticals, providing the healthcare market with branded medicines in a more cost-effective manner. This serves a socially and economically responsible supply of medicines, to which we have been committed for over 25 years.  We import pharmaceuticals and make them fit for exclusive distribution in the German market. By supplying our services as a pharmaceutical importer, we actively contribute to reducing the costs of medicinal products within the scope of healthcare policy. CC Pharma also contributes extensively to our medical cannabis business in Germany, providing services relating to packaging, order fulfilment, customer service, warehousing and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Customers and Product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customers include public pharmacies, hospital pharmacies, and specialized pharmacies as well as pharmaceutical wholesalers. Distributing roughly 1,200 product lines, we offer a wide range of medicinal productions for different indications, including anti-rheumatic, oncology, and HIV prescription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one of the leading pharmaceutical importers, we have leveraged our core expertise and years of experience in the import business to import high-quality, medical cannabis products for supply to pharmacies and pharmaceutical wholesalers.  We also bring experience in the pharmacy market – especially in the areas of infrastructure, international logistics, distribution and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Stringent quality control and assurance are a top priority at CC Pharma. The basis of our quality management is the legal regulations, especially the GDP and GMP guidelines. We use the latest technological means and qualified personnel to continuously improve our company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Wellness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Brands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Tilray Wellness segment primarily consists of the Manitoba Harvest branded hemp-based food business, which develops, manufactures, markets and distributes a diverse portfolio of hemp-based food and wellness products under various brands, which include Manitoba Harvest, Hemp Yeah!, Just Hemp Foods and The Humble Seed cracker company. Manitoba Harvest products are sold in major retailers across the U.S. and Canada. Tilray Wellness also manufactures, markets, and distributes wellness beverages, including HiBall Energy and Happy Flower. HiBall Energy was acquired through Craft Acquisition I and is made with zero sugar, zero calories, and organic caffeine. HiBall’s products have included Grapefruit, Watermelon Mint, Wild Berry, Blackberry, and Vanilla – all crafted with a proprietary energy blend, consisting of caffeine, guarana, and ginseng.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our Wellness segment, we own two BRC accredited facilities located in Manitoba, Canada that are dedicated to hemp processing and packaging Manitoba Harvest, Just Hemp Foods, and Hemp Yeah! branded products and private label products including hulled hemp seeds, hemp oil, and hemp protein.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wellness sales consist of hemp and other hemp-based food products, which are sold to retailers, wholesalers, and direct to consumers. We are a leading provider of hemp seeds and related food products that are sold in over 21,000 retail locations in the United States and Canada and available globally in 18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United States Regulation of Hemp-Based CBD &amp; THC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Hemp products are subject to state and federal regulation with respect to the production, distribution and sale of products intended for human ingestion or topical application. Hemp is categorized as Cannabis sativa L., a subspecies of the cannabis genus. Numerous unique, chemical compounds are extractable from Hemp, including CBD and THC. Hemp, as defined in the Agriculture Improvement Act of 2018 (the “2018 Farm Bill”), is distinguishable from marijuana, which also comes from the Cannabis sativa L. subspecies, by its absence of more than trace amounts (0.3% or less) of the psychoactive compound THC.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2018 Farm Bill preserves the authority and jurisdiction of the Food and Drug Administration (the “FDA”), under the Food Drug &amp; Cosmetic Act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The 2018 Farm Bill has also enabled production of hemp seed in the U.S. and the FDA approved these products for sale as a food by acknowledging them as GRAS (Generally Recognized as Safe). As a producer and marketer of Hemp-derived products and hemp seed-derived food products, the Company must comply with the FDA regulations applicable to manufacturing and marketing of certain products, including food, dietary supplements, and cosmetics.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2018 Farm Bill, federal law dictates that CBD and THC derived from Hemp is not a controlled substance; however, CBD and THC derived from Hemp may still be considered a controlled substance under applicable state law. Individual states take varying approaches to regulating the production and sale of Hemp and Hemp-derived CBD and THC. Some states explicitly authorize and regulate the production and sale of Hemp-derived CBD and THC or otherwise provide legal protection for authorized individuals to engage in commercial Hemp activities. Other states, however, maintain drug laws that do not distinguish between marijuana and Hemp and/or Hemp-derived CBD or THC which results in Hemp being classified as a controlled substance under certain state laws.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sales of craft beer and spirits generally reflect a degree of seasonality, with comparatively higher sales in the summer and the winter holiday season. Typically, the demand for cannabis and hemp-based products is fairly consistent throughout the calendar year, with an increase in the pre-roll cannabis category in the Canadian adult-use market during the summer months. Therefore, the results for any particular quarter may not be indicative of the results to be achieved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Environmental and Social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Environmental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recognizes the importance of climate change and the potential risks it poses to our business and the environment. We are committed to playing our part in mitigating climate change by monitoring our greenhouse gas (GHG) emissions, minimizing our environmental footprint, and promoting sustainable practices within our operations. We understand that climate change presents both risks and opportunities to our business. As a global lifestyle consumer products company, we recognize that climate-related risks may include changing weather patterns, water scarcity, and regulatory developments related to emissions and energy consumption. These risks can affect our supply chain, cultivation processes, and distribution networks, potentially impacting our financial performance. On the other hand, we see opportunities in adopting sustainable practices, developing innovative solutions, and embracing renewable energy sources. By proactively managing climate-related risks and identifying opportunities, we aim to enhance our resilience, reduce costs, and create long-term value for our shareholders. As such, the Company has implemented several initiatives to address climate change and promote sustainability across our operations which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GHG Emissions Monitoring: We are committed to monitoring our GHG emissions by assessing energy-efficient technologies, optimizing transportation logistics, and monitoring our energy consumption.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Supply Chain Sustainability: We are working closely with our suppliers to encourage innovative solutions to improve our environmental footprint. This includes assessing suppliers' environmental performance, promoting responsible sourcing, and supporting initiatives that enhance sustainability throughout the value chain. Specifically, in our Cannabis business we recently adopted the use of biodegradable Hemp packaging on certain products to reduce the use of single-use plastics.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Waste Management: We have implemented waste management programs to minimize waste generation and promote recycling and reuse. Through these efforts, we strive to reduce our environmental impact and contribute to the circular economy.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Environmental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cannabis, brewing and spirits operations are subject to a variety of federal, state and local environmental laws and regulations and local permitting requirements and agreements regarding, among other things, the maintenance of air and water quality standards and land reclamation. They also set forth limitations on the generation, transportation, storage and disposal of hazardous waste. In addition, any new products introduced by us are subject to a comprehensive environmental assessment by an independent third-party expert, including an assessment of how such products may create environmental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have no reason to believe the operation of our facilities violates any such regulation or requirement, including the Clean Air Act, the Clean Water Act and the Resource Conservation and Recovery Act, environmental regulation is evolving in a manner which may require stricter standards and enforcement, increased fines and penalties for non-compliance, more stringent environmental assessments of proposed projects and a heightened degree of responsibility for companies and their officers, directors and employees. If a violation were to occur, or if environmental regulations were to become more stringent in the future, we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socially responsible corporation, Tilray recognizes the importance of addressing the social dimensions of our operations and their impact on various stakeholders. We actively engage with the communities in which we operate, understanding that our success is intertwined with their well-being. Through donations to the Erie Shores Community Hospital in Leamington, support to our Canadian veterans and other compassionate use cannabis programs, and donations to the Waterkeeper Alliance from Sweetwater's 420 fest, we aim to address local needs and contribute to social development. As well, during the year the Company launched  a podcast “Men’s Health on Tap” with our Beverage division and renowned doctors to spark conversations and encourage friends, family, and colleagues to discuss men’s health openly through awareness, education, and launching outreach activities aimed at increasing men’s health literacy.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commitment to social responsibility is further evident in the various wellness initiatives undertaken by Manitoba Harvest. These include environmental and community support activities such as garbage pickups for Earth Day, and partnerships with the Soil Health Institute and One Tree Planted. Furthermore, we ensure the sustainability of our practices through donations of dated items to Second Harvest and maintaining the Certified Carbon Neutral status for Fresh Hemp Foods. Fresh Hemp Foods has also been a certified B Corp for 11 years, reflecting our dedication to social and environmental performance, accountability, and transparency. Additionally, our product line boasts four Regenerative Organic Certified (ROC) SKUs, underscoring our commitment to regenerative agriculture and sustainable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our facility operations, we also monitor and implement sustainability programs globally to minimize our environmental footprint. These initiatives include comprehensive recycling programs, the installation of an additional solar power plant to supplement our existing one, retrofitting greenhouse lighting from high-pressure sodium (HPS) to LED technology, and substituting natural gas-powered boilers with heat-pumps. These efforts reflect our unwavering commitment to environmental stewardship and sustainable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strive to help inspire and empower the worldwide community to live their very best life and build long-lasting relationships based on trust and mutual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Commitments and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vision and purpose unite, inform and inspire our employees to apply their talents to make a positive difference.  We foster a collaborative and dynamic work environment providing all employees with the opportunity to work cross-functionally and easily gain exposure to other teams’ diverse opinions and perspectives. We strive for every employee to reach their full potential and grow with Tilray.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focus on developing a culture of compliance, which includes annual training for the Company's employees on applicable corporate policies, including our Code of Conduct, Insider Trading and Trading Window Policy, Corporate Governance Guidelines and Open Door Policy for Reporting Complaints Regarding Accounting and Auditing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Tilray, we recognize that our people are our greatest asset, and we strive to create a workplace that fosters their growth, development, and wellbeing. As of May 31, 2025, we have approximately 2,842 employees worldwide. We consider relations with our employees to be good and have never experienced work stoppages. Aside from certain of our Cantanhede, Portugal and Portland Oregon employees from the initial Craft Brand acquisition, none of our employees are represented by labor unions or are subject to collective bargaining agreements. As is common for most companies doing business in Portugal, we are subject to a government-mandated collective bargaining agreement which grants employees nominal additional benefits beyond those required by the local labor code.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human capital resource management approach is centered on the following key areas: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Talent Acquisition and Development. </w:t>
            </w:r>
            <w:r>
              <w:rPr>
                <w:rFonts w:ascii="Times New Roman;Times;serif" w:hAnsi="Times New Roman;Times;serif"/>
                <w:sz w:val="20"/>
              </w:rPr>
              <w:t>We have implemented a comprehensive talent acquisition and development program to attract, retain, and develop our employees. This includes regular performance assessments, feedback mechanisms, and opportunities for skill-building and career advancement.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Health and Safety.</w:t>
            </w:r>
            <w:r>
              <w:rPr>
                <w:rFonts w:ascii="Times New Roman;Times;serif" w:hAnsi="Times New Roman;Times;serif"/>
                <w:sz w:val="20"/>
              </w:rPr>
              <w:t xml:space="preserve"> We are committed to providing a safe and healthy workplace for all employees. We have implemented strict health and safety protocols, including regular safety training, ergonomic assessments, and mental health support.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Compensation and Benefits</w:t>
            </w:r>
            <w:r>
              <w:rPr>
                <w:rFonts w:ascii="Times New Roman;Times;serif" w:hAnsi="Times New Roman;Times;serif"/>
                <w:sz w:val="20"/>
              </w:rPr>
              <w:t>. We strive to provide competitive compensation and benefits packages that align with industry standards and reflect the value that our employees bring to the organization.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Employee Engagement.</w:t>
            </w:r>
            <w:r>
              <w:rPr>
                <w:rFonts w:ascii="Times New Roman;Times;serif" w:hAnsi="Times New Roman;Times;serif"/>
                <w:sz w:val="20"/>
              </w:rPr>
              <w:t xml:space="preserve"> We prioritize employee engagement and satisfaction, as we believe that engaged employees are more productive, innovative, and committed.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AI and Cryptocurrency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dedicated to leveraging advanced technologies to align with our shareholder interests, the consumer of tomorrow, enhancing efficiency and driving growth. We are implementing AI across our global operations to enhance our expertise, optimize processes, achieve substantial improvements, and advance our business objectives. In the cultivation sector, we are utilizing advanced horticulture automation technology throughout our global greenhouse operations. By integrating this technology with AI-driven data insights, we can manage greenhouse conditions in real-time, leading to more efficient operations, increased output, superior quality, and reduced costs for resources such as labor, water, and energy. Additionally, Tilray plans to accept cryptocurrency as a payment method within the Company’s online operations. The Company is also exploring strategic initiatives related to cryptocurrency that align with our business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website address is </w:t>
      </w:r>
      <w:r>
        <w:rPr>
          <w:rFonts w:ascii="Times New Roman" w:hAnsi="Times New Roman"/>
          <w:caps w:val="false"/>
          <w:smallCaps w:val="false"/>
          <w:sz w:val="20"/>
          <w:u w:val="single"/>
        </w:rPr>
        <w:t>www.tilray.com</w:t>
      </w:r>
      <w:r>
        <w:rPr>
          <w:rFonts w:ascii="Times New Roman" w:hAnsi="Times New Roman"/>
          <w:caps w:val="false"/>
          <w:smallCaps w:val="false"/>
          <w:sz w:val="20"/>
        </w:rPr>
        <w:t>.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our annual report are available, free of charge, on written request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have a Code of Conduct that applies to our Board of Directors (“Board”) and all of our officers and employees, including, without limitation, our Chief Executive Officer and Chief Financial Officer. You can obtain a copy of our Code of Conduct, as well as our Corporate Governance Guidelines and charters for each of the Board’s standing committees, from the Investors section of our website at: </w:t>
      </w:r>
      <w:r>
        <w:rPr>
          <w:rFonts w:ascii="Times New Roman" w:hAnsi="Times New Roman"/>
          <w:caps w:val="false"/>
          <w:smallCaps w:val="false"/>
          <w:sz w:val="20"/>
          <w:u w:val="single"/>
        </w:rPr>
        <w:t>www.tilray.com</w:t>
      </w:r>
      <w:r>
        <w:rPr>
          <w:rFonts w:ascii="Times New Roman" w:hAnsi="Times New Roman"/>
          <w:caps w:val="false"/>
          <w:smallCaps w:val="false"/>
          <w:sz w:val="20"/>
        </w:rPr>
        <w:t>. If we change or waive any portion of the Code of Conduct that applies to any of our directors, executive officers or senior financial officers, we will disclose such information. Information on our website is not incorporated by reference into this Form 10-K or any other report filed with the SEC.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item1a"/>
      <w:bookmarkEnd w:id="4"/>
      <w:r>
        <w:rPr>
          <w:rFonts w:ascii="Times New Roman" w:hAnsi="Times New Roman"/>
          <w:b/>
          <w:caps w:val="false"/>
          <w:smallCaps w:val="false"/>
          <w:sz w:val="20"/>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Cannabis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cannabis business is dependent upon regulatory approvals and licenses, ongoing compliance and reporting obligations, and timely renewals.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cultivate, process, and sell medical and adult-use cannabis, cannabis-derived extracts and derivative cannabis products in Canada is dependent on maintaining the licenses issued to our operating subsidiaries by Health Canada under the Cannabis Regulations, or CR. These licenses allow us to produce cannabis in bulk and finished forms and to sell and distribute such cannabis in Canada. They also allow us to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These CR licenses and other approvals are valid for fixed periods and we must obtain renewals on a periodic basis.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required to obtain and maintain certain permits, licenses or other approvals from regulatory agencies in countries and markets outside of Canada in which we operate or to which we export our product, including, in the case of certain countries, the ability to demonstrate compliance with EU-GMP standards. We have received certification of compliance with EU-GMP standards for cultivation and production at Tilray Portugal and Aphria RX in Germany. These GMP certified facilities are subject to extensive ongoing compliance reviews to ensure that we continue to maintain compliance with current GMP standards. There can be no assurance that we will be able to continue to comply with these standards. Moreover, future governmental actions in countries where we operate, or import/export products, may limit, delay or altogether restrict the import and/or export of cannabis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future cannabis production facilities that we operate in Canada or elsewhere will also be subject to separate licensing requirements under the CR or applicable local requirements. Although we believe that we will meet the requirements for future renewals of our existing licenses and obtain requisite licenses for future facilities,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  An agency’s denial of or delay in issuing or renewing a permit, license or other approval, or revocation or substantial modification of an existing permit, license or approval, could restrict or prevent us from continuing the affected operations, or limit the export and/or import of our cannabis products. In addition, the export and import of cannabis is subject to United Nations treaties establishing country-by-country national estimates and our export and import permits are subject to these estimates which could limit the amount of cannabis we can export to any particular country.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our facilities are subject to ongoing inspections by the governing regulatory authority to monitor our compliance with their licensing requirements. Our existing licenses and any new licenses that we may obtain in the future in Canada or other jurisdictions may be revoked or restricted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cannabis in Canada or other jurisdictions or to import or export cannabis products. In addition, we may be subject to enforcement proceedings resulting from a failure to comply with applicable regulatory requirements in Canada or other jurisdictions, which could result in damage awards, the suspension, withdrawal or non-renewal of our existing approvals or denial of future approvals, recall of products, the imposition of future operating restrictions on our business or operations or the imposition of fines or other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Government regulation of the cannabis industry is evolving,</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including recent regulatory developments in the United States to reschedule cannabis from Schedule I to Schedule III under the Controlled Substances Act or revise the current federal framework under the 2018 Farm Bill for hemp-derived cannabis, including Delta-9, and any unfavorable changes or lack of commercial legalization could impact our ability to carry on our business as currently conducted and the potential expansion of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in a highly regulated and rapidly evolving industry. The successful execution of our business objectives is contingent upon compliance with all applicable laws and regulatory requirements in Canada (including the Cannabis Act and CR), Europe and other jurisdictions, and obtaining all required regulatory approvals for the production, sale, import and export of our cannabis products. The laws, regulations and guidelines generally applicable to the cannabis industry domestically and internationally may change in ways currently unforeseen. Any amendment to or replacement of existing laws, regulations, guidelines or policies may cause adverse effects to our operations, financial condition, results of operations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legislative framework pertaining to the Canadian cannabis market is still very new. In addition, the governments of every Canadian province and territory have implemented different regulatory regimes for the distribution and sale of cannabis for adult-use purposes within those jurisdictions. There is no guarantee that the Canadian legislative framework regulating the cultivation, processing, distribution and sale of cannabis will not be amended or replaced or the current legislation will create the growth opportunities we currently anticipate.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despite cannabis having been legalized at the state level for medical use in many states and for adult-use in a number of states, cannabis meeting the statutory definition of “marijuana” continues to be categorized as a Schedule I controlled substance under the federal Controlled Substances Act, or the CSA, and subject to the Controlled Substances Import and Export Act, or the CSIEA. Hemp and marijuana both originate from the Cannabis sativa plant and CBD is a constituent of both. There have been regulatory efforts in the United States to broaden medical access to cannabis and reschedule cannabis from Schedule I to Schedule III under the Controlled Substances Act. “Marihuana” or “marijuana” is defined in the CSA as a Schedule I controlled substance whereas “hemp” is essentially any parts of the Cannabis sativa plant that has not been determined to be marijuana. Pursuant to the 2018 Farm Bill, “hemp,” or cannabis and cannabis derivatives containing no more than 0.3% of tetrahydrocannabinol, or THC, is as of the date of this Form 10-K excluded from the statutory definition of “marijuana” and, as such, is no longer a Schedule I controlled substance under the CSA. As a result, our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2018 Farm Bill.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the United States will implement federal legalization of cannabis.  With respect to CBD and hemp, while the 2018 Farm Bill exempts hemp and hemp derived products from the CSA, the commercialization of hemp products in the United States is subject to various laws, including the 2018 Farm Bill, the FD&amp;C Act, the Dietary Supplement Health and Education Act, or (the “DSHEA”), applicable state and/or local laws, and FDA regulations. See also Risk Factor “</w:t>
      </w:r>
      <w:r>
        <w:rPr>
          <w:rFonts w:ascii="Times New Roman" w:hAnsi="Times New Roman"/>
          <w:i/>
          <w:caps w:val="false"/>
          <w:smallCaps w:val="false"/>
          <w:sz w:val="20"/>
        </w:rPr>
        <w:t>United States regulations relating to hemp-derived CBD products are new and rapidly evolving, and changes may not develop in the timeframe or manner most favorable to our business objectives</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expand internationally is also contingent, in part, upon compliance with applicable regulatory requirements enacted by governmental authorities and obtaining all requisite regulatory approvals. We cannot predict the impact of the compliance regime that governmental authorities may implement to regulate the adult-use or medical cannabis industry. Similarly, we cannot predict how long it will take to secure all appropriate regulatory approvals for our products, or the extent of testing and documentation that may be required by governmental authorities. The impact of the various compliance regimes, any delays in obtaining, or failure to obtain regulatory approvals may significantly delay or impact the development of markets, products and sales initiatives and could have a material adverse effect on our business, financial condition, results of operations and prospects. As the commercial cannabis industry develops in Canada and other jurisdictions, we anticipate that regulations governing cannabis in Canada and globally will continue to evolve.  Further, Health Canada or the regulatory authorities in other countries in which we operate or to which we export our cannabis products may change their administration or application of the applicable regulations or their compliance or enforcement procedures at any time. There is no assurance that we will be able to comply or continue to comply with applicable regulations, which could impact our ability to continue to carry on business as currently conducted and the potential expansion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incur and will continue to incur ongoing costs and obligations related to regulatory compliance. A failure on our part to comply with regulations may result in additional costs for corrective measures, penalties or restrictions on our business or operations. In addition, changes in regulations, more vigorous enforcement thereof or other unanticipated events could require extensive changes to our operations, increased compliance costs or give rise to material liabilities, which could have a material adverse effect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Competition from the illicit cannabis market could impact our ability to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competition from illegal market operators that are unlicensed and unregulated including illegal dispensaries and illicit market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results of operations, as well as the perception of cannabis use. Furthermore, given the restrictions on regulated cannabis retail, it is possible that legal cannabis consumers revert to the illicit market as a matter of convenience.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production and processing facilities are integral to our business and adverse changes or developments affecting our facilities may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cultivation and processing facilities are integral to our business and the licenses issued by applicable regulatory authorities are specific to each of these facilities. Adverse changes or developments affecting these facilities, including, but not limited to, disease or infestation of our crops, a fire, an explosion, a power failure, a natural disaster, an epidemic, pandemic or other public health crisis, or a material failure of our security infrastructure, could reduce or require us to entirely suspend operations at the affected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significant failure of our site security measures and other facility requirements, including failure to comply with applicable regulatory requirements, could have an impact on our ability to continue operating under our facility licenses and our prospects of renewing our licenses, and could also result in a suspension or revocation of these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intense competition, and anticipate competition will increase, which could hurt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and we expect to continue to face, intense competition from other Licensed Producers and other potential competitors, some of which have longer operating histories and more financial resources than we have. In addition, we anticipate that the cannabis industry will continue to undergo consolidation, creating larger companies with financial resources, manufacturing and marketing capabilities and product offerings that may be greater than ours. As a result of this competition, we may be unable to maintain our operations or develop them as currently proposed, on terms we consider acceptable,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Health Canada has issued approximately a thousand licenses for Licensed Producers. The number of licenses granted and the number of Licensed Producers ultimately authorized by Health Canada could have an adverse impact on our ability to compete for market share in Canada. We expect to face additional competition from new market entrants and may experience downward price pressure on our cannabis products as new entrants increase production. If the number of users of cannabis in Canada increases, the demand for products will increase and the Company expects that competition will become more intense, as current and future competitors begin to offer an increasing number of diversified products and pricing strategies.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opportunity in the medical and adult-use markets could also be impacted if our competitors produce and commercialize products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To remain competitive, we intend to continue to invest in research and development, marketing and sales and client support. We may not have sufficient resources to maintain research and development, marketing and sales and client support efforts on a competitive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foregoing, the legal landscape for medical and adult-use cannabis is changing internationally. We maintain operations outside of Canada, which may be affected as other countries develop, adopt and change their laws related to medical and adult-use cannabis. Increased international competition, including competition from suppliers in other countries who may be able to produce at lower cost, and limitations placed on us by the countries in which we participate or other regulations, might lower the demand for our cannabis products on a global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cannabis industry and market are relatively new and evolving, which could impact our ability to succeed in this industry and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operating our business in a relatively new industry and market that is expanding globally, and our success depends on our ability to attract and retain consumers and patients. There are many factors which could impact our ability to attract and retain consumers and patients, including but not limited to brand awareness, our ability to continually produce desirable and effective cannabis products and the ability to bring new consumers and patients into the category. The failure to acquire and retain consumers and patients could have a material adverse effect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remain competitive, we will continue to innovate new products, build brand awareness and make significant investments in our business strategy and production capacity. These investments include introducing new products into the markets in which we operate, adopting quality assurance protocols and procedures, building our international presence and undertaking research and development. These activities may not promote our products as effectively as intended, or at all, and we expect that our competitors will undertake similar investments to compete with us for market share. Competitive conditions, consumer preferences, regulatory conditions, patient requirements,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customers or to develop new cannabis products and produce and distribute these products in time to be effectively commercialized, or these activities may require significantly more resources than we currently anticipate in order to be successful.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Regulations constrain our ability to market and distribute our products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Canada, there are significant regulatory restrictions on the marketing, branding, product formats, product composition, packaging, and distribution of adult-use cannabis products. For instance, the CR includes a requirement for health warnings on product packaging, the limited ability to use logos and branding (only one brand name and one brand element per package), restrictions on packaging itself, and restrictions on types and avenues of marketing. Cannabis 2.0 regulations, which govern the production and sale of new classes or forms of cannabis products (including vapes and edibles), impose considerable restrictions on product composition, labeling, and packaging in addition to being subject to similar marketing restrictions as existing form factors.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each province and territory of Canada has the ability to separately regulate the distribution of cannabis within such province or territory (including the legal age), and the rules and regulations adopted vary significantly.  Additional marketing and product composition restrictions have been imposed by some provinces and territories. Such federal and provincial restrictions may impair our ability to differentiate our products and develop our adult-use brands.  Some provinces and territories also impose significant restrictions on our ability to merchandise products; for example, some provinces impose restrictions on investment in retailers or distributors as well as in our ability to negotiate for preferential retail space or in-store marketing. If we are unable to effectively market our products and compete for market share, our sales and results of operations may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regarding the health effects of cannabis is in relatively early stages and subject to further study which could impact demand for cannabis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clinical trials on the potential benefits and the short-term and long-term effects of cannabis use on human health remains in relatively early stages and there is limited standardization. As such, there are inherent risks associated with using cannabis and cannabis derivative products. Moreover, future research and clinical trials may draw opposing conclusions to statements contained in articles, reports and studies we relied on or could reach different or negative conclusions regarding the benefits, viability, safety, efficacy, dosing or other facts and perceptions related to cannabis, which could adversely affect social acceptance of cannabis and the demand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United States regulations relating to hemp-derived CBD products, Delta-9 products, and medical cannabis products are new and rapidly evolving, and changes may not develop in the timeframe or manner most favorable to our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participation in the market for hemp-derived CBD products, Delta-9 products, and medical cannabis products in the United States and elsewhere may require us to employ novel approaches to existing regulatory pathways. Although the passage of the 2018 Farm Bill legalized the cultivation of hemp in the United States to produce products containing CBD and other non-THC cannabinoids, it remains unclear whether and when the FDA will propose or implement new or additional regulations. While, to date, there are no laws or regulations enforced by the FDA which specifically address the manufacturing, packaging, labeling, distribution, or sale of hemp or hemp-derived CBD products and Delta-9 products. The FDA has issued no formal regulations addressing such matters, the FDA has issued various guidance documents and other statements reflecting its non-binding opinion on the regulation of such products.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hemp plant and the cannabis/marijuana plant are both part of the same cannabis sativa genus/species of plant, except that hemp, by definition, has less than 0.3% THC content, but the same plant with a higher THC content is cannabis/marijuana, which is legal under certain state laws, but which is not legal under United States federal law. The similarities between these two can cause confusion, and our activities with legal hemp in the United States may be incorrectly perceived as us being involved in federally illegal cannabis.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 products containing CBD and that make drug-like claims, there is the risk that the FDA could expand its enforcement activities and require us to alter our marketing for our hemp-derived CBD products and Delta-9 products or cease distributing them altogether. The FDA could also issue new regulations that prohibit or limit the sale of hemp-derived CBD products and Delta-9 products. Such regulatory actions and associated compliance costs may hinder our ability to successfully compete in the market for such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such products may be subject to regulation at the state or local levels. State and local authorities have issued their own restrictions on the cultivation or sale of hemp or hemp-derived CBD and Delta-9 products.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regulation of hemp and CBD in the United States has been constantly evolving,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  Unforeseen regulatory obstacles or compliance costs may hinder our ability to successfully compete in the market for such products.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Beverage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Changes in consumer preferences or public attitudes about alcohol could decrease demand for our beverage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general consumer trends lead to a decrease in the demand for our beers and other alcohol products or Breckenridge’s whiskey products, including craft beer, our sales and results of operations in the beverage segment may be adversely affected. There is no assurance that the craft brewing segment will experience growth in future periods. If the markets for wine, spirits or flavored alcohol beverages continue to grow, this could draw consumers away from the industry in general and our beverage products specifically.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the beverage industry is subject to public concern and political attention over alcohol-related social problems, including drunk driving, underage drinking and health consequences from the misuse of alcohol. In reaction to these concerns, steps may be taken to restrict advertising, to impose additional cautionary labeling or packaging requirements, or to increase excise or other taxes on beverage products. Any such developments may have an adverse impact on the financial condition, operating results and cash flows for our beverage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Developments affecting production sites, including at our breweries or our distillery in Breckenridge, could negatively impact financial results for our beverage business segment.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Adverse changes or developments affecting our beer production sites, or our distillery in Breckenridge, including, fire, power failure, natural disaster, public health crisis, or a material failure of our security infrastructure, could reduce or require us to entirely suspend operations.  Additionally, due to many factors, including seasonality and production schedules of our various products and packaging, actual production capacity may fluctuate throughout the year and may not reach full working capacity. If we experience contraction in our sales and production volumes, the excess capacity and unabsorbed overhead may have an adverse effect on gross margins, operating cash flows and overall financial performance of our beverage businesses.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Sweetwater, Breckenridge, Montauk</w:t>
      </w:r>
      <w:r>
        <w:rPr>
          <w:rFonts w:ascii="Times New Roman" w:hAnsi="Times New Roman"/>
          <w:caps w:val="false"/>
          <w:smallCaps w:val="false"/>
          <w:sz w:val="20"/>
        </w:rPr>
        <w:t> </w:t>
      </w:r>
      <w:r>
        <w:rPr>
          <w:rFonts w:ascii="Times New Roman" w:hAnsi="Times New Roman"/>
          <w:b/>
          <w:i/>
          <w:caps w:val="false"/>
          <w:smallCaps w:val="false"/>
          <w:sz w:val="20"/>
        </w:rPr>
        <w:t>and our other recently-acquired craft beverage brands portfolio each face substantial competition in the beer industry and the broader market for alcoholic beverage products, which could impact our business and financial results.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 for alcoholic beverage products within the United States is highly competitive due to the increasing number of domestic and international beverage companies with similar pricing and target drinkers, the introduction and expansion of hard seltzers and ready-to-drink beverages, gains in market share achieved by domestic specialty beers and imported beers, and the acquisition of craft brewers and smaller producers by larger companies. We anticipate competition among domestic craft brewers and distillers will also remain strong as existing facilities build more capacity, expand geographically and add more products, flavors and styles. The continued growth in the sales of hard seltzers, craft-brewed domestic beers and imported beers is expected to increase competition in the market for alcoholic beverages within the United States and, as a result, prices and market share of Breckenridge’s and our other craft brands' products may fluctuate and possibly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alcohol industry has seen continued consolidation among producers in order to take advantage of cost savings opportunities for supplies, distribution and operations. Due to the increased leverage that these combined operations have in distribution and sales and marketing expenses, the costs to Breckenridge and our other craft brands of competing could increase. The potential also exists for these large competitors to increase their influence with their distributors, making it difficult for smaller producers to maintain their market presence or enter new markets. The increase in the number and availability of competing products and brands, the costs to compete and potential decrease in distribution support and opportunities may adversely affect our business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Sweetwater, Breckenridge, Montauk</w:t>
      </w:r>
      <w:r>
        <w:rPr>
          <w:rFonts w:ascii="Times New Roman" w:hAnsi="Times New Roman"/>
          <w:caps w:val="false"/>
          <w:smallCaps w:val="false"/>
          <w:sz w:val="20"/>
        </w:rPr>
        <w:t> </w:t>
      </w:r>
      <w:r>
        <w:rPr>
          <w:rFonts w:ascii="Times New Roman" w:hAnsi="Times New Roman"/>
          <w:b/>
          <w:i/>
          <w:caps w:val="false"/>
          <w:smallCaps w:val="false"/>
          <w:sz w:val="20"/>
        </w:rPr>
        <w:t>and our other recently-acquired craft beverage brands portfolio are each dependent on distributors to deliver sustained growth and distribute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each of SweetWater, Breckenridge, Montauk and our other craft brands sells its beverages to independent distributors for distribution to retailers and, ultimately, to consumers. No assurance can be given that SweetWater, Breckenridge, Montauk and our other craft brands will be able to maintain their current distribution networks or secure additional distributors on favorable terms.  If existing distribution agreements are terminated, it may not be possible to enter into new distribution agreements on substantially similar terms or to timely put in place replacement distribution agreements, which may result in an impairment to distribution and an increase in the costs of distribution.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Ongoing Litigation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litigation, arbitration and demands, which could result in significant liability and costs, and impact our resources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has previously been named as a defendant in multiple class-action cases, including securities litigation claims against its predecessor (Aphria) in the U.S. that remain ongoing. In addition, legal proceedings covering a wide range of matters are pending or threatened in various U.S. and foreign jurisdictions against the Company. The types of claims that may be raised in these proceedings include product liability, unfair trade practices, antitrust, tax, contraband shipments, patent infringement, employment matters, claims for contribution and claims of competitors, shareholders or distributors. Litigation is subject to uncertainty and it is possible that there could be adverse developments in pending or future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other litigation and demands relating to business decisions, regulatory and industry changes, supply relationships, and our business acquisition matters and related activities. Litigation may include claims for substantial compensatory or punitive damages or claims for indeterminate amounts of damages. Tilray and its various subsidiaries are also involved from time to time in other reviews, investigations and proceedings (both formal and informal) by governmental and self-regulatory agencies regarding our business. These matters could result in adverse judgments, settlements, fines, penalties, injunctions or other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incurred and may continue to incur substantial costs and expenses relating directly to these actions, and substantial losses if these actions are ultimately litigated. Responding to such actions could divert management’s attention away from our business operations and result in substantial costs and potential losses. For more information on our pending legal proceedings, see “</w:t>
      </w:r>
      <w:r>
        <w:rPr>
          <w:rFonts w:ascii="Times New Roman" w:hAnsi="Times New Roman"/>
          <w:i/>
          <w:caps w:val="false"/>
          <w:smallCaps w:val="false"/>
          <w:sz w:val="20"/>
        </w:rPr>
        <w:t>Part I, Item 3. Legal Proceedings</w:t>
      </w:r>
      <w:r>
        <w:rPr>
          <w:rFonts w:ascii="Times New Roman" w:hAnsi="Times New Roman"/>
          <w:caps w:val="false"/>
          <w:smallCaps w:val="false"/>
          <w:sz w:val="20"/>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General Business Risks and Risks Related to Our Financial Condition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Company</w:t>
      </w:r>
      <w:r>
        <w:rPr>
          <w:rFonts w:ascii="Times New Roman" w:hAnsi="Times New Roman"/>
          <w:caps w:val="false"/>
          <w:smallCaps w:val="false"/>
          <w:sz w:val="20"/>
        </w:rPr>
        <w:t>’</w:t>
      </w:r>
      <w:r>
        <w:rPr>
          <w:rFonts w:ascii="Times New Roman" w:hAnsi="Times New Roman"/>
          <w:b/>
          <w:i/>
          <w:caps w:val="false"/>
          <w:smallCaps w:val="false"/>
          <w:sz w:val="20"/>
        </w:rPr>
        <w:t>s business may be materially adversely affected by the imposition of duties and tariffs and other trade barriers and retaliatory countermeasures implemented by the U.S. and other governments.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Recently there have been significant changes to U.S. trade policies, sanctions, legislation, treaties and tariffs, including, but not limited to, trade policies and tariffs affecting products from outside of the U.S. For example, in early 2025, the current U.S. presidential administration announced significant new tariffs on foreign imports into the U.S., specifically from Mexico and Canada,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Any new or additional tariffs on goods imported to the U.S. from Mexico, Canada, or other countries, or products imported into the European Union or other non-U.S. markets, could also increase the cost of some of our products and reduce our margins. In response to the tariffs, the Company may seek to increase prices to its customers, which may diminish demand for its products. The imposition of additional tariffs or other trade barriers could increase our costs in certain markets and may cause our customers to find alternative sourcing or could make it more difficult for us to sell our products in some markets. Other countries where we operate or sell our products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 xml:space="preserve">Additional impairments of our goodwill, additional impairments of our intangible and other long-lived assets, and changes in the estimated useful lives of intangible assets could have a material adverse impact on our financial results.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intangible and other long-lived assets comprise a significant portion of our total assets. As of May 31, 2025 our goodwill and intangible assets totaled $752.4 million and $21.4 million, respectively. We test goodwill and indefinite lived intangible assets for impairment annually, while our other long-lived assets, including our finite-lived intangible assets, are tested for impairment when circumstances indicate that the carrying amount may not be recoverable, in accordance with Generally Accepted Accounting Principles in the U.S. (“GAAP”). A further decrease in our market capitalization or profitability, or unfavorable changes in market, economic or industry conditions could increase the risk of additional impairment.  Any resulting additional impairments could have a negative impact on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continue to monitor key assumptions and other factors utilized in our goodwill, intangible and other long-lived assets impairment analysis, and if business or other market conditions develop that are materially different than we currently anticipate, we will conduct an additional impairment evaluation. Any additional reductions in or impairments of the value of goodwill, intangible assets and long-lived assets will result in an additional charge against earnings, which would have a material adverse impact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and a history of net losses, and we may not achieve or maintain profitability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began operating in 2014 and have yet to generate a profit. We intend to continue to expend funds to explore potential opportunities and complete strategic mergers and acquisitions, invest in research and development, expand our marketing and sales operations and meet the compliance requirements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herein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and selling cannabis and beverage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common stock may significantly decrease and our ability to raise capital, expand our business or continue our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exposed to risks relating to the laws of various countries as a result of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conduct operations in multiple countries and plan to expand these international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our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if any, in the laws, regulations and policies relating to the advertising, production, sale and use of our products or in the general economic policies in these jurisdictions, or shifts in political attitude related thereto, may adversely affect the operations, or profitability of our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there is no assurance that we will be able to timely secure the requisite import and export permits for the international distribution of our products. Countries may also impose restrictions or limitations on imports that require the use of, or confer significant advantages upon, producers within that particular country. As a result, we may be required to establish facilities in one or more countries in the EU (or elsewhere) where we wish to distribute our products in order to take advantage of the favorable legislation offered to producers in these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required to comply concurrently with all applicable laws in each jurisdiction where we operate or to which we export our products, and any changes to such laws could adversely impact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Various federal, state, provincial and local laws and regulations govern our business in the jurisdictions in which we operate or propose to operate, and in which we export or propose to export our products. Such laws and regulations include those relating to health and safety, conduct of operations and the production, management, transportation, storage and disposal of our products and of certain material used in our operations. In many cases, we must concurrently comply with complex federal, provincial, state and/or local laws in multiple jurisdictions. These laws change frequently and may be difficult to interpret and apply. Compliance with these laws and regulations requires the investment of significant financial and managerial resources, and a determination that we are not in compliance with any of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strategic alliances and other third-party business relationships may not achieve the intended beneficial impact and expose us to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have, and may adjust the scope of, and may in the future enter into, strategic alliances with third parties that we believe will complement or augment our existing business.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or profitability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successfully identify and execute future acquisitions, dispositions or other equity transactions or to successfully manage the impacts of such transactions on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(vi) the loss or reduction of control over certain of our assets; and (vii) capital stock or cash to pay for the acquisition. Material acquisitions and strategic transactions have been and continue to be material to our business strategy. There can be no assurance that we will find suitable opportunities for strategic transactions at acceptable prices, have sufficient capital resources to pursue such transactions, be successful in negotiating required agreements, or successfully close transactions after signing such agreements. There is no guarantee that any acquisitions will be accretive, or that past or future acquisitions will not result in additional impairments or write downs.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inherent in an agricultural business, including the risk of crop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grow cannabis, which is an agricultural process. As such, our business is subject to the risks inherent in the agricultural business, including risks of crop failure presented by weather, climate change, forest fires, insects, plant diseases and similar agricultural risks. Although we primarily grow our products indoors under climate-controlled conditions, we also have certain outdoor cultivation capacity and there can be no assurance that natural elements, such as insects, climate change and plant diseases, will not interrupt our production activities or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on significant customers for a substantial portion of our revenue. If we fail to retain or expand our customer relationships or significant customers reduce their purchases, our revenue could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derive a significant portion of revenue from the supply contracts we have with 12 Canadian provinces and territories for adult-use cannabis products. There are many factors which could impact our contractual agreements with the provinces and territories, including but not limited to availability of supply, product selection and the popularity of our products with retail customers. If our supply agreements with certain Canadian provinces and territories are amended, terminated or otherwise altered, our sales and results of operations could be adversely affected,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not all of our supply contracts with the Canadian provinces and territories contain purchase commitments or otherwise obligate the provincial or territorial wholesaler to buy a minimum or fixed volume of cannabis products from us. The amount of cannabis that the provincial or territorial wholesalers may purchase under the supply contracts may therefore vary from what we expect or planned for. As a result, our revenues could fluctuate materially in the future and could be materially and disproportionately impacted by the purchasing decisions of the provincial or territorial wholesalers. In the future, these customers may decide to purchase less product from us than they have in the past, may alter purchasing patterns or return inventory, or may decide not to continue to purchase our products, any of which could cause our revenue to decline materially and materially harm our financial condition and results of operations. If we are unable to diversify our customer base, we will continue to be susceptible to risks associated with customer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attract or retain key personnel, and we may be unable to attract, develop and retain additional employees required for our development and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officers, directors, and certain key personnel at each of our facilities that are licensed by Health Canada are subject to the requirement to 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 also requires us to designate a qualified individual in charge who is responsible for supervising activities relating to the production of study drugs for clinical trials, which individual must meet certain educational and security clearance requirements. If our current designated qualified person in charge fails to maintain their security clearance, or leaves us and we are unable to find a suitable replacement who meets these requirements, we may no longer be able to continue our clinical trial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Increased labor costs, potential organization of our workforce, employee strikes, work stoppages, and other labor-related disruption may adversely affect our business, financial conditions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Outside Portugal and Portland, Oregon, none of our employees are represented by a labor union or subject to a collective bargaining agreement. In Portugal, none of our employees are represented by a labor union or subject to any workforce-initiated labor agreement. As with other companies carrying on business in Portugal, we are subject to a government-mandated collective bargaining agreement, which grants employees nominal additional benefits beyond those required by the local labor code. We cannot assure that our labor costs going forward will remain competitive based on various factors, such as: (i) our 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 In Portland, Oregon , employees voted to ratify a three-year collective bargaining agreement that covers approximately 50 full-time and part-time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unionized workforces could adversely impact our competitiveness and therefore adversely affect our business, financial condition, results of operations and cash flows. The further unionization of a greater portion of our workforce could also negatively impact our ability to run our business in the most efficient manner to remain competitive.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interruptions in our access to certain supply chains for key inputs such as raw materials, supplies, electricity, water and other utilities may impair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key inputs and their related costs (certain of which are sourced in other countries and on different continents), including raw materials, supplies and equipment related to our operations, as well as electricity, water and other utilities. We operate global manufacturing facilities, and have dispersed suppliers and customers. Governments may regulate or restrict the flow of labor or products, and the Company's operations, suppliers, customers and distribution channels could be severely impacted. While we have not experienced any material supply chain disruptions,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compete is dependent on us having access, at a reasonable cost and in a timely manner, to skilled labor, equipment, parts and components. No assurances can be given that we will be successful in maintaining our required supply of labor, equipment, parts and components. In addition, the invasion of Ukraine by Russia and the resulting measures that have been taken, and could be taken in the future, have and may continue to have a negative impact on our costs, including for input materials, energy and transportation.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negatively impacted by volatility in the political and economic environment, and a period of sustained inflation across the markets in which we operate could result in higher operating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 monetary and fiscal policies, and political and economic conditions may substantially change, and credit markets may experience periods of constriction and variability. These conditions may impact our business. Further rising inflation may negatively impact our business, raise cost and reduce profitability. While we would take actions, wherever possible, to reduce the impact of the effects of inflation, in the case of sustained inflation across several of the markets in which we operate, it could become increasingly difficult to effectively mitigate the increases to our costs. In addition, the effects of inflation on consumers’ budgets could result in the reduction of our customers’ spending habits. If we are unable to take actions to effectively mitigate the effect of the resulting higher costs, our profitability and financial position could be negatively impacted.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risks associated with the transportation of our products to consumers in a safe and efficient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depend on fast, cost-effective, and efficient courier services to distribute our products to both wholesale and retail customers. Any prolonged disruption of third-party transportation services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products could also have an impact on our ability to continue supplying provinces and territories, to continue operating under our existing licenses, to renew or receive amendments to our existing licenses or to obtain new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products may be subject to recalls for a variety of reasons, which could require us to expend significant management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Manufacturers and distributors of cannabis, hemp and beverage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products, there can be no assurance that any quality, potency or contamination problems will be detected in time to avoid unforeseen product recalls, regulatory action or lawsuits, whether frivolous or otherwise. If any of the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cannabis industry more broadly, whether or not involving us, could also lead consumers to lose confidence in the safety and security of cannabis products generally, including products sold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product liability claims or regulatory action. This risk is exacerbated by the fact that cannabis use may increase the risk of serious adverse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Furthermore, we are as of the date of this Form 10-K offering an expanded assortment of form factors, some of which may have additional adverse side effects, such as vaping products. See also Risk Factor “</w:t>
      </w:r>
      <w:r>
        <w:rPr>
          <w:rFonts w:ascii="Times New Roman" w:hAnsi="Times New Roman"/>
          <w:i/>
          <w:caps w:val="false"/>
          <w:smallCaps w:val="false"/>
          <w:sz w:val="20"/>
        </w:rPr>
        <w:t>Our vape business is subject to uncertainty in the evolving vape market due to negative public sentiment and regulatory scrutiny.</w:t>
      </w:r>
      <w:r>
        <w:rPr>
          <w:rFonts w:ascii="Times New Roman" w:hAnsi="Times New Roman"/>
          <w:caps w:val="false"/>
          <w:smallCaps w:val="false"/>
          <w:sz w:val="20"/>
        </w:rPr>
        <w:t>”  Previously unknown adverse reactions resulting from human consumption of cannabis or beverage products alone or in combination with other medications or substances could also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manufacture and sale of our products, like the manufacture and sale of any ingested product, involves a risk of injury to consumers due to tampering by unauthorized third parties or product contamination. We have in the past recalled, and may again in the future have to recall, certain products as a result of potential contamination and quality assurance concerns. A product liability claim or regulatory action against us could result in increased costs and could adversely affect our reputation and goodwill with our customers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adversely affect our commercial arrangements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or the cannabis industry more generally, may receive unfavorable publicity or become subject to negative consumer or investor perception.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 to comply with safety, health and environmental regulations applicable to our operations and industry may expose us to liability and impact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Compliance with GMP requires satisfying additional standards for the conduct of our operations and subjects us to ongoing compliance inspections in respect of these standards in connection with our GMP certified facilities.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government environmental approvals and permits are currently, and may in the future be required in connection with our operations. To the extent such approvals are required and not obtained, we may be curtailed or prohibited from its proposed business activities or from proceeding with the development of our operations as currently proposed. Failure to comply with applicable environmental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We may be required to compensate those suffering loss or damage due to our operations and may have civil or criminal fines or penalties imposed for violations of applicable environmental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experience breaches of security at our facilities, which could result in product loss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risks related to our information technology systems, including service interruption, cyber-attacks and misappropriation of data, which could disrupt operations and may result in financial losses and reputational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We are increasingly reliant on Cloud-based systems for economies of scale and our mobile workforce, which could result in increased attack vectors or other significant disruptions to our work processes.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a number of laws protecting the confidentiality of personal information and patient health information, and restricting the use and disclosure of that protected information. In particular, the privacy rules under the Personal Information Protection and Electronics Documents Act (Canada), or PIPEDA, the European Unions’ General Data Protection Regulation, or the GDPR, and similar laws in other jurisdictions, protect personal information, including medical records of individuals. We collect and store personal information about our employees and customers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 litigation and civil or criminal penalties, which could increase our liabilities and harm our reputation.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cannabis industry continues to face significant funding challenges, and we may not be able to secure adequate or reliable sources of funding, which may impact our operations and potential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continued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There can be no assurance that additional capital or other types of equity or debt financing will be available if needed or that, if available, the terms of such financing will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from time to time, we may enter into transactions to acquire assets or the capital stock or other equity interests of other entities. Our continued growth may be financed, wholly or partially, with debt, which may increase our debt levels above industry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existing and future debt agreements may contain covenant restrictions that limit our ability to operate our business and pursue beneficial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existing debt agreements and future debt agreements may contain, covenant restrictions that limit our ability to operate our business, including restrictions on our ability to invest in our existing facilities, incur additional debt or issue guarantees, create additional liens, repurchase stock or make other restricted payments. As a result of these covenants, our ability to respond to changes in business and economic conditions and engage in beneficial transactions, including to obtain additional financing and pursue business opportunities, may be restricted. Furthermore, our failure to comply with our debt covenants could result in a default under our debt agreements, which could permit the holders to accelerate our obligation to repay the debt and to enforce security over our assets. If any of our debt is accelerated, we may not have sufficient funds available to repay it or be able to obtain new financing to refinance the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Servicing our debt will require a significant amount of cash, and we may not have sufficient cash flow from our business to pay our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indebtedness (refer to the consolidated financial statements included elsewhere in this Form 10-K)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including rising interest rates. Our business has not generated 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Management may not be able to successfully establish and maintain effective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(“GAAP”). Due to the work around integration and modification to internal control over financial reporting and other policies and procedures,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not expected that our disclosure controls and procedures and internal controls over financial reporting will prevent all error or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Due to inherent limitations, our internal control over financial reporting may not prevent or detect all misstatements. The inherent limitations include the realities that judgments in decision-making can be faulty, and that breakdowns can occur because of simple errors or mistakes. Controls can also be circumvented by individual acts of certain persons, by collusion of two or more people or by management override of the controls. Due to the inherent limitations in a cost-effective control system, misstatements due to error or fraud may occur and may not be detected in a timely manner or at all. We cannot guarantee that we will not have a material weakness in our internal controls in the future. If we experience any material weakness in our internal controls in the future, our financial statements may contain misstatements and we could be required to restate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Since a significant portion of our sales are generated in Canada and other countries outside the United States, fluctuations in foreign currency exchange rates could harm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reporting currency for our financial statements is the United States dollar. We derive a significant portion of our revenue and incur a significant portion of our operating costs in Canada and Europe, as well as other countries outside the United States, including Australia. As a result, changes in the exchange rate in these jurisdictions relative to the United States dollar, may have a significant, and potentially adverse, effect on our results of operations. Our primary risk of loss regarding foreign currency exchange rate risk is caused by fluctuations in the exchange rates between the United States dollar against the Canadian dollar and the Euro, although as we expand internationally, we will be subject to additional foreign currency exchange risks. Because we recognize revenue in Canada in Canadian dollars and revenue in Europe in Euros, if either or both of these currencies weaken against the United States dollar it would have a negative impact on our Canadian and/or European operating results upon the translation of those results into United States dollars for the purposes of consolidation. In addition, a weakening of these foreign currencies against the United States dollar would make it more difficult for us to meet our obligations under the convertible securities we have issued.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have exposure to greater than anticipated tax liabilities,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all of which could increase our worldwide effective tax rate and the amount of taxes that we pay and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regular review and audit by federal, state, provincial and local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 Furthermore, due to shifting economic and political conditions, tax policies, laws, or rates in various jurisdictions, we may be subject to significant changes in ways that impair our financial results. Our results of operations and cash flows could be adversely affected by additional taxes imposed on us prospectively or retroactively or additional taxes or penalties resulting from the failure to comply with any collection obligations or failure to provide information for tax reporting purposes to various government agencies.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be able to utilize our net operating loss carryforwards which could result in greater than anticipated tax liabilities.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accumulated net operating loss carryforwards in the United States, Canada and other jurisdictions.  Our ability to use our net operating loss carryforwards is dependent upon our ability to generate taxable income in future periods. In addition, these net operating loss carryforwards could expire unused or be subject to limitations which impact our ability to offset future income tax liabilities. U.S. federal net operating losses incurred in 2018 and in future years may be carried forward indefinitely. However, our Canadian net operating loss carryforwards begin to expire in 2028, and limited carryforward periods also exist in other jurisdictions. As a result, we may not be able realize the full benefit of our net operating loss carryforwards in Canada and other jurisdictions, which could result in increased future tax liability to us.  Further, our ability to utilize net operating loss carryforwards in the United States and other jurisdictions could be limited from ownership changes in the current and/or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Ownership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failure to meet the continued listing requirements of Nasdaq could result in a delisting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25, 2025, the Company received written notice (the “Notice”) from the Nasdaq Listing Qualifications Department of the Nasdaq Stock Market, LLC (“Nasdaq”) notifying the Company that it is not in compliance with the minimum bid price requirement set forth in Nasdaq Listing Rule 5450(a)(1) for continued listing on The Nasdaq Global Select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 The Notice does not impact the listing of the Company’s common stock on The Nasdaq Global Select Market at this time. In accordance with Nasdaq Listing Rule 5810(c)(3)(A), the Company has 180 calendar days to regain compliance with the minimum bid price requirement. To regain compliance, the closing bid price of the Company’s common stock must be at least $1.00 per share for a minimum of ten consecutive business days before September 21, 2025. In the event that the Company does not regain compliance within this 180-day period, the Company may be eligible to transfer from the Nasdaq Global Select Market to the Nasdaq Capital Market and seek an additional compliance period of 180 calendar days if it meets the continued listing requirement for market value of publicly held shares and all other initial listing standards for The Nasdaq Capital Market, with the exception of the minimum bid price requirement, and provides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its common stock will be subject to delisting. The Company is actively monitoring the closing bid price of its common stock and evaluating available options to regain compliance with the minimum bid price requirement.  There can be no assurance that the Company will regain compliance with Nasdaq’s minimum bid price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is Uncertainty Regarding the Impact of Tilray Implementing a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Tilray’s board of directors and stockholders have both approved a reverse stock split intended to comply with Nasdaq Listing Rule 5450(a)(1) and sustain our listing on The Nasdaq Global Select Market. However, the board of directors is continuing to consider whether and when to effect a reverse stock split. This uncertainty, combined with the unpredictable stock market behavior inherent in implementing a reverse split, could result in execution challenges and heightened market volatility, potentially undermining investor confidence or affecting our share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proposed reverse split may be perceived by the market as an indicator of underlying financial or strategic challenges, which could adversely affect trading liquidity and shareholder sentiment. A reduction in the number of outstanding shares, while designed to boost our per</w:t>
        <w:noBreakHyphen/>
        <w:t>share market price, carries the risk of dampening the overall attractiveness of our securities.  Additionally, the reverse split process demands significant management focus and resource allocation, posing the risk of diverting attention from our core strategic initiatives. Strict regulatory compliance is crucial, and any difficulties in meeting these requirements or managing unforeseen adverse market conditions following the split could have a lasting impact on our stock’s trading dynamics.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in public markets has experienced and may continue to experience severe volatility and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 price for our common stock, and the market price of stock of other companies operating in the cannabis industry, has been extremely volatile. For example, during the 2025 fiscal year, the trading price of our common stock ranged between a low sales price of $0.42 and a high sales price of $2.03. The market price of our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(vi) sales or perceived sales, or the expectation of future sales, of our common stock; (vii) significant acquisitions or business combinations, strategic partnerships, joint ventures or capital commitments by or involving us or our competitors; (viii) news reports or social media relating to trends, concerns, technological or competitive developments, regulatory changes and other related issues in the cannabis industry or our target markets; and (ix) the increase in the number of retail investors and their participation in social media platforms targeted at speculative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volatility of our stock and the stockholder base may hinder or prevent us from engaging in beneficial corporate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stockholder base is comprised of a large number of retail (or non-institutional) investors, which creates more volatility since stock changes hands frequently.  In accordance with our governing documents and applicable laws, there are a number of initiatives that require the approval of stockholders at the annual or a special meeting. To hold a valid meeting, a quorum comprised of stockholders representing one-third of the voting power of our outstanding shares of common stock is necessary. A record date is established to determine which stockholders are eligible to vote at the meeting, which record date must be 30 – 60 days prior to the meeting. Since our stocks change hands frequently, there can be a significant turnover of stockholders between the record date and the meeting date which makes it harder to get stockholders to vote. While we make every effort to engage retail investors, such efforts can be expensive and the frequent turnover creates logistical issues. Further retail investors tend to be less likely to vote in comparison to institutional investors. Failure to secure sufficient votes or to achieve the minimum quorum needed for a meeting to happen may impede our ability to move forward with initiatives that are intended to grow the business and create stockholder value or prevent us from engaging in such initiatives at all. If we find it necessary to delay or adjourn meetings or to seek approval again, it will be time consuming and we will incur additional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terms of our outstanding warrants may limit our ability to raise additional equity capital or pursue acquisitions, which may impact funding of our ongoing operations and cause significant dilution to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13, 2020, we entered into an underwriting agreement with Canaccord Genuity LLC relating to the issuance and sale of shares of our common stock at a price to the public of $4.76 per share and included warrants to purchase additional common stock at a price of $5.95 per warrant.  As of May 31, 2025, 6,209,000 warrants remain outstanding and do not expire until September 17, 2025. The warrants contain a price protection, or anti-dilution feature, pursuant to which, the exercise price of such warrants will be reduced to the consideration paid for, or the exercise price or conversion price of, as the case may be, any newly issued securities issued at a discount to the original warrant exercise price of $5.95 per share. Therefore, the exercise price of the warrants may end up being lower than $5.95 per share, which could result in incremental dilution to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Additionally, so long as the warrants remain outstanding, we may only issue up to $20 million in aggregate gross proceeds under our at-the-market offering program at prices less than the exercise price of the warrants, and in no event more than $6 million per quarter at prices below the exercise price of the warrants, without triggering the warrant’s anti-dilution feature described in the paragraph immediately above. During the fiscal period, our stock price traded below the warrant exercise price of $5.95 per share for an extended time. As a result, the warrant exercise price was contractually lowered. As of May 31, 2025, the warrant exercise price was $0.42. Refer to Part II, Item 8, Note 18, </w:t>
      </w:r>
      <w:r>
        <w:rPr>
          <w:rFonts w:ascii="Times New Roman" w:hAnsi="Times New Roman"/>
          <w:i/>
          <w:caps w:val="false"/>
          <w:smallCaps w:val="false"/>
          <w:sz w:val="20"/>
        </w:rPr>
        <w:t>Warrants</w:t>
      </w:r>
      <w:r>
        <w:rPr>
          <w:rFonts w:ascii="Times New Roman" w:hAnsi="Times New Roman"/>
          <w:caps w:val="false"/>
          <w:smallCaps w:val="false"/>
          <w:sz w:val="20"/>
        </w:rPr>
        <w:t>, of this Form 10-K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have the ability to raise the funds necessary to settle conversions of the Convertible Securities in cash or to repurchase the Convertible Securities upon a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issued various securities convertible into shares of our common stock, or “Convertible Securities”. Holders of certain Convertible Securities have the right to require us to repurchase their Convertible Securities upon the occurrence of a fundamental change. In addition, upon conversion, unless we deliver solely shares of our common stock to settle such conversion (other than paying cash in lieu of delivering any fractional share), we will be required to make cash payments in respect of the Convertible Securities being converted. However, we may not have enough available cash or be able to obtain financing at the time we are required to make repurchases of Convertible Securities surrendered. In addition, our ability to repurchase the Convertible Securities or to pay cash upon conversions of the Convertible Securities may be limited by law, by regulatory authority or by agreements governing our future indebtedness. Our failure to repurchase Convertible Securities at a time when the repurchase is required by the indenture or to pay any cash payable on future conversions of the Convertible Securities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Securities or make cash payments upon conversions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conditional conversion feature of the Convertible Securities, if triggered, may adversely affect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conditional conversion feature of the Convertible Securities is triggered, holders of Convertible Securities will be entitled to convert the Convertible Securities at any time during specified periods at their option. If one or more holders elect to convert their Convertible Securities,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Convertible Securities do not elect to convert their Convertible Securities, we could be required under applicable accounting rules to reclassify all or a portion of the outstanding principal of the Convertible Securities as a current rather than long-term liability, which would result in a material reduction of our net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Conversion of the Convertible Securities may dilute the ownership interest of our stockholders or may otherwise depress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conversion of some or all of the Convertible Securities may dilute the ownership interests of our stockholders. Upon conversion of the Convertible Securities,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Securities may encourage short selling by market participants because the conversion of the Convertible Securities could be used to satisfy short positions, or anticipated conversion of the Convertible Securities into shares of our common stock could depress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Certain provisions in the indentures governing the Convertible Securities may delay or prevent an otherwise beneficial takeover attempt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provisions in the indentures governing the Convertible Securities may make it more difficult or expensive for a third party to acquire us. For example, we may be required to repurchase certain Convertible Securities for cash upon the occurrence of a fundamental change and, in certain circumstances, to increase the relevant conversion rate for a holder that converts its Convertible Securities in connection with a make-whole fundamental change. A takeover of us may trigger the requirement that we repurchase the Convertible Securities and/or increase the conversion rate, which could make it more costly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stockholders may be subject to dilution resulting from future offerings of common stock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Provisions in our corporate charter documents could make an acquisition of us more difficult and may prevent attempts by our stockholders to replace or remove our current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board of directors is divided into three classes with staggered three-year terms which may delay or prevent a change of our management or a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Except in limited circumstances, 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certificate of incorporation prohibits cumulative voting in the election of directors, which limits the ability of minority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Planned Cryptocurrency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cryptocurrency strategy faces high risk and uncertainty in light of market volatility and an evolving regulatory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decision to invest in and hold digital assets – including Bitcoin and other cryptocurrencies—as a recent addition to our treasury management strategy poses considerable risks that could materially harm our operating results and financial condition. The inherent volatility in cryptocurrency markets can lead to rapid and substantial fluctuations in the value of our digital asset holdings; such volatility may force us to liquidate positions at unfavorable prices, thereby significantly impairing our liquidity and overall financial 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cryptocurrency strategy is developing amid a continuously changing and uncertain regulatory environment. Evolving cryptocurrency regulations and varying interpretations and enforcement policies of existing laws in the United States and internationally may impose new compliance burdens, disrupt our planned operations, or necessitate significant modifications to our existing business practices. Any adverse regulatory action or delay in clarity could escalate our operational costs, materially harm the value of our digital asset holdings, restrict our flexibility in managing these assets, and damage our reputation with investors and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unique audit, accounting, and internal control challenges associated with managing digital assets add further complexity to our risk profile. As current financial reporting standards may not fully capture the nuances of digital asset investments, future modifications to these standards could require substantial changes in our accounting policies and internal controls. Our reliance on third-party custodial, trading and transaction platforms for the storage and processing of these assets also exposes us to increased cybersecurity threats, operational disruptions, and risks stemming from third-party service providers, each of which could result in significant financial inaccuracies, legal liabilities, or reputational damage.  Relatedly, digital asset custodial accounts do not benefit from customary regulatory, insurance and safeguard regimes available to traditional brokerage and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nascent and rapidly evolving nature of digital asset markets, any unfavorable developments in market conditions, regulatory frameworks, or technological vulnerabilities could severely undermine our ability to execute our digital asset strategy effectively. Any significant adverse developments in the digital asset space may have a material negative impact on our long-term performance and strategic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adequately protect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long as cannabis remains illegal under U.S. federal law as a scheduled controlled substance under the CSA, the benefit of certain federal laws and protections that may be available to most businesses, such as federal trademark and patent protection, may not be available to us. As a result, our intellectual property may not be adequately or sufficiently protected against the use or misappropriation by third parties under such U.S. laws. In addition, since the regulatory framework of the cannabis industry is in a state of flux, we can provide no assurance that we will obtain protection for our intellectual property, whether on a federal, state or local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realize the full benefit of the clinical trials or studies that we participate in if we are unable to secure ownership or the exclusive right to use the resulting intellectual property on commercially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Times New Roman" w:hAnsi="Times New Roman"/>
          <w:i/>
          <w:caps w:val="false"/>
          <w:smallCaps w:val="false"/>
          <w:sz w:val="20"/>
        </w:rPr>
        <w:t>e.g.</w:t>
      </w:r>
      <w:r>
        <w:rPr>
          <w:rFonts w:ascii="Times New Roman" w:hAnsi="Times New Roman"/>
          <w:caps w:val="false"/>
          <w:smallCaps w:val="false"/>
          <w:sz w:val="20"/>
        </w:rPr>
        <w:t xml:space="preserve"> intellectual property relating to use of the study drug),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maintain adequate insurance coverage, the premiums may not continue to be commercially justifiable, and coverage limitations or exclusions may leave us exposed to uninsured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maintain insurance coverage, including product liability insurance, protecting many, but not all, of our assets and operations. Our insurance coverage is subject to coverage limits and exclusions and may not be available for all of the risks and hazards to which we are exposed, or the coverage limits may not be sufficient to protect against the full amount of loss.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diminish our liquidity, profitability or 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financial reporting obligations of being a public company and maintaining a dual listing on the TSX and on NASDAQ requires significant company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subject to the public company reporting obligations under the </w:t>
      </w:r>
      <w:r>
        <w:rPr>
          <w:rFonts w:ascii="Times New Roman" w:hAnsi="Times New Roman"/>
          <w:i/>
          <w:caps w:val="false"/>
          <w:smallCaps w:val="false"/>
          <w:sz w:val="20"/>
        </w:rPr>
        <w:t>Exchange Act</w:t>
      </w:r>
      <w:r>
        <w:rPr>
          <w:rFonts w:ascii="Times New Roman" w:hAnsi="Times New Roman"/>
          <w:caps w:val="false"/>
          <w:smallCaps w:val="false"/>
          <w:sz w:val="20"/>
        </w:rPr>
        <w:t xml:space="preserve"> and the rules and regulations regarding corporate governance practices, including those under the Sarbanes-Oxley Act, the Dodd-Frank Act, and the listing requirements of Nasdaq Global Select Market (“NASDAQ”) and the Toronto Stock Exchange (“TSX”). We incur significant legal, accounting, reporting and other expenses in order to maintain a dual listing on both the TSX and NASDAQ. Moreover, our listing on both the TSX and NASDAQ may increase price volatility due to various factors, including the ability to buy or sell common shares, different market conditions in different capital markets and different trading volumes. In addition, low trading volume may increase the price volatility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 a cannabis company, we may be subject to heightened scrutiny in Canada and the United States that could materially adversely impact the liquidity of our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existing operations in the United States, and any future operations, may become the subject of heightened scrutiny by regulators, stock exchanges and other authorities in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heightened risk profile associated with cannabis in the United States, the Canadian Depository for Securities Ltd., or CDS, may implement procedures or protocols that would prohibit or significantly impair the ability of CDS to settle trades for companies that have cannabis businesses or assets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8, 2018, following discussions with the Canadian Securities Administrators and recognized Canadian securities exchanges, the TMX Group, the parent company of CDS, announced the signing of a Memorandum of Understanding (the “TMX MOU”) with Aequitas NEO Exchange Inc., the CSE, the Toronto Stock Exchange, and the TSX Venture Exchange. The TMX MOU outlines the parties’ understanding of Canada’s regulatory framework applicable to the rules, procedures, and regulatory oversight of the exchanges and CDS as it relates to issuers with cannabis-related activities in the United States. The TMX MOU confirms, with respect to the clearing of listed securities, that CDS relies on the exchanges to review the conduct of listed issuers. As a result, there is no CDS ban on the clearing of securities of issuers with cannabis-related activities in the United States. However, there can be no assurances given that this approach to regulation will continue in the future. If such a ban were to be implemented, it could have a material adverse effect on the ability of holders of the common stock to settle trades. In particular, the shares of common stock would become highly illiquid until an alternative was implemented, and investors would have no ability to effect a trade of the common stock through the facilities of a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Tax and accounting requirements may change in ways that are unforeseen to us and we may face difficulty or be unable to implement or comply with any such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maintain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fail to comply.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materially adversely affected by negative impacts on the global economy, capital markets or other geopolitical conditions resulting from the ongoing conflict between Israel and Iran and other terrorist organizations, the invasion of Ukraine by Russia and subsequent sanctions against Russia, Belarus and related individuals and entities and other negative impacts on the global economy.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United States and global markets are experiencing volatility and disruption following the escalation of geopolitical tensions and the invasion of Ukraine by Russia in 2022, and the 2025 Israeli war with Iran. The invasion of Ukraine by Russia and the resulting measures that have been taken, and could be taken in the future, by NATO, the United States, the United Kingdom, the European Union, as well as the ongoing conflict between Israel and Iran, have created global security concerns that could have a lasting impact on regional and global economies. Although the length and impact of these ongoing military conflicts is highly unpredictable, they could lead to market disruptions, including significant volatility in commodity prices, credit and capital markets, as well as supply chain interruptions. Additionally, any escalation of military actions and sanctions could adversely affect the global economy and financial markets and lead to instability and lack of liquidity in capital markets.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of the above mentioned activities, or any other negative impact on the global economy, capital markets or other geopolitical conditions resulting from the Russian invasion of Ukraine and the Israeli war with Iran, could adversely affect our business. The extent and duration of these ongoing conflicts,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“Risk Factors” section, such as those related to the market for our securities, cross-border transactions or our ability to raise equity or debt financing. If these disputes or other matters of global concern continue for an extensive period of time, our operations may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invasion of Ukraine by Russia, and the impact of sanctions against Russia, and the potential for retaliatory acts from Russia, could result in increased cyber-attacks against U.S.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5" w:name="item1b"/>
      <w:bookmarkEnd w:id="5"/>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bookmarkStart w:id="6" w:name="Item_1c"/>
      <w:bookmarkEnd w:id="6"/>
      <w:r>
        <w:rPr>
          <w:rFonts w:ascii="Times New Roman" w:hAnsi="Times New Roman"/>
          <w:b/>
          <w:caps w:val="false"/>
          <w:smallCaps w:val="false"/>
          <w:sz w:val="20"/>
        </w:rPr>
        <w:t>Item 1C. 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Cybersecurity risk, management, and strategy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recognizes that cybersecurity is critical to protecting our systems, data, and operations. We are committed to addressing the significant risks posed by cyber threats by proactively managing the evolving landscape through a comprehensive, enterprise wide approach. Our enterprise risk management framework considers cybersecurity risk alongside other company risks as part of our overall risk assessment process and shares common methodologies, reporting channels and governance processes that apply across the enterprise risk management framework to other legal, compliance, operational, and financial risk areas. The Company is committed to maintaining robust processes to assess, identify and mitigate material risks from cybersecurity threats and to protect against, detect and respond to cybersecurity incidents.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Our business is subject to various cybersecurity risks, including but not limited to, unauthorized access to sensitive data, including customer information and medical information, disruption of operations or supply chain due to cyberattacks, theft or manipulation of intellectual property, such as proprietary strains or cultivation techniques, regulatory non-compliance resulting from cybersecurity breaches, including violations of data privacy laws. To address these risks, we have implemented a comprehensive cybersecurity program, which includes, regular risk assessments and vulnerability testing to identify and remediate potential weaknesses in our infrastructure, deployment of advanced access controls, encryption, and endpoint protection to safeguard sensitive data such as customer and medical information, mandatory annual cybersecurity training and awareness programs for all employees to reduce the risk of social engineering and phishing attacks, and continual monitoring and incident response protocols to detect, contain and respond to cybersecurity incidents in a timely and effective manner. We also have information security and data privacy policies and procedures in place applicable to our directors, officers, employees, contractors and suppliers. Third parties service providers also contribute to our overall cybersecurity. We engage third parties that are cybersecurity experts to support in the design, implementation and continuous improvement of our cybersecurity program.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the date of this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we do not believe any risks from cybersecurity threats, including as a result of any previous cybersecurity incidents, have materially affected or are reasonably likely to materially affect us, including our business strategy, results of operations or financial condition. See “Item </w:t>
      </w:r>
      <w:r>
        <w:rPr>
          <w:rStyle w:val="Emphasis"/>
          <w:rFonts w:ascii="Times New Roman" w:hAnsi="Times New Roman"/>
          <w:caps w:val="false"/>
          <w:smallCaps w:val="false"/>
          <w:sz w:val="20"/>
        </w:rPr>
        <w:t>1A.</w:t>
      </w:r>
      <w:r>
        <w:rPr>
          <w:rFonts w:ascii="Times New Roman" w:hAnsi="Times New Roman"/>
          <w:caps w:val="false"/>
          <w:smallCaps w:val="false"/>
          <w:sz w:val="20"/>
        </w:rPr>
        <w:t xml:space="preserve"> Risk Factors” for further information about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Cybersecurity governance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Cybersecurity is an important part of our risk management processes and is an area of focus for our Board, Chief Information Officer ("CIO") whom reports directly to the Chief Executive Officer, and management team. Our CIO plays a pivotal role in assessing and managing material risks stemming from cybersecurity threats and is primarily responsible for the oversight of our overall cybersecurity risk management program, and coordinates with our external cybersecurity consultants. Additionally, given that cybersecurity risks can impact various areas of responsibility of the Committees of the Board, our Board of Directors oversees cybersecurity risk management and regularly reviews our cybersecurity strategy and initiatives. The Board receives quarterly and as needed updates on cybersecurity matters from the CIO and management on topics including threat landscape developments, incident response readiness, and program enhancements.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is dedicated to maintaining a robust cybersecurity program to safeguard our assets, data, and stakeholders’ interests. We remain vigilant in our efforts to identify, assess, and mitigate cybersecurity risks and are committed to transparency and accountability in our cybersecurity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7" w:name="item2"/>
      <w:bookmarkEnd w:id="7"/>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outlines our principal cultivation, manufacturing, storage facilities and brewpubs by reporting segment as of May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4078"/>
        <w:gridCol w:w="1815"/>
        <w:gridCol w:w="1337"/>
        <w:gridCol w:w="1110"/>
        <w:gridCol w:w="1865"/>
      </w:tblGrid>
      <w:tr>
        <w:trPr/>
        <w:tc>
          <w:tcPr>
            <w:tcW w:w="4078"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Facility and Primary Use</w:t>
            </w:r>
          </w:p>
        </w:tc>
        <w:tc>
          <w:tcPr>
            <w:tcW w:w="1815"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Location</w:t>
            </w:r>
          </w:p>
        </w:tc>
        <w:tc>
          <w:tcPr>
            <w:tcW w:w="1337"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Segment</w:t>
            </w:r>
          </w:p>
        </w:tc>
        <w:tc>
          <w:tcPr>
            <w:tcW w:w="1110"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Owned/ Leased </w:t>
            </w:r>
          </w:p>
        </w:tc>
        <w:tc>
          <w:tcPr>
            <w:tcW w:w="1865"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Approximate Square Footage</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Canada:</w:t>
            </w:r>
          </w:p>
        </w:tc>
        <w:tc>
          <w:tcPr>
            <w:tcW w:w="1815" w:type="dxa"/>
            <w:tcBorders/>
            <w:shd w:fill="CCEEFF" w:val="clear"/>
            <w:tcMar>
              <w:top w:w="0" w:type="dxa"/>
              <w:bottom w:w="0" w:type="dxa"/>
            </w:tcMar>
            <w:vAlign w:val="center"/>
          </w:tcPr>
          <w:p>
            <w:pPr>
              <w:pStyle w:val="TableContents"/>
              <w:bidi w:val="0"/>
              <w:spacing w:before="0" w:after="283"/>
              <w:jc w:val="left"/>
              <w:rPr/>
            </w:pPr>
            <w:r>
              <w:rPr/>
              <w:t> </w:t>
            </w:r>
          </w:p>
        </w:tc>
        <w:tc>
          <w:tcPr>
            <w:tcW w:w="1337" w:type="dxa"/>
            <w:tcBorders/>
            <w:shd w:fill="CCEEFF" w:val="clear"/>
            <w:tcMar>
              <w:top w:w="0" w:type="dxa"/>
              <w:bottom w:w="0" w:type="dxa"/>
            </w:tcMar>
            <w:vAlign w:val="center"/>
          </w:tcPr>
          <w:p>
            <w:pPr>
              <w:pStyle w:val="TableContents"/>
              <w:bidi w:val="0"/>
              <w:spacing w:before="0" w:after="283"/>
              <w:jc w:val="left"/>
              <w:rPr/>
            </w:pPr>
            <w:r>
              <w:rPr/>
              <w:t> </w:t>
            </w:r>
          </w:p>
        </w:tc>
        <w:tc>
          <w:tcPr>
            <w:tcW w:w="1110" w:type="dxa"/>
            <w:tcBorders/>
            <w:shd w:fill="CCEEFF" w:val="clear"/>
            <w:tcMar>
              <w:top w:w="0" w:type="dxa"/>
              <w:bottom w:w="0" w:type="dxa"/>
            </w:tcMar>
            <w:vAlign w:val="center"/>
          </w:tcPr>
          <w:p>
            <w:pPr>
              <w:pStyle w:val="TableContents"/>
              <w:bidi w:val="0"/>
              <w:spacing w:before="0" w:after="283"/>
              <w:jc w:val="left"/>
              <w:rPr/>
            </w:pPr>
            <w:r>
              <w:rPr/>
              <w:t> </w:t>
            </w:r>
          </w:p>
        </w:tc>
        <w:tc>
          <w:tcPr>
            <w:tcW w:w="18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Aphria One (Cannabis Cultivation and Processing)</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Leamington, ON</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1,400,000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Aphria Diamond Ltd. (Cannabis Cultivation)</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Leamington, ON</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CCEEFF" w:val="clear"/>
            <w:tcMar>
              <w:top w:w="0" w:type="dxa"/>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Owned1</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Broken Coast (Cannabis Cultivation)</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Duncan, BC</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FFFFFF" w:val="clear"/>
            <w:tcMar>
              <w:top w:w="0" w:type="dxa"/>
              <w:bottom w:w="0" w:type="dxa"/>
            </w:tcMar>
            <w:vAlign w:val="center"/>
          </w:tcPr>
          <w:p>
            <w:pPr>
              <w:pStyle w:val="TableContents"/>
              <w:bidi w:val="0"/>
              <w:spacing w:lineRule="auto" w:line="288" w:before="0" w:after="283"/>
              <w:jc w:val="left"/>
              <w:rPr/>
            </w:pPr>
            <w:r>
              <w:rPr/>
              <w:t>Owned6</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Avanti (EU-GMP Cannabis Processing and Lab)</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Brampton, ON</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CCEEFF" w:val="clear"/>
            <w:tcMar>
              <w:top w:w="0" w:type="dxa"/>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Owned6</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18,000</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Broken Coast (Cannabis Cultivation)</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Nanaimo, BC</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FFFFFF" w:val="clear"/>
            <w:tcMar>
              <w:top w:w="0" w:type="dxa"/>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Owned2</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 Park Holdings (Cannabis 2.0 Processing)</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London, ON</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134,000</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Manitoba Harvest (Hemp Processing)</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Winnipeg, MB</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w:t>
            </w:r>
          </w:p>
        </w:tc>
        <w:tc>
          <w:tcPr>
            <w:tcW w:w="11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Manitoba Harvest (Hemp Processing)</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 Agathe, MB</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w:t>
            </w:r>
          </w:p>
        </w:tc>
        <w:tc>
          <w:tcPr>
            <w:tcW w:w="11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Hexo Operations Inc. (Cannabis Cultivation and Processing)</w:t>
            </w:r>
          </w:p>
        </w:tc>
        <w:tc>
          <w:tcPr>
            <w:tcW w:w="1815" w:type="dxa"/>
            <w:tcBorders/>
            <w:shd w:fill="FFFFFF" w:val="clear"/>
            <w:tcMar>
              <w:top w:w="0" w:type="dxa"/>
              <w:bottom w:w="0" w:type="dxa"/>
            </w:tcMar>
            <w:vAlign w:val="center"/>
          </w:tcPr>
          <w:p>
            <w:pPr>
              <w:pStyle w:val="TableContents"/>
              <w:bidi w:val="0"/>
              <w:spacing w:before="0" w:after="283"/>
              <w:jc w:val="left"/>
              <w:rPr/>
            </w:pPr>
            <w:r>
              <w:rPr/>
              <w:t>Gatineau, QC</w:t>
            </w:r>
          </w:p>
        </w:tc>
        <w:tc>
          <w:tcPr>
            <w:tcW w:w="1337" w:type="dxa"/>
            <w:tcBorders/>
            <w:shd w:fill="FFFFFF" w:val="clear"/>
            <w:tcMar>
              <w:top w:w="0" w:type="dxa"/>
              <w:bottom w:w="0" w:type="dxa"/>
            </w:tcMar>
            <w:vAlign w:val="center"/>
          </w:tcPr>
          <w:p>
            <w:pPr>
              <w:pStyle w:val="TableContents"/>
              <w:bidi w:val="0"/>
              <w:spacing w:before="0" w:after="283"/>
              <w:jc w:val="left"/>
              <w:rPr/>
            </w:pPr>
            <w:r>
              <w:rPr/>
              <w:t>Cannabis</w:t>
            </w:r>
          </w:p>
        </w:tc>
        <w:tc>
          <w:tcPr>
            <w:tcW w:w="1110" w:type="dxa"/>
            <w:tcBorders/>
            <w:shd w:fill="FFFFFF" w:val="clear"/>
            <w:tcMar>
              <w:top w:w="0" w:type="dxa"/>
              <w:bottom w:w="0" w:type="dxa"/>
            </w:tcMar>
            <w:vAlign w:val="center"/>
          </w:tcPr>
          <w:p>
            <w:pPr>
              <w:pStyle w:val="TableContents"/>
              <w:bidi w:val="0"/>
              <w:spacing w:before="0" w:after="283"/>
              <w:jc w:val="left"/>
              <w:rPr/>
            </w:pPr>
            <w:r>
              <w:rPr/>
              <w:t>Owned</w:t>
            </w:r>
          </w:p>
        </w:tc>
        <w:tc>
          <w:tcPr>
            <w:tcW w:w="1865" w:type="dxa"/>
            <w:tcBorders/>
            <w:shd w:fill="FFFFFF" w:val="clear"/>
            <w:tcMar>
              <w:top w:w="0" w:type="dxa"/>
              <w:bottom w:w="0" w:type="dxa"/>
            </w:tcMar>
            <w:vAlign w:val="center"/>
          </w:tcPr>
          <w:p>
            <w:pPr>
              <w:pStyle w:val="TableContents"/>
              <w:bidi w:val="0"/>
              <w:spacing w:before="0" w:after="283"/>
              <w:jc w:val="right"/>
              <w:rPr/>
            </w:pPr>
            <w:r>
              <w:rPr/>
              <w:t>1,292,000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Redecan (Cannabis Cultivation and Processing)</w:t>
            </w:r>
          </w:p>
        </w:tc>
        <w:tc>
          <w:tcPr>
            <w:tcW w:w="1815" w:type="dxa"/>
            <w:tcBorders/>
            <w:shd w:fill="CCEEFF" w:val="clear"/>
            <w:tcMar>
              <w:top w:w="0" w:type="dxa"/>
              <w:bottom w:w="0" w:type="dxa"/>
            </w:tcMar>
            <w:vAlign w:val="center"/>
          </w:tcPr>
          <w:p>
            <w:pPr>
              <w:pStyle w:val="TableContents"/>
              <w:bidi w:val="0"/>
              <w:spacing w:before="0" w:after="283"/>
              <w:jc w:val="left"/>
              <w:rPr/>
            </w:pPr>
            <w:r>
              <w:rPr/>
              <w:t>Fenwick, ON</w:t>
            </w:r>
          </w:p>
        </w:tc>
        <w:tc>
          <w:tcPr>
            <w:tcW w:w="1337" w:type="dxa"/>
            <w:tcBorders/>
            <w:shd w:fill="CCEEFF" w:val="clear"/>
            <w:tcMar>
              <w:top w:w="0" w:type="dxa"/>
              <w:bottom w:w="0" w:type="dxa"/>
            </w:tcMar>
            <w:vAlign w:val="center"/>
          </w:tcPr>
          <w:p>
            <w:pPr>
              <w:pStyle w:val="TableContents"/>
              <w:bidi w:val="0"/>
              <w:spacing w:before="0" w:after="283"/>
              <w:jc w:val="left"/>
              <w:rPr/>
            </w:pPr>
            <w:r>
              <w:rPr/>
              <w:t>Cannabis</w:t>
            </w:r>
          </w:p>
        </w:tc>
        <w:tc>
          <w:tcPr>
            <w:tcW w:w="1110" w:type="dxa"/>
            <w:tcBorders/>
            <w:shd w:fill="CCEEFF" w:val="clear"/>
            <w:tcMar>
              <w:top w:w="0" w:type="dxa"/>
              <w:bottom w:w="0" w:type="dxa"/>
            </w:tcMar>
            <w:vAlign w:val="center"/>
          </w:tcPr>
          <w:p>
            <w:pPr>
              <w:pStyle w:val="TableContents"/>
              <w:bidi w:val="0"/>
              <w:spacing w:before="0" w:after="283"/>
              <w:jc w:val="left"/>
              <w:rPr/>
            </w:pPr>
            <w:r>
              <w:rPr/>
              <w:t>Owned</w:t>
            </w:r>
          </w:p>
        </w:tc>
        <w:tc>
          <w:tcPr>
            <w:tcW w:w="1865" w:type="dxa"/>
            <w:tcBorders/>
            <w:shd w:fill="CCEEFF" w:val="clear"/>
            <w:tcMar>
              <w:top w:w="0" w:type="dxa"/>
              <w:bottom w:w="0" w:type="dxa"/>
            </w:tcMar>
            <w:vAlign w:val="center"/>
          </w:tcPr>
          <w:p>
            <w:pPr>
              <w:pStyle w:val="TableContents"/>
              <w:bidi w:val="0"/>
              <w:spacing w:before="0" w:after="283"/>
              <w:jc w:val="right"/>
              <w:rPr/>
            </w:pPr>
            <w:r>
              <w:rPr/>
              <w:t>400,000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Redecan (Cannabis Cultivation and Processing)</w:t>
            </w:r>
          </w:p>
        </w:tc>
        <w:tc>
          <w:tcPr>
            <w:tcW w:w="1815" w:type="dxa"/>
            <w:tcBorders/>
            <w:shd w:fill="FFFFFF" w:val="clear"/>
            <w:tcMar>
              <w:top w:w="0" w:type="dxa"/>
              <w:bottom w:w="0" w:type="dxa"/>
            </w:tcMar>
            <w:vAlign w:val="center"/>
          </w:tcPr>
          <w:p>
            <w:pPr>
              <w:pStyle w:val="TableContents"/>
              <w:bidi w:val="0"/>
              <w:spacing w:before="0" w:after="283"/>
              <w:jc w:val="left"/>
              <w:rPr/>
            </w:pPr>
            <w:r>
              <w:rPr/>
              <w:t>Cayuga, ON</w:t>
            </w:r>
          </w:p>
        </w:tc>
        <w:tc>
          <w:tcPr>
            <w:tcW w:w="1337" w:type="dxa"/>
            <w:tcBorders/>
            <w:shd w:fill="FFFFFF" w:val="clear"/>
            <w:tcMar>
              <w:top w:w="0" w:type="dxa"/>
              <w:bottom w:w="0" w:type="dxa"/>
            </w:tcMar>
            <w:vAlign w:val="center"/>
          </w:tcPr>
          <w:p>
            <w:pPr>
              <w:pStyle w:val="TableContents"/>
              <w:bidi w:val="0"/>
              <w:spacing w:before="0" w:after="283"/>
              <w:jc w:val="left"/>
              <w:rPr/>
            </w:pPr>
            <w:r>
              <w:rPr/>
              <w:t>Cannabis</w:t>
            </w:r>
          </w:p>
        </w:tc>
        <w:tc>
          <w:tcPr>
            <w:tcW w:w="1110" w:type="dxa"/>
            <w:tcBorders/>
            <w:shd w:fill="FFFFFF" w:val="clear"/>
            <w:tcMar>
              <w:top w:w="0" w:type="dxa"/>
              <w:bottom w:w="0" w:type="dxa"/>
            </w:tcMar>
            <w:vAlign w:val="center"/>
          </w:tcPr>
          <w:p>
            <w:pPr>
              <w:pStyle w:val="TableContents"/>
              <w:bidi w:val="0"/>
              <w:spacing w:lineRule="auto" w:line="288" w:before="0" w:after="283"/>
              <w:jc w:val="left"/>
              <w:rPr/>
            </w:pPr>
            <w:r>
              <w:rPr/>
              <w:t>Owned5</w:t>
            </w:r>
          </w:p>
        </w:tc>
        <w:tc>
          <w:tcPr>
            <w:tcW w:w="1865" w:type="dxa"/>
            <w:tcBorders/>
            <w:shd w:fill="FFFFFF" w:val="clear"/>
            <w:tcMar>
              <w:top w:w="0" w:type="dxa"/>
              <w:bottom w:w="0" w:type="dxa"/>
            </w:tcMar>
            <w:vAlign w:val="center"/>
          </w:tcPr>
          <w:p>
            <w:pPr>
              <w:pStyle w:val="TableContents"/>
              <w:bidi w:val="0"/>
              <w:spacing w:before="0" w:after="283"/>
              <w:jc w:val="right"/>
              <w:rPr/>
            </w:pPr>
            <w:r>
              <w:rPr/>
              <w:t>1,644,000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 </w:t>
            </w:r>
          </w:p>
        </w:tc>
        <w:tc>
          <w:tcPr>
            <w:tcW w:w="1815" w:type="dxa"/>
            <w:tcBorders/>
            <w:shd w:fill="CCEEFF" w:val="clear"/>
            <w:tcMar>
              <w:top w:w="0" w:type="dxa"/>
              <w:bottom w:w="0" w:type="dxa"/>
            </w:tcMar>
            <w:vAlign w:val="center"/>
          </w:tcPr>
          <w:p>
            <w:pPr>
              <w:pStyle w:val="TableContents"/>
              <w:bidi w:val="0"/>
              <w:spacing w:before="0" w:after="283"/>
              <w:jc w:val="left"/>
              <w:rPr/>
            </w:pPr>
            <w:r>
              <w:rPr/>
              <w:t> </w:t>
            </w:r>
          </w:p>
        </w:tc>
        <w:tc>
          <w:tcPr>
            <w:tcW w:w="1337" w:type="dxa"/>
            <w:tcBorders/>
            <w:shd w:fill="CCEEFF" w:val="clear"/>
            <w:tcMar>
              <w:top w:w="0" w:type="dxa"/>
              <w:bottom w:w="0" w:type="dxa"/>
            </w:tcMar>
            <w:vAlign w:val="center"/>
          </w:tcPr>
          <w:p>
            <w:pPr>
              <w:pStyle w:val="TableContents"/>
              <w:bidi w:val="0"/>
              <w:spacing w:before="0" w:after="283"/>
              <w:jc w:val="left"/>
              <w:rPr/>
            </w:pPr>
            <w:r>
              <w:rPr/>
              <w:t> </w:t>
            </w:r>
          </w:p>
        </w:tc>
        <w:tc>
          <w:tcPr>
            <w:tcW w:w="1110" w:type="dxa"/>
            <w:tcBorders/>
            <w:shd w:fill="CCEEFF" w:val="clear"/>
            <w:tcMar>
              <w:top w:w="0" w:type="dxa"/>
              <w:bottom w:w="0" w:type="dxa"/>
            </w:tcMar>
            <w:vAlign w:val="center"/>
          </w:tcPr>
          <w:p>
            <w:pPr>
              <w:pStyle w:val="TableContents"/>
              <w:bidi w:val="0"/>
              <w:spacing w:before="0" w:after="283"/>
              <w:jc w:val="left"/>
              <w:rPr/>
            </w:pPr>
            <w:r>
              <w:rPr/>
              <w:t> </w:t>
            </w:r>
          </w:p>
        </w:tc>
        <w:tc>
          <w:tcPr>
            <w:tcW w:w="18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United States: </w:t>
            </w:r>
          </w:p>
        </w:tc>
        <w:tc>
          <w:tcPr>
            <w:tcW w:w="1815" w:type="dxa"/>
            <w:tcBorders/>
            <w:shd w:fill="FFFFFF" w:val="clear"/>
            <w:tcMar>
              <w:top w:w="0" w:type="dxa"/>
              <w:bottom w:w="0" w:type="dxa"/>
            </w:tcMar>
            <w:vAlign w:val="center"/>
          </w:tcPr>
          <w:p>
            <w:pPr>
              <w:pStyle w:val="TableContents"/>
              <w:bidi w:val="0"/>
              <w:spacing w:before="0" w:after="283"/>
              <w:jc w:val="left"/>
              <w:rPr/>
            </w:pPr>
            <w:r>
              <w:rPr/>
              <w:t> </w:t>
            </w:r>
          </w:p>
        </w:tc>
        <w:tc>
          <w:tcPr>
            <w:tcW w:w="1337" w:type="dxa"/>
            <w:tcBorders/>
            <w:shd w:fill="FFFFFF" w:val="clear"/>
            <w:tcMar>
              <w:top w:w="0" w:type="dxa"/>
              <w:bottom w:w="0" w:type="dxa"/>
            </w:tcMar>
            <w:vAlign w:val="center"/>
          </w:tcPr>
          <w:p>
            <w:pPr>
              <w:pStyle w:val="TableContents"/>
              <w:bidi w:val="0"/>
              <w:spacing w:before="0" w:after="283"/>
              <w:jc w:val="left"/>
              <w:rPr/>
            </w:pPr>
            <w:r>
              <w:rPr/>
              <w:t> </w:t>
            </w:r>
          </w:p>
        </w:tc>
        <w:tc>
          <w:tcPr>
            <w:tcW w:w="1110" w:type="dxa"/>
            <w:tcBorders/>
            <w:shd w:fill="FFFFFF" w:val="clear"/>
            <w:tcMar>
              <w:top w:w="0" w:type="dxa"/>
              <w:bottom w:w="0" w:type="dxa"/>
            </w:tcMar>
            <w:vAlign w:val="center"/>
          </w:tcPr>
          <w:p>
            <w:pPr>
              <w:pStyle w:val="TableContents"/>
              <w:bidi w:val="0"/>
              <w:spacing w:before="0" w:after="283"/>
              <w:jc w:val="left"/>
              <w:rPr/>
            </w:pPr>
            <w:r>
              <w:rPr/>
              <w:t> </w:t>
            </w:r>
          </w:p>
        </w:tc>
        <w:tc>
          <w:tcPr>
            <w:tcW w:w="18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SweetWater Brewery (Craft Brewery)</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Atlanta, GA</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w:t>
            </w:r>
          </w:p>
        </w:tc>
        <w:tc>
          <w:tcPr>
            <w:tcW w:w="11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158,000</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SweetWater Colorado (Craft Brewery)</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Collins, CO</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w:t>
            </w:r>
          </w:p>
        </w:tc>
        <w:tc>
          <w:tcPr>
            <w:tcW w:w="11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Breckenridge Distillery (Craft Distillery)</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Breckenridge, CO</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w:t>
            </w:r>
          </w:p>
        </w:tc>
        <w:tc>
          <w:tcPr>
            <w:tcW w:w="11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Breckenridge Distillery Warehouse (Storage)</w:t>
            </w:r>
          </w:p>
        </w:tc>
        <w:tc>
          <w:tcPr>
            <w:tcW w:w="1815" w:type="dxa"/>
            <w:tcBorders/>
            <w:shd w:fill="FFFFFF" w:val="clear"/>
            <w:tcMar>
              <w:top w:w="0" w:type="dxa"/>
              <w:bottom w:w="0" w:type="dxa"/>
            </w:tcMar>
            <w:vAlign w:val="center"/>
          </w:tcPr>
          <w:p>
            <w:pPr>
              <w:pStyle w:val="TableContents"/>
              <w:bidi w:val="0"/>
              <w:spacing w:before="0" w:after="283"/>
              <w:jc w:val="left"/>
              <w:rPr/>
            </w:pPr>
            <w:r>
              <w:rPr/>
              <w:t>Denver, CO</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Owned</w:t>
            </w:r>
          </w:p>
        </w:tc>
        <w:tc>
          <w:tcPr>
            <w:tcW w:w="1865" w:type="dxa"/>
            <w:tcBorders/>
            <w:shd w:fill="FFFFFF" w:val="clear"/>
            <w:tcMar>
              <w:top w:w="0" w:type="dxa"/>
              <w:bottom w:w="0" w:type="dxa"/>
            </w:tcMar>
            <w:vAlign w:val="center"/>
          </w:tcPr>
          <w:p>
            <w:pPr>
              <w:pStyle w:val="TableContents"/>
              <w:bidi w:val="0"/>
              <w:spacing w:before="0" w:after="283"/>
              <w:jc w:val="right"/>
              <w:rPr/>
            </w:pPr>
            <w:r>
              <w:rPr/>
              <w:t>75,000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Montauk Brewing Company (Brewery/Pub facility)</w:t>
            </w:r>
          </w:p>
        </w:tc>
        <w:tc>
          <w:tcPr>
            <w:tcW w:w="1815" w:type="dxa"/>
            <w:tcBorders/>
            <w:shd w:fill="CCEEFF" w:val="clear"/>
            <w:tcMar>
              <w:top w:w="0" w:type="dxa"/>
              <w:bottom w:w="0" w:type="dxa"/>
            </w:tcMar>
            <w:vAlign w:val="center"/>
          </w:tcPr>
          <w:p>
            <w:pPr>
              <w:pStyle w:val="TableContents"/>
              <w:bidi w:val="0"/>
              <w:spacing w:before="0" w:after="283"/>
              <w:jc w:val="left"/>
              <w:rPr/>
            </w:pPr>
            <w:r>
              <w:rPr/>
              <w:t>Montauk, NY</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4,000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Fort Collins (Warehouse - Inactive)</w:t>
            </w:r>
          </w:p>
        </w:tc>
        <w:tc>
          <w:tcPr>
            <w:tcW w:w="1815" w:type="dxa"/>
            <w:tcBorders/>
            <w:shd w:fill="FFFFFF" w:val="clear"/>
            <w:tcMar>
              <w:top w:w="0" w:type="dxa"/>
              <w:bottom w:w="0" w:type="dxa"/>
            </w:tcMar>
            <w:vAlign w:val="center"/>
          </w:tcPr>
          <w:p>
            <w:pPr>
              <w:pStyle w:val="TableContents"/>
              <w:bidi w:val="0"/>
              <w:spacing w:before="0" w:after="283"/>
              <w:jc w:val="left"/>
              <w:rPr/>
            </w:pPr>
            <w:r>
              <w:rPr/>
              <w:t>Fort Collins, CO</w:t>
            </w:r>
          </w:p>
        </w:tc>
        <w:tc>
          <w:tcPr>
            <w:tcW w:w="1337" w:type="dxa"/>
            <w:tcBorders/>
            <w:shd w:fill="FFFFFF" w:val="clear"/>
            <w:tcMar>
              <w:top w:w="0" w:type="dxa"/>
              <w:bottom w:w="0" w:type="dxa"/>
            </w:tcMar>
            <w:vAlign w:val="center"/>
          </w:tcPr>
          <w:p>
            <w:pPr>
              <w:pStyle w:val="TableContents"/>
              <w:bidi w:val="0"/>
              <w:spacing w:before="0" w:after="283"/>
              <w:jc w:val="left"/>
              <w:rPr/>
            </w:pPr>
            <w:r>
              <w:rPr/>
              <w:t>N/A</w:t>
            </w:r>
          </w:p>
        </w:tc>
        <w:tc>
          <w:tcPr>
            <w:tcW w:w="1110" w:type="dxa"/>
            <w:tcBorders/>
            <w:shd w:fill="FFFFFF" w:val="clear"/>
            <w:tcMar>
              <w:top w:w="0" w:type="dxa"/>
              <w:bottom w:w="0" w:type="dxa"/>
            </w:tcMar>
            <w:vAlign w:val="center"/>
          </w:tcPr>
          <w:p>
            <w:pPr>
              <w:pStyle w:val="TableContents"/>
              <w:bidi w:val="0"/>
              <w:spacing w:lineRule="auto" w:line="288" w:before="0" w:after="283"/>
              <w:jc w:val="left"/>
              <w:rPr/>
            </w:pPr>
            <w:r>
              <w:rPr/>
              <w:t>Owned4</w:t>
            </w:r>
          </w:p>
        </w:tc>
        <w:tc>
          <w:tcPr>
            <w:tcW w:w="1865" w:type="dxa"/>
            <w:tcBorders/>
            <w:shd w:fill="FFFFFF" w:val="clear"/>
            <w:tcMar>
              <w:top w:w="0" w:type="dxa"/>
              <w:bottom w:w="0" w:type="dxa"/>
            </w:tcMar>
            <w:vAlign w:val="center"/>
          </w:tcPr>
          <w:p>
            <w:pPr>
              <w:pStyle w:val="TableContents"/>
              <w:bidi w:val="0"/>
              <w:spacing w:before="0" w:after="283"/>
              <w:jc w:val="right"/>
              <w:rPr/>
            </w:pPr>
            <w:r>
              <w:rPr/>
              <w:t>50,000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Breckenridge Brewery, LLC (Brewery/Pub facility)</w:t>
            </w:r>
          </w:p>
        </w:tc>
        <w:tc>
          <w:tcPr>
            <w:tcW w:w="1815" w:type="dxa"/>
            <w:tcBorders/>
            <w:shd w:fill="CCEEFF" w:val="clear"/>
            <w:tcMar>
              <w:top w:w="0" w:type="dxa"/>
              <w:bottom w:w="0" w:type="dxa"/>
            </w:tcMar>
            <w:vAlign w:val="center"/>
          </w:tcPr>
          <w:p>
            <w:pPr>
              <w:pStyle w:val="TableContents"/>
              <w:bidi w:val="0"/>
              <w:spacing w:before="0" w:after="283"/>
              <w:jc w:val="left"/>
              <w:rPr/>
            </w:pPr>
            <w:r>
              <w:rPr/>
              <w:t>Littleton, CO</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Owned</w:t>
            </w:r>
          </w:p>
        </w:tc>
        <w:tc>
          <w:tcPr>
            <w:tcW w:w="1865" w:type="dxa"/>
            <w:tcBorders/>
            <w:shd w:fill="CCEEFF" w:val="clear"/>
            <w:tcMar>
              <w:top w:w="0" w:type="dxa"/>
              <w:bottom w:w="0" w:type="dxa"/>
            </w:tcMar>
            <w:vAlign w:val="center"/>
          </w:tcPr>
          <w:p>
            <w:pPr>
              <w:pStyle w:val="TableContents"/>
              <w:bidi w:val="0"/>
              <w:spacing w:before="0" w:after="283"/>
              <w:jc w:val="right"/>
              <w:rPr/>
            </w:pPr>
            <w:r>
              <w:rPr/>
              <w:t>450,000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Breckenridge Brewery, LLC (Brewpub)</w:t>
            </w:r>
          </w:p>
        </w:tc>
        <w:tc>
          <w:tcPr>
            <w:tcW w:w="1815" w:type="dxa"/>
            <w:tcBorders/>
            <w:shd w:fill="FFFFFF" w:val="clear"/>
            <w:tcMar>
              <w:top w:w="0" w:type="dxa"/>
              <w:bottom w:w="0" w:type="dxa"/>
            </w:tcMar>
            <w:vAlign w:val="center"/>
          </w:tcPr>
          <w:p>
            <w:pPr>
              <w:pStyle w:val="TableContents"/>
              <w:bidi w:val="0"/>
              <w:spacing w:before="0" w:after="283"/>
              <w:jc w:val="left"/>
              <w:rPr/>
            </w:pPr>
            <w:r>
              <w:rPr/>
              <w:t>Littleton, CO</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Owned</w:t>
            </w:r>
          </w:p>
        </w:tc>
        <w:tc>
          <w:tcPr>
            <w:tcW w:w="1865" w:type="dxa"/>
            <w:tcBorders/>
            <w:shd w:fill="FFFFFF" w:val="clear"/>
            <w:tcMar>
              <w:top w:w="0" w:type="dxa"/>
              <w:bottom w:w="0" w:type="dxa"/>
            </w:tcMar>
            <w:vAlign w:val="center"/>
          </w:tcPr>
          <w:p>
            <w:pPr>
              <w:pStyle w:val="TableContents"/>
              <w:bidi w:val="0"/>
              <w:spacing w:before="0" w:after="283"/>
              <w:jc w:val="right"/>
              <w:rPr/>
            </w:pPr>
            <w:r>
              <w:rPr/>
              <w:t>2,500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Craft Brew Alliance, Inc. (Craft Brewery)</w:t>
            </w:r>
          </w:p>
        </w:tc>
        <w:tc>
          <w:tcPr>
            <w:tcW w:w="1815" w:type="dxa"/>
            <w:tcBorders/>
            <w:shd w:fill="CCEEFF" w:val="clear"/>
            <w:tcMar>
              <w:top w:w="0" w:type="dxa"/>
              <w:bottom w:w="0" w:type="dxa"/>
            </w:tcMar>
            <w:vAlign w:val="center"/>
          </w:tcPr>
          <w:p>
            <w:pPr>
              <w:pStyle w:val="TableContents"/>
              <w:bidi w:val="0"/>
              <w:spacing w:before="0" w:after="283"/>
              <w:jc w:val="left"/>
              <w:rPr/>
            </w:pPr>
            <w:r>
              <w:rPr/>
              <w:t>Portland, OR</w:t>
            </w:r>
          </w:p>
        </w:tc>
        <w:tc>
          <w:tcPr>
            <w:tcW w:w="1337" w:type="dxa"/>
            <w:tcBorders/>
            <w:shd w:fill="CCEEFF" w:val="clear"/>
            <w:tcMar>
              <w:top w:w="0" w:type="dxa"/>
              <w:bottom w:w="0" w:type="dxa"/>
            </w:tcMar>
            <w:vAlign w:val="center"/>
          </w:tcPr>
          <w:p>
            <w:pPr>
              <w:pStyle w:val="TableContents"/>
              <w:bidi w:val="0"/>
              <w:spacing w:before="0" w:after="283"/>
              <w:jc w:val="left"/>
              <w:rPr/>
            </w:pPr>
            <w:r>
              <w:rPr/>
              <w:t>Beverage</w:t>
            </w:r>
          </w:p>
        </w:tc>
        <w:tc>
          <w:tcPr>
            <w:tcW w:w="1110" w:type="dxa"/>
            <w:tcBorders/>
            <w:shd w:fill="CCEEFF" w:val="clear"/>
            <w:tcMar>
              <w:top w:w="0" w:type="dxa"/>
              <w:bottom w:w="0" w:type="dxa"/>
            </w:tcMar>
            <w:vAlign w:val="center"/>
          </w:tcPr>
          <w:p>
            <w:pPr>
              <w:pStyle w:val="TableContents"/>
              <w:bidi w:val="0"/>
              <w:spacing w:before="0" w:after="283"/>
              <w:jc w:val="left"/>
              <w:rPr/>
            </w:pPr>
            <w:r>
              <w:rPr/>
              <w:t>Owned</w:t>
            </w:r>
          </w:p>
        </w:tc>
        <w:tc>
          <w:tcPr>
            <w:tcW w:w="1865" w:type="dxa"/>
            <w:tcBorders/>
            <w:shd w:fill="CCEEFF" w:val="clear"/>
            <w:tcMar>
              <w:top w:w="0" w:type="dxa"/>
              <w:bottom w:w="0" w:type="dxa"/>
            </w:tcMar>
            <w:vAlign w:val="center"/>
          </w:tcPr>
          <w:p>
            <w:pPr>
              <w:pStyle w:val="TableContents"/>
              <w:bidi w:val="0"/>
              <w:spacing w:before="0" w:after="283"/>
              <w:jc w:val="right"/>
              <w:rPr/>
            </w:pPr>
            <w:r>
              <w:rPr/>
              <w:t>82,000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BBI Acquisition Co. (Brewpub)</w:t>
            </w:r>
          </w:p>
        </w:tc>
        <w:tc>
          <w:tcPr>
            <w:tcW w:w="1815" w:type="dxa"/>
            <w:tcBorders/>
            <w:shd w:fill="FFFFFF" w:val="clear"/>
            <w:tcMar>
              <w:top w:w="0" w:type="dxa"/>
              <w:bottom w:w="0" w:type="dxa"/>
            </w:tcMar>
            <w:vAlign w:val="center"/>
          </w:tcPr>
          <w:p>
            <w:pPr>
              <w:pStyle w:val="TableContents"/>
              <w:bidi w:val="0"/>
              <w:spacing w:before="0" w:after="283"/>
              <w:jc w:val="left"/>
              <w:rPr/>
            </w:pPr>
            <w:r>
              <w:rPr/>
              <w:t>Breckenridge, CO</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8,000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Blue Point Brewing Company, Inc. (Distribution)</w:t>
            </w:r>
          </w:p>
        </w:tc>
        <w:tc>
          <w:tcPr>
            <w:tcW w:w="1815" w:type="dxa"/>
            <w:tcBorders/>
            <w:shd w:fill="CCEEFF" w:val="clear"/>
            <w:tcMar>
              <w:top w:w="0" w:type="dxa"/>
              <w:bottom w:w="0" w:type="dxa"/>
            </w:tcMar>
            <w:vAlign w:val="center"/>
          </w:tcPr>
          <w:p>
            <w:pPr>
              <w:pStyle w:val="TableContents"/>
              <w:bidi w:val="0"/>
              <w:spacing w:before="0" w:after="283"/>
              <w:jc w:val="left"/>
              <w:rPr/>
            </w:pPr>
            <w:r>
              <w:rPr/>
              <w:t>Patchogue, NY</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54,000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Blue Point Brewing Company, Inc. (Storage)</w:t>
            </w:r>
          </w:p>
        </w:tc>
        <w:tc>
          <w:tcPr>
            <w:tcW w:w="1815" w:type="dxa"/>
            <w:tcBorders/>
            <w:shd w:fill="FFFFFF" w:val="clear"/>
            <w:tcMar>
              <w:top w:w="0" w:type="dxa"/>
              <w:bottom w:w="0" w:type="dxa"/>
            </w:tcMar>
            <w:vAlign w:val="center"/>
          </w:tcPr>
          <w:p>
            <w:pPr>
              <w:pStyle w:val="TableContents"/>
              <w:bidi w:val="0"/>
              <w:spacing w:before="0" w:after="283"/>
              <w:jc w:val="left"/>
              <w:rPr/>
            </w:pPr>
            <w:r>
              <w:rPr/>
              <w:t>Patchogue, NY</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20,000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10 Barrel Brewing (Brewpub)</w:t>
            </w:r>
          </w:p>
        </w:tc>
        <w:tc>
          <w:tcPr>
            <w:tcW w:w="1815" w:type="dxa"/>
            <w:tcBorders/>
            <w:shd w:fill="CCEEFF" w:val="clear"/>
            <w:tcMar>
              <w:top w:w="0" w:type="dxa"/>
              <w:bottom w:w="0" w:type="dxa"/>
            </w:tcMar>
            <w:vAlign w:val="center"/>
          </w:tcPr>
          <w:p>
            <w:pPr>
              <w:pStyle w:val="TableContents"/>
              <w:bidi w:val="0"/>
              <w:spacing w:before="0" w:after="283"/>
              <w:jc w:val="left"/>
              <w:rPr/>
            </w:pPr>
            <w:r>
              <w:rPr/>
              <w:t>Bend, OR</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4,000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10 Barrel Brewing, LLC (Brewpub)</w:t>
            </w:r>
          </w:p>
        </w:tc>
        <w:tc>
          <w:tcPr>
            <w:tcW w:w="1815" w:type="dxa"/>
            <w:tcBorders/>
            <w:shd w:fill="FFFFFF" w:val="clear"/>
            <w:tcMar>
              <w:top w:w="0" w:type="dxa"/>
              <w:bottom w:w="0" w:type="dxa"/>
            </w:tcMar>
            <w:vAlign w:val="center"/>
          </w:tcPr>
          <w:p>
            <w:pPr>
              <w:pStyle w:val="TableContents"/>
              <w:bidi w:val="0"/>
              <w:spacing w:before="0" w:after="283"/>
              <w:jc w:val="left"/>
              <w:rPr/>
            </w:pPr>
            <w:r>
              <w:rPr/>
              <w:t>Portland, OR</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8,000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10 Barrel Brewing, LLC (Storage)</w:t>
            </w:r>
          </w:p>
        </w:tc>
        <w:tc>
          <w:tcPr>
            <w:tcW w:w="1815" w:type="dxa"/>
            <w:tcBorders/>
            <w:shd w:fill="CCEEFF" w:val="clear"/>
            <w:tcMar>
              <w:top w:w="0" w:type="dxa"/>
              <w:bottom w:w="0" w:type="dxa"/>
            </w:tcMar>
            <w:vAlign w:val="center"/>
          </w:tcPr>
          <w:p>
            <w:pPr>
              <w:pStyle w:val="TableContents"/>
              <w:bidi w:val="0"/>
              <w:spacing w:before="0" w:after="283"/>
              <w:jc w:val="left"/>
              <w:rPr/>
            </w:pPr>
            <w:r>
              <w:rPr/>
              <w:t>Bend, OR</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4,000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10 Barrel Brewing, LLC (Storage)</w:t>
            </w:r>
          </w:p>
        </w:tc>
        <w:tc>
          <w:tcPr>
            <w:tcW w:w="1815" w:type="dxa"/>
            <w:tcBorders/>
            <w:shd w:fill="FFFFFF" w:val="clear"/>
            <w:tcMar>
              <w:top w:w="0" w:type="dxa"/>
              <w:bottom w:w="0" w:type="dxa"/>
            </w:tcMar>
            <w:vAlign w:val="center"/>
          </w:tcPr>
          <w:p>
            <w:pPr>
              <w:pStyle w:val="TableContents"/>
              <w:bidi w:val="0"/>
              <w:spacing w:before="0" w:after="283"/>
              <w:jc w:val="left"/>
              <w:rPr/>
            </w:pPr>
            <w:r>
              <w:rPr/>
              <w:t>Bend, OR</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1,930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10 Barrel Brewing, LLC (Processing / Pub facility)</w:t>
            </w:r>
          </w:p>
        </w:tc>
        <w:tc>
          <w:tcPr>
            <w:tcW w:w="1815" w:type="dxa"/>
            <w:tcBorders/>
            <w:shd w:fill="CCEEFF" w:val="clear"/>
            <w:tcMar>
              <w:top w:w="0" w:type="dxa"/>
              <w:bottom w:w="0" w:type="dxa"/>
            </w:tcMar>
            <w:vAlign w:val="center"/>
          </w:tcPr>
          <w:p>
            <w:pPr>
              <w:pStyle w:val="TableContents"/>
              <w:bidi w:val="0"/>
              <w:spacing w:before="0" w:after="283"/>
              <w:jc w:val="left"/>
              <w:rPr/>
            </w:pPr>
            <w:r>
              <w:rPr/>
              <w:t>Bend, OR</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69,000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10 Barrel Brewing, LLC (Craft Brewery)</w:t>
            </w:r>
          </w:p>
        </w:tc>
        <w:tc>
          <w:tcPr>
            <w:tcW w:w="1815" w:type="dxa"/>
            <w:tcBorders/>
            <w:shd w:fill="FFFFFF" w:val="clear"/>
            <w:tcMar>
              <w:top w:w="0" w:type="dxa"/>
              <w:bottom w:w="0" w:type="dxa"/>
            </w:tcMar>
            <w:vAlign w:val="center"/>
          </w:tcPr>
          <w:p>
            <w:pPr>
              <w:pStyle w:val="TableContents"/>
              <w:bidi w:val="0"/>
              <w:spacing w:before="0" w:after="283"/>
              <w:jc w:val="left"/>
              <w:rPr/>
            </w:pPr>
            <w:r>
              <w:rPr/>
              <w:t>Bend, OR</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25,000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10 Barrel Brewing Idaho, LLC (Brewpub)</w:t>
            </w:r>
          </w:p>
        </w:tc>
        <w:tc>
          <w:tcPr>
            <w:tcW w:w="1815" w:type="dxa"/>
            <w:tcBorders/>
            <w:shd w:fill="CCEEFF" w:val="clear"/>
            <w:tcMar>
              <w:top w:w="0" w:type="dxa"/>
              <w:bottom w:w="0" w:type="dxa"/>
            </w:tcMar>
            <w:vAlign w:val="center"/>
          </w:tcPr>
          <w:p>
            <w:pPr>
              <w:pStyle w:val="TableContents"/>
              <w:bidi w:val="0"/>
              <w:spacing w:before="0" w:after="283"/>
              <w:jc w:val="left"/>
              <w:rPr/>
            </w:pPr>
            <w:r>
              <w:rPr/>
              <w:t>Boise, ID</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9,000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Redhook (Brewery/Pub facility)</w:t>
            </w:r>
          </w:p>
        </w:tc>
        <w:tc>
          <w:tcPr>
            <w:tcW w:w="1815" w:type="dxa"/>
            <w:tcBorders/>
            <w:shd w:fill="FFFFFF" w:val="clear"/>
            <w:tcMar>
              <w:top w:w="0" w:type="dxa"/>
              <w:bottom w:w="0" w:type="dxa"/>
            </w:tcMar>
            <w:vAlign w:val="center"/>
          </w:tcPr>
          <w:p>
            <w:pPr>
              <w:pStyle w:val="TableContents"/>
              <w:bidi w:val="0"/>
              <w:spacing w:before="0" w:after="283"/>
              <w:jc w:val="left"/>
              <w:rPr/>
            </w:pPr>
            <w:r>
              <w:rPr/>
              <w:t>Seattle, WA</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13,000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Widmer (Craft Brewery)</w:t>
            </w:r>
          </w:p>
        </w:tc>
        <w:tc>
          <w:tcPr>
            <w:tcW w:w="1815" w:type="dxa"/>
            <w:tcBorders/>
            <w:shd w:fill="CCEEFF" w:val="clear"/>
            <w:tcMar>
              <w:top w:w="0" w:type="dxa"/>
              <w:bottom w:w="0" w:type="dxa"/>
            </w:tcMar>
            <w:vAlign w:val="center"/>
          </w:tcPr>
          <w:p>
            <w:pPr>
              <w:pStyle w:val="TableContents"/>
              <w:bidi w:val="0"/>
              <w:spacing w:before="0" w:after="283"/>
              <w:jc w:val="left"/>
              <w:rPr/>
            </w:pPr>
            <w:r>
              <w:rPr/>
              <w:t>Portland, OR</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3,000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Terrapin Beer Company, LLC (Brewery/Pub facility)</w:t>
            </w:r>
          </w:p>
        </w:tc>
        <w:tc>
          <w:tcPr>
            <w:tcW w:w="1815" w:type="dxa"/>
            <w:tcBorders/>
            <w:shd w:fill="FFFFFF" w:val="clear"/>
            <w:tcMar>
              <w:top w:w="0" w:type="dxa"/>
              <w:bottom w:w="0" w:type="dxa"/>
            </w:tcMar>
            <w:vAlign w:val="center"/>
          </w:tcPr>
          <w:p>
            <w:pPr>
              <w:pStyle w:val="TableContents"/>
              <w:bidi w:val="0"/>
              <w:spacing w:before="0" w:after="283"/>
              <w:jc w:val="left"/>
              <w:rPr/>
            </w:pPr>
            <w:r>
              <w:rPr/>
              <w:t>Athens, GA</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Owned</w:t>
            </w:r>
          </w:p>
        </w:tc>
        <w:tc>
          <w:tcPr>
            <w:tcW w:w="1865" w:type="dxa"/>
            <w:tcBorders/>
            <w:shd w:fill="FFFFFF" w:val="clear"/>
            <w:tcMar>
              <w:top w:w="0" w:type="dxa"/>
              <w:bottom w:w="0" w:type="dxa"/>
            </w:tcMar>
            <w:vAlign w:val="center"/>
          </w:tcPr>
          <w:p>
            <w:pPr>
              <w:pStyle w:val="TableContents"/>
              <w:bidi w:val="0"/>
              <w:spacing w:before="0" w:after="283"/>
              <w:jc w:val="right"/>
              <w:rPr/>
            </w:pPr>
            <w:r>
              <w:rPr/>
              <w:t>100,000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Terrapin Beer Company, LLC (Warehouse / Storage)</w:t>
            </w:r>
          </w:p>
        </w:tc>
        <w:tc>
          <w:tcPr>
            <w:tcW w:w="1815" w:type="dxa"/>
            <w:tcBorders/>
            <w:shd w:fill="CCEEFF" w:val="clear"/>
            <w:tcMar>
              <w:top w:w="0" w:type="dxa"/>
              <w:bottom w:w="0" w:type="dxa"/>
            </w:tcMar>
            <w:vAlign w:val="center"/>
          </w:tcPr>
          <w:p>
            <w:pPr>
              <w:pStyle w:val="TableContents"/>
              <w:bidi w:val="0"/>
              <w:spacing w:before="0" w:after="283"/>
              <w:jc w:val="left"/>
              <w:rPr/>
            </w:pPr>
            <w:r>
              <w:rPr/>
              <w:t>Athens, GA</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Owned</w:t>
            </w:r>
          </w:p>
        </w:tc>
        <w:tc>
          <w:tcPr>
            <w:tcW w:w="1865" w:type="dxa"/>
            <w:tcBorders/>
            <w:shd w:fill="CCEEFF" w:val="clear"/>
            <w:tcMar>
              <w:top w:w="0" w:type="dxa"/>
              <w:bottom w:w="0" w:type="dxa"/>
            </w:tcMar>
            <w:vAlign w:val="center"/>
          </w:tcPr>
          <w:p>
            <w:pPr>
              <w:pStyle w:val="TableContents"/>
              <w:bidi w:val="0"/>
              <w:spacing w:before="0" w:after="283"/>
              <w:jc w:val="right"/>
              <w:rPr/>
            </w:pPr>
            <w:r>
              <w:rPr/>
              <w:t>24,000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Terrapin Beer Company, LLC (Processing / Distribution)</w:t>
            </w:r>
          </w:p>
        </w:tc>
        <w:tc>
          <w:tcPr>
            <w:tcW w:w="1815" w:type="dxa"/>
            <w:tcBorders/>
            <w:shd w:fill="FFFFFF" w:val="clear"/>
            <w:tcMar>
              <w:top w:w="0" w:type="dxa"/>
              <w:bottom w:w="0" w:type="dxa"/>
            </w:tcMar>
            <w:vAlign w:val="center"/>
          </w:tcPr>
          <w:p>
            <w:pPr>
              <w:pStyle w:val="TableContents"/>
              <w:bidi w:val="0"/>
              <w:spacing w:before="0" w:after="283"/>
              <w:jc w:val="left"/>
              <w:rPr/>
            </w:pPr>
            <w:r>
              <w:rPr/>
              <w:t>Athens, GA</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ind w:left="0" w:right="0" w:hanging="0"/>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68,000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Detroit Rivertown Brewing Company, LLC (Brewpub)</w:t>
            </w:r>
          </w:p>
        </w:tc>
        <w:tc>
          <w:tcPr>
            <w:tcW w:w="1815" w:type="dxa"/>
            <w:tcBorders/>
            <w:shd w:fill="CCEEFF" w:val="clear"/>
            <w:tcMar>
              <w:top w:w="0" w:type="dxa"/>
              <w:bottom w:w="0" w:type="dxa"/>
            </w:tcMar>
            <w:vAlign w:val="center"/>
          </w:tcPr>
          <w:p>
            <w:pPr>
              <w:pStyle w:val="TableContents"/>
              <w:bidi w:val="0"/>
              <w:spacing w:before="0" w:after="283"/>
              <w:jc w:val="left"/>
              <w:rPr/>
            </w:pPr>
            <w:r>
              <w:rPr/>
              <w:t>Detroit, MI</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20,000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Liquid GR, LLC (Brewpub)</w:t>
            </w:r>
          </w:p>
        </w:tc>
        <w:tc>
          <w:tcPr>
            <w:tcW w:w="1815" w:type="dxa"/>
            <w:tcBorders/>
            <w:shd w:fill="FFFFFF" w:val="clear"/>
            <w:tcMar>
              <w:top w:w="0" w:type="dxa"/>
              <w:bottom w:w="0" w:type="dxa"/>
            </w:tcMar>
            <w:vAlign w:val="center"/>
          </w:tcPr>
          <w:p>
            <w:pPr>
              <w:pStyle w:val="TableContents"/>
              <w:bidi w:val="0"/>
              <w:spacing w:before="0" w:after="283"/>
              <w:jc w:val="left"/>
              <w:rPr/>
            </w:pPr>
            <w:r>
              <w:rPr/>
              <w:t>Grand Rapids, MI</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6,000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Park Brewing, LLC (Restaurant / Brewpub)</w:t>
            </w:r>
          </w:p>
        </w:tc>
        <w:tc>
          <w:tcPr>
            <w:tcW w:w="1815" w:type="dxa"/>
            <w:tcBorders/>
            <w:shd w:fill="CCEEFF" w:val="clear"/>
            <w:tcMar>
              <w:top w:w="0" w:type="dxa"/>
              <w:bottom w:w="0" w:type="dxa"/>
            </w:tcMar>
            <w:vAlign w:val="center"/>
          </w:tcPr>
          <w:p>
            <w:pPr>
              <w:pStyle w:val="TableContents"/>
              <w:bidi w:val="0"/>
              <w:spacing w:before="0" w:after="283"/>
              <w:jc w:val="left"/>
              <w:rPr/>
            </w:pPr>
            <w:r>
              <w:rPr/>
              <w:t>Grosse Pointe Park, MI</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10,000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McKenzie River Brewing Company, LLC (Brewery/Pub facility)</w:t>
            </w:r>
          </w:p>
        </w:tc>
        <w:tc>
          <w:tcPr>
            <w:tcW w:w="1815" w:type="dxa"/>
            <w:tcBorders/>
            <w:shd w:fill="FFFFFF" w:val="clear"/>
            <w:tcMar>
              <w:top w:w="0" w:type="dxa"/>
              <w:bottom w:w="0" w:type="dxa"/>
            </w:tcMar>
            <w:vAlign w:val="center"/>
          </w:tcPr>
          <w:p>
            <w:pPr>
              <w:pStyle w:val="TableContents"/>
              <w:bidi w:val="0"/>
              <w:spacing w:before="0" w:after="283"/>
              <w:jc w:val="left"/>
              <w:rPr/>
            </w:pPr>
            <w:r>
              <w:rPr/>
              <w:t>Eugene, OR</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Owned</w:t>
            </w:r>
          </w:p>
        </w:tc>
        <w:tc>
          <w:tcPr>
            <w:tcW w:w="1865" w:type="dxa"/>
            <w:tcBorders/>
            <w:shd w:fill="FFFFFF" w:val="clear"/>
            <w:tcMar>
              <w:top w:w="0" w:type="dxa"/>
              <w:bottom w:w="0" w:type="dxa"/>
            </w:tcMar>
            <w:vAlign w:val="center"/>
          </w:tcPr>
          <w:p>
            <w:pPr>
              <w:pStyle w:val="TableContents"/>
              <w:bidi w:val="0"/>
              <w:spacing w:before="0" w:after="283"/>
              <w:jc w:val="right"/>
              <w:rPr/>
            </w:pPr>
            <w:r>
              <w:rPr/>
              <w:t>150,000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McKenzie River Brewing Company, LLC (Restaurant / Brewpub)</w:t>
            </w:r>
          </w:p>
        </w:tc>
        <w:tc>
          <w:tcPr>
            <w:tcW w:w="1815" w:type="dxa"/>
            <w:tcBorders/>
            <w:shd w:fill="CCEEFF" w:val="clear"/>
            <w:tcMar>
              <w:top w:w="0" w:type="dxa"/>
              <w:bottom w:w="0" w:type="dxa"/>
            </w:tcMar>
            <w:vAlign w:val="center"/>
          </w:tcPr>
          <w:p>
            <w:pPr>
              <w:pStyle w:val="TableContents"/>
              <w:bidi w:val="0"/>
              <w:spacing w:before="0" w:after="283"/>
              <w:jc w:val="left"/>
              <w:rPr/>
            </w:pPr>
            <w:r>
              <w:rPr/>
              <w:t>Springfield, OR</w:t>
            </w:r>
          </w:p>
        </w:tc>
        <w:tc>
          <w:tcPr>
            <w:tcW w:w="1337" w:type="dxa"/>
            <w:tcBorders/>
            <w:shd w:fill="CCEEFF" w:val="clear"/>
            <w:tcMar>
              <w:top w:w="0" w:type="dxa"/>
              <w:bottom w:w="0" w:type="dxa"/>
            </w:tcMar>
            <w:vAlign w:val="center"/>
          </w:tcPr>
          <w:p>
            <w:pPr>
              <w:pStyle w:val="TableContents"/>
              <w:bidi w:val="0"/>
              <w:spacing w:before="0" w:after="283"/>
              <w:jc w:val="left"/>
              <w:rPr/>
            </w:pPr>
            <w:r>
              <w:rPr/>
              <w:t>Beverage </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20,000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McKenzie River Brewing Company, LLC (Processing / Distribution)</w:t>
            </w:r>
          </w:p>
        </w:tc>
        <w:tc>
          <w:tcPr>
            <w:tcW w:w="1815" w:type="dxa"/>
            <w:tcBorders/>
            <w:shd w:fill="FFFFFF" w:val="clear"/>
            <w:tcMar>
              <w:top w:w="0" w:type="dxa"/>
              <w:bottom w:w="0" w:type="dxa"/>
            </w:tcMar>
            <w:vAlign w:val="center"/>
          </w:tcPr>
          <w:p>
            <w:pPr>
              <w:pStyle w:val="TableContents"/>
              <w:bidi w:val="0"/>
              <w:spacing w:before="0" w:after="283"/>
              <w:jc w:val="left"/>
              <w:rPr/>
            </w:pPr>
            <w:r>
              <w:rPr/>
              <w:t>Eugene, OR</w:t>
            </w:r>
          </w:p>
        </w:tc>
        <w:tc>
          <w:tcPr>
            <w:tcW w:w="1337" w:type="dxa"/>
            <w:tcBorders/>
            <w:shd w:fill="FFFFFF" w:val="clear"/>
            <w:tcMar>
              <w:top w:w="0" w:type="dxa"/>
              <w:bottom w:w="0" w:type="dxa"/>
            </w:tcMar>
            <w:vAlign w:val="center"/>
          </w:tcPr>
          <w:p>
            <w:pPr>
              <w:pStyle w:val="TableContents"/>
              <w:bidi w:val="0"/>
              <w:spacing w:before="0" w:after="283"/>
              <w:jc w:val="left"/>
              <w:rPr/>
            </w:pPr>
            <w:r>
              <w:rPr/>
              <w:t>Beverage </w:t>
            </w:r>
          </w:p>
        </w:tc>
        <w:tc>
          <w:tcPr>
            <w:tcW w:w="1110" w:type="dxa"/>
            <w:tcBorders/>
            <w:shd w:fill="FFFFFF" w:val="clear"/>
            <w:tcMar>
              <w:top w:w="0" w:type="dxa"/>
              <w:bottom w:w="0" w:type="dxa"/>
            </w:tcMar>
            <w:vAlign w:val="center"/>
          </w:tcPr>
          <w:p>
            <w:pPr>
              <w:pStyle w:val="TableContents"/>
              <w:bidi w:val="0"/>
              <w:spacing w:before="0" w:after="283"/>
              <w:jc w:val="left"/>
              <w:rPr/>
            </w:pPr>
            <w:r>
              <w:rPr/>
              <w:t>Leased</w:t>
            </w:r>
          </w:p>
        </w:tc>
        <w:tc>
          <w:tcPr>
            <w:tcW w:w="1865" w:type="dxa"/>
            <w:tcBorders/>
            <w:shd w:fill="FFFFFF" w:val="clear"/>
            <w:tcMar>
              <w:top w:w="0" w:type="dxa"/>
              <w:bottom w:w="0" w:type="dxa"/>
            </w:tcMar>
            <w:vAlign w:val="center"/>
          </w:tcPr>
          <w:p>
            <w:pPr>
              <w:pStyle w:val="TableContents"/>
              <w:bidi w:val="0"/>
              <w:spacing w:before="0" w:after="283"/>
              <w:jc w:val="right"/>
              <w:rPr/>
            </w:pPr>
            <w:r>
              <w:rPr/>
              <w:t>32,000</w:t>
            </w:r>
          </w:p>
        </w:tc>
      </w:tr>
      <w:tr>
        <w:trPr/>
        <w:tc>
          <w:tcPr>
            <w:tcW w:w="4078" w:type="dxa"/>
            <w:tcBorders/>
            <w:shd w:fill="CCEEFF" w:val="clear"/>
            <w:tcMar>
              <w:top w:w="0" w:type="dxa"/>
              <w:bottom w:w="0" w:type="dxa"/>
            </w:tcMar>
            <w:vAlign w:val="center"/>
          </w:tcPr>
          <w:p>
            <w:pPr>
              <w:pStyle w:val="TableContents"/>
              <w:bidi w:val="0"/>
              <w:spacing w:before="0" w:after="283"/>
              <w:jc w:val="left"/>
              <w:rPr/>
            </w:pPr>
            <w:r>
              <w:rPr/>
              <w:t>Revolver Brewing Company, LLC (Brewpub)</w:t>
            </w:r>
          </w:p>
        </w:tc>
        <w:tc>
          <w:tcPr>
            <w:tcW w:w="1815" w:type="dxa"/>
            <w:tcBorders/>
            <w:shd w:fill="CCEEFF" w:val="clear"/>
            <w:tcMar>
              <w:top w:w="0" w:type="dxa"/>
              <w:bottom w:w="0" w:type="dxa"/>
            </w:tcMar>
            <w:vAlign w:val="center"/>
          </w:tcPr>
          <w:p>
            <w:pPr>
              <w:pStyle w:val="TableContents"/>
              <w:bidi w:val="0"/>
              <w:spacing w:before="0" w:after="283"/>
              <w:jc w:val="left"/>
              <w:rPr/>
            </w:pPr>
            <w:r>
              <w:rPr/>
              <w:t>Grandbury, TX</w:t>
            </w:r>
          </w:p>
        </w:tc>
        <w:tc>
          <w:tcPr>
            <w:tcW w:w="1337" w:type="dxa"/>
            <w:tcBorders/>
            <w:shd w:fill="CCEEFF" w:val="clear"/>
            <w:tcMar>
              <w:top w:w="0" w:type="dxa"/>
              <w:bottom w:w="0" w:type="dxa"/>
            </w:tcMar>
            <w:vAlign w:val="center"/>
          </w:tcPr>
          <w:p>
            <w:pPr>
              <w:pStyle w:val="TableContents"/>
              <w:bidi w:val="0"/>
              <w:spacing w:before="0" w:after="283"/>
              <w:jc w:val="left"/>
              <w:rPr/>
            </w:pPr>
            <w:r>
              <w:rPr/>
              <w:t>Beverage</w:t>
            </w:r>
          </w:p>
        </w:tc>
        <w:tc>
          <w:tcPr>
            <w:tcW w:w="1110" w:type="dxa"/>
            <w:tcBorders/>
            <w:shd w:fill="CCEEFF" w:val="clear"/>
            <w:tcMar>
              <w:top w:w="0" w:type="dxa"/>
              <w:bottom w:w="0" w:type="dxa"/>
            </w:tcMar>
            <w:vAlign w:val="center"/>
          </w:tcPr>
          <w:p>
            <w:pPr>
              <w:pStyle w:val="TableContents"/>
              <w:bidi w:val="0"/>
              <w:spacing w:before="0" w:after="283"/>
              <w:jc w:val="left"/>
              <w:rPr/>
            </w:pPr>
            <w:r>
              <w:rPr/>
              <w:t>Leased</w:t>
            </w:r>
          </w:p>
        </w:tc>
        <w:tc>
          <w:tcPr>
            <w:tcW w:w="1865" w:type="dxa"/>
            <w:tcBorders/>
            <w:shd w:fill="CCEEFF" w:val="clear"/>
            <w:tcMar>
              <w:top w:w="0" w:type="dxa"/>
              <w:bottom w:w="0" w:type="dxa"/>
            </w:tcMar>
            <w:vAlign w:val="center"/>
          </w:tcPr>
          <w:p>
            <w:pPr>
              <w:pStyle w:val="TableContents"/>
              <w:bidi w:val="0"/>
              <w:spacing w:before="0" w:after="283"/>
              <w:jc w:val="right"/>
              <w:rPr/>
            </w:pPr>
            <w:r>
              <w:rPr/>
              <w:t>32,000</w:t>
            </w:r>
          </w:p>
        </w:tc>
      </w:tr>
      <w:tr>
        <w:trPr/>
        <w:tc>
          <w:tcPr>
            <w:tcW w:w="4078" w:type="dxa"/>
            <w:tcBorders/>
            <w:shd w:fill="FFFFFF" w:val="clear"/>
            <w:tcMar>
              <w:top w:w="0" w:type="dxa"/>
              <w:bottom w:w="0" w:type="dxa"/>
            </w:tcMar>
            <w:vAlign w:val="center"/>
          </w:tcPr>
          <w:p>
            <w:pPr>
              <w:pStyle w:val="TableContents"/>
              <w:bidi w:val="0"/>
              <w:spacing w:before="0" w:after="283"/>
              <w:jc w:val="left"/>
              <w:rPr/>
            </w:pPr>
            <w:r>
              <w:rPr/>
              <w:t> </w:t>
            </w:r>
          </w:p>
        </w:tc>
        <w:tc>
          <w:tcPr>
            <w:tcW w:w="1815" w:type="dxa"/>
            <w:tcBorders/>
            <w:shd w:fill="FFFFFF" w:val="clear"/>
            <w:tcMar>
              <w:top w:w="0" w:type="dxa"/>
              <w:bottom w:w="0" w:type="dxa"/>
            </w:tcMar>
            <w:vAlign w:val="center"/>
          </w:tcPr>
          <w:p>
            <w:pPr>
              <w:pStyle w:val="TableContents"/>
              <w:bidi w:val="0"/>
              <w:spacing w:before="0" w:after="283"/>
              <w:jc w:val="left"/>
              <w:rPr/>
            </w:pPr>
            <w:r>
              <w:rPr/>
              <w:t> </w:t>
            </w:r>
          </w:p>
        </w:tc>
        <w:tc>
          <w:tcPr>
            <w:tcW w:w="1337" w:type="dxa"/>
            <w:tcBorders/>
            <w:shd w:fill="FFFFFF" w:val="clear"/>
            <w:tcMar>
              <w:top w:w="0" w:type="dxa"/>
              <w:bottom w:w="0" w:type="dxa"/>
            </w:tcMar>
            <w:vAlign w:val="center"/>
          </w:tcPr>
          <w:p>
            <w:pPr>
              <w:pStyle w:val="TableContents"/>
              <w:bidi w:val="0"/>
              <w:spacing w:before="0" w:after="283"/>
              <w:jc w:val="left"/>
              <w:rPr/>
            </w:pPr>
            <w:r>
              <w:rPr/>
              <w:t> </w:t>
            </w:r>
          </w:p>
        </w:tc>
        <w:tc>
          <w:tcPr>
            <w:tcW w:w="1110" w:type="dxa"/>
            <w:tcBorders/>
            <w:shd w:fill="FFFFFF" w:val="clear"/>
            <w:tcMar>
              <w:top w:w="0" w:type="dxa"/>
              <w:bottom w:w="0" w:type="dxa"/>
            </w:tcMar>
            <w:vAlign w:val="center"/>
          </w:tcPr>
          <w:p>
            <w:pPr>
              <w:pStyle w:val="TableContents"/>
              <w:bidi w:val="0"/>
              <w:spacing w:before="0" w:after="283"/>
              <w:jc w:val="left"/>
              <w:rPr/>
            </w:pPr>
            <w:r>
              <w:rPr/>
              <w:t> </w:t>
            </w:r>
          </w:p>
        </w:tc>
        <w:tc>
          <w:tcPr>
            <w:tcW w:w="18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International: </w:t>
            </w:r>
          </w:p>
        </w:tc>
        <w:tc>
          <w:tcPr>
            <w:tcW w:w="1815" w:type="dxa"/>
            <w:tcBorders/>
            <w:shd w:fill="CCEEFF" w:val="clear"/>
            <w:tcMar>
              <w:top w:w="0" w:type="dxa"/>
              <w:bottom w:w="0" w:type="dxa"/>
            </w:tcMar>
            <w:vAlign w:val="center"/>
          </w:tcPr>
          <w:p>
            <w:pPr>
              <w:pStyle w:val="TableContents"/>
              <w:bidi w:val="0"/>
              <w:spacing w:before="0" w:after="283"/>
              <w:jc w:val="left"/>
              <w:rPr/>
            </w:pPr>
            <w:r>
              <w:rPr/>
              <w:t> </w:t>
            </w:r>
          </w:p>
        </w:tc>
        <w:tc>
          <w:tcPr>
            <w:tcW w:w="1337" w:type="dxa"/>
            <w:tcBorders/>
            <w:shd w:fill="CCEEFF" w:val="clear"/>
            <w:tcMar>
              <w:top w:w="0" w:type="dxa"/>
              <w:bottom w:w="0" w:type="dxa"/>
            </w:tcMar>
            <w:vAlign w:val="center"/>
          </w:tcPr>
          <w:p>
            <w:pPr>
              <w:pStyle w:val="TableContents"/>
              <w:bidi w:val="0"/>
              <w:spacing w:before="0" w:after="283"/>
              <w:jc w:val="left"/>
              <w:rPr/>
            </w:pPr>
            <w:r>
              <w:rPr/>
              <w:t> </w:t>
            </w:r>
          </w:p>
        </w:tc>
        <w:tc>
          <w:tcPr>
            <w:tcW w:w="1110" w:type="dxa"/>
            <w:tcBorders/>
            <w:shd w:fill="CCEEFF" w:val="clear"/>
            <w:tcMar>
              <w:top w:w="0" w:type="dxa"/>
              <w:bottom w:w="0" w:type="dxa"/>
            </w:tcMar>
            <w:vAlign w:val="center"/>
          </w:tcPr>
          <w:p>
            <w:pPr>
              <w:pStyle w:val="TableContents"/>
              <w:bidi w:val="0"/>
              <w:spacing w:before="0" w:after="283"/>
              <w:jc w:val="left"/>
              <w:rPr/>
            </w:pPr>
            <w:r>
              <w:rPr/>
              <w:t> </w:t>
            </w:r>
          </w:p>
        </w:tc>
        <w:tc>
          <w:tcPr>
            <w:tcW w:w="18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Tilray EU Campus and Cultivation Site (Cannabis Cultivation and Processing)</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Cantanhede, Portugal</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FFFFFF" w:val="clear"/>
            <w:tcMar>
              <w:top w:w="0" w:type="dxa"/>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Owned3</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3,300,000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 Pharma (Distribution Operations)</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Densborn, Germany</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w:t>
            </w:r>
          </w:p>
        </w:tc>
        <w:tc>
          <w:tcPr>
            <w:tcW w:w="11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70,000</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Aphria RX (Cannabis Cultivation)</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Neumünster, Germany</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65,000</w:t>
            </w:r>
          </w:p>
        </w:tc>
      </w:tr>
      <w:tr>
        <w:trPr/>
        <w:tc>
          <w:tcPr>
            <w:tcW w:w="407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 Group Srl (Distribution Operations)</w:t>
            </w:r>
          </w:p>
        </w:tc>
        <w:tc>
          <w:tcPr>
            <w:tcW w:w="181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Vado Ligure, Italy</w:t>
            </w:r>
          </w:p>
        </w:tc>
        <w:tc>
          <w:tcPr>
            <w:tcW w:w="1337"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1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865"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4,700</w:t>
            </w:r>
          </w:p>
        </w:tc>
      </w:tr>
      <w:tr>
        <w:trPr/>
        <w:tc>
          <w:tcPr>
            <w:tcW w:w="407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ABP (Distribution Operations)</w:t>
            </w:r>
          </w:p>
        </w:tc>
        <w:tc>
          <w:tcPr>
            <w:tcW w:w="181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Buenos Aires, Argentina</w:t>
            </w:r>
          </w:p>
        </w:tc>
        <w:tc>
          <w:tcPr>
            <w:tcW w:w="1337"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w:t>
            </w:r>
          </w:p>
        </w:tc>
        <w:tc>
          <w:tcPr>
            <w:tcW w:w="11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865"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1</w:t>
            </w:r>
          </w:p>
        </w:tc>
        <w:tc>
          <w:tcPr>
            <w:tcW w:w="10020"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Aphria Diamond is a 51% majority-owned subsidiary of Aphria, Inc. Aphria Diamond is a strategic venture with Double Diamond Farms. </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2 </w:t>
            </w:r>
          </w:p>
        </w:tc>
        <w:tc>
          <w:tcPr>
            <w:tcW w:w="10020"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We announced our decision to relocate operation from Duncan BC facility to Nanaimo facility. The Duncan, BC facility was recognized as an asset held for sale and sold during the year ended May 31, 2025.</w:t>
            </w:r>
          </w:p>
        </w:tc>
      </w:tr>
      <w:tr>
        <w:trPr/>
        <w:tc>
          <w:tcPr>
            <w:tcW w:w="185" w:type="dxa"/>
            <w:tcBorders/>
            <w:vAlign w:val="center"/>
          </w:tcPr>
          <w:p>
            <w:pPr>
              <w:pStyle w:val="TableContents"/>
              <w:bidi w:val="0"/>
              <w:spacing w:lineRule="auto" w:line="288"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3</w:t>
            </w:r>
          </w:p>
        </w:tc>
        <w:tc>
          <w:tcPr>
            <w:tcW w:w="10020"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Cantanhede, Portugal, we own one cultivation and manufacturing location used for medical cannabis as well as land adjacent to the facility for future expansion.</w:t>
            </w:r>
          </w:p>
        </w:tc>
      </w:tr>
      <w:tr>
        <w:trPr/>
        <w:tc>
          <w:tcPr>
            <w:tcW w:w="185" w:type="dxa"/>
            <w:tcBorders/>
            <w:vAlign w:val="center"/>
          </w:tcPr>
          <w:p>
            <w:pPr>
              <w:pStyle w:val="TableContents"/>
              <w:bidi w:val="0"/>
              <w:spacing w:lineRule="auto" w:line="288" w:before="0" w:after="283"/>
              <w:jc w:val="left"/>
              <w:rPr>
                <w:rFonts w:ascii="Times New Roman;Times;serif" w:hAnsi="Times New Roman;Times;serif"/>
                <w:i/>
                <w:sz w:val="20"/>
              </w:rPr>
            </w:pPr>
            <w:r>
              <w:rPr>
                <w:rFonts w:ascii="Times New Roman;Times;serif" w:hAnsi="Times New Roman;Times;serif"/>
                <w:i/>
                <w:sz w:val="20"/>
              </w:rPr>
              <w:t>4 </w:t>
            </w:r>
          </w:p>
        </w:tc>
        <w:tc>
          <w:tcPr>
            <w:tcW w:w="100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We recognize the property as an asset held for sale for the year ended May 31, 2025.</w:t>
            </w:r>
          </w:p>
        </w:tc>
      </w:tr>
      <w:tr>
        <w:trPr/>
        <w:tc>
          <w:tcPr>
            <w:tcW w:w="185" w:type="dxa"/>
            <w:tcBorders/>
            <w:vAlign w:val="center"/>
          </w:tcPr>
          <w:p>
            <w:pPr>
              <w:pStyle w:val="TableContents"/>
              <w:bidi w:val="0"/>
              <w:spacing w:lineRule="auto" w:line="288" w:before="0" w:after="0"/>
              <w:ind w:left="0" w:right="0" w:hanging="0"/>
              <w:jc w:val="left"/>
              <w:rPr>
                <w:rFonts w:ascii="Times New Roman;Times;serif" w:hAnsi="Times New Roman;Times;serif"/>
                <w:i/>
                <w:sz w:val="20"/>
              </w:rPr>
            </w:pPr>
            <w:r>
              <w:rPr>
                <w:rFonts w:ascii="Times New Roman;Times;serif" w:hAnsi="Times New Roman;Times;serif"/>
                <w:i/>
                <w:sz w:val="20"/>
              </w:rPr>
              <w:t>5</w:t>
            </w:r>
          </w:p>
        </w:tc>
        <w:tc>
          <w:tcPr>
            <w:tcW w:w="1002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This facility is an outdoor growing facility. </w:t>
            </w:r>
          </w:p>
        </w:tc>
      </w:tr>
      <w:tr>
        <w:trPr/>
        <w:tc>
          <w:tcPr>
            <w:tcW w:w="185" w:type="dxa"/>
            <w:tcBorders/>
            <w:vAlign w:val="center"/>
          </w:tcPr>
          <w:p>
            <w:pPr>
              <w:pStyle w:val="TableContents"/>
              <w:bidi w:val="0"/>
              <w:spacing w:lineRule="auto" w:line="288" w:before="0" w:after="0"/>
              <w:ind w:left="0" w:right="0" w:hanging="0"/>
              <w:jc w:val="left"/>
              <w:rPr>
                <w:rFonts w:ascii="Times New Roman;Times;serif" w:hAnsi="Times New Roman;Times;serif"/>
                <w:i/>
                <w:sz w:val="20"/>
              </w:rPr>
            </w:pPr>
            <w:r>
              <w:rPr>
                <w:rFonts w:ascii="Times New Roman;Times;serif" w:hAnsi="Times New Roman;Times;serif"/>
                <w:i/>
                <w:sz w:val="20"/>
              </w:rPr>
              <w:t>6</w:t>
            </w:r>
          </w:p>
        </w:tc>
        <w:tc>
          <w:tcPr>
            <w:tcW w:w="1002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This facility was sold during the year ended May 31, 2025.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lease space for other smaller offices in the United States, Canada, Europe and other parts of the world.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our facilities and committed leased spaces are currently adequate to meet our needs. As we continue to expand our operations, we may need to acquire or lease additional facilities or dispose of existing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item3"/>
      <w:bookmarkEnd w:id="8"/>
      <w:r>
        <w:rPr>
          <w:rFonts w:ascii="Times New Roman" w:hAnsi="Times New Roman"/>
          <w:b/>
          <w:caps w:val="false"/>
          <w:smallCaps w:val="false"/>
          <w:sz w:val="20"/>
        </w:rPr>
        <w:t xml:space="preserve">Item 3. Legal Proceedings.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called for by this item is incorporated herein by reference to Note 28, </w:t>
      </w:r>
      <w:r>
        <w:rPr>
          <w:rFonts w:ascii="Times New Roman" w:hAnsi="Times New Roman"/>
          <w:i/>
          <w:caps w:val="false"/>
          <w:smallCaps w:val="false"/>
          <w:sz w:val="20"/>
        </w:rPr>
        <w:t>Commitments and Contingencies</w:t>
      </w:r>
      <w:r>
        <w:rPr>
          <w:rFonts w:ascii="Times New Roman" w:hAnsi="Times New Roman"/>
          <w:caps w:val="false"/>
          <w:smallCaps w:val="false"/>
          <w:sz w:val="20"/>
        </w:rPr>
        <w:t>, in the Notes to the Consolidated Financial Statements included in Part II, Item 8 of this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9" w:name="item4"/>
      <w:bookmarkEnd w:id="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partii"/>
      <w:bookmarkEnd w:id="10"/>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5"/>
      <w:bookmarkEnd w:id="11"/>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 xml:space="preserve">s Common Equity, Related Stockholder Matters and Issuer Purchases of Equity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traded on the Nasdaq Global Select Market and the TSX under the symbol “TLRY.”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July 24, 2025, there were approximately 1,008 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paid any cash dividends on our common stock to date. It is our current intention to not declare or pay any cash dividends for the foreseeable future as we intend to utilize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common stock is limited by the terms of the Aphria Diamond credit facility, as well as any future debt or preferred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sales of unregistered securities; use of proceeds from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issuance of securities described below, unless otherwise noted, were exempt from registration under Section 4(2) of the Securities Act 1933, as amended in transactions by an issuer not involving a public offering and no underwriter participated in the offer and sale of the securities issued pursuant to the following issuances, and no commission or other remuneration was paid or given directly or indirectly in connection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16, 2024, Tilray entered into an assignment and assumption agreement with Double Diamond Holdings Ltd. (“DDH”), an Ontario corporation, pursuant to which, among other things, Tilray acquired from DDH a promissory note in the amount of $23,792 (the “Note”) payable by 1974568 Ontario Limited (“Aphria Diamond”). DDH is a joint venturer with Aphria Inc. (Tilray’s wholly-owned subsidiary) in Aphria Diamond. As consideration for the Note, Tilray issued 13,217,588 shares of its Common Stock to DDH.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January 28, 2025 to February 28, 2025, Tilray issued an aggregate of 27,136,770 shares of the Company’s common stock in exchange for $26.6 million aggregate principal amount of the Company’s 5.20% Convertible Senior Notes due June 1, 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February 28, 2025 to March 10, 2025, Tilray issued an aggregate of up to 21,794,902 shares of the Company’s common stock in exchange for $14.6 million aggregate principal amount of the Company’s 5.20% Convertible Senior Notes due June 1, 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April 9, 2025 to April 21, 2025, Tilray issued an aggregate of 19,034,603 shares of the Company’s common stock in exchange for $9.4 million aggregate principal amount of the Company’s 5.20% Convertible Senior Notes due June 1, 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Tilray issued 12,591,816 shares of the Company’s common stock in exchange for $5 million principal amount of the Company’s 5.20% Convertible Senior Notes due June 1, 2027. See Note 31 (Subsequent events) for additional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Stock Performance 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graph compares the performance of our common stock to the Nasdaq Composite and the Horizons Marijuana Life Sciences Index for the period from May 31, 2020 through May 31, 2025 in comparison to the indicated indexes. The results assume that $100, which was invested on May 31, 2020 in our common stock and each of the indicated indexes.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8058150" cy="333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58150" cy="3333750"/>
                    </a:xfrm>
                    <a:prstGeom prst="rect">
                      <a:avLst/>
                    </a:prstGeom>
                  </pic:spPr>
                </pic:pic>
              </a:graphicData>
            </a:graphic>
          </wp:inline>
        </w:drawing>
      </w:r>
    </w:p>
    <w:p>
      <w:pPr>
        <w:pStyle w:val="TextBody"/>
        <w:bidi w:val="0"/>
        <w:spacing w:before="0" w:after="0"/>
        <w:ind w:left="0" w:right="0" w:hanging="0"/>
        <w:jc w:val="center"/>
        <w:rPr/>
      </w:pPr>
      <w:r>
        <w:rPr/>
        <w:t xml:space="preserve">  </w:t>
      </w:r>
    </w:p>
    <w:tbl>
      <w:tblPr>
        <w:tblW w:w="8285" w:type="dxa"/>
        <w:jc w:val="center"/>
        <w:tblInd w:w="0" w:type="dxa"/>
        <w:tblLayout w:type="fixed"/>
        <w:tblCellMar>
          <w:top w:w="0" w:type="dxa"/>
          <w:left w:w="0" w:type="dxa"/>
          <w:bottom w:w="0" w:type="dxa"/>
          <w:right w:w="0" w:type="dxa"/>
        </w:tblCellMar>
      </w:tblPr>
      <w:tblGrid>
        <w:gridCol w:w="3275"/>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90"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w:t>
            </w:r>
          </w:p>
        </w:tc>
        <w:tc>
          <w:tcPr>
            <w:tcW w:w="6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Tilray Brands,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Composite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201.41</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Horizons Marijuana Life Sciences Index</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item6"/>
      <w:bookmarkEnd w:id="12"/>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3" w:name="mda"/>
      <w:bookmarkEnd w:id="13"/>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The following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is intended to help the reader understand our results of operations and our present business environment from the perspective of management. You should read the following discussion and analysis of our financial condition and results of operations together with the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w:t>
      </w:r>
      <w:r>
        <w:rPr>
          <w:rFonts w:ascii="Times New Roman" w:hAnsi="Times New Roman"/>
          <w:i/>
          <w:caps w:val="false"/>
          <w:smallCaps w:val="false"/>
          <w:sz w:val="20"/>
        </w:rPr>
        <w:t xml:space="preserve">; the sections in Part I entitled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and the financial information and the notes thereto included in Part II, Item 8 of this Form 10-K in this Annual Report for the fiscal year ended May 31, 2025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We use certain non-GAAP measures that are more fully described below under the caption </w:t>
      </w:r>
      <w:r>
        <w:rPr>
          <w:rFonts w:ascii="Times New Roman" w:hAnsi="Times New Roman"/>
          <w:caps w:val="false"/>
          <w:smallCaps w:val="false"/>
          <w:sz w:val="20"/>
        </w:rPr>
        <w:t>“—</w:t>
      </w:r>
      <w:r>
        <w:rPr>
          <w:rFonts w:ascii="Times New Roman" w:hAnsi="Times New Roman"/>
          <w:i/>
          <w:caps w:val="false"/>
          <w:smallCaps w:val="false"/>
          <w:sz w:val="20"/>
        </w:rPr>
        <w:t>Use of Non-GAAP Measures,</w:t>
      </w:r>
      <w:r>
        <w:rPr>
          <w:rFonts w:ascii="Times New Roman" w:hAnsi="Times New Roman"/>
          <w:caps w:val="false"/>
          <w:smallCaps w:val="false"/>
          <w:sz w:val="20"/>
        </w:rPr>
        <w:t xml:space="preserve">” </w:t>
      </w:r>
      <w:r>
        <w:rPr>
          <w:rFonts w:ascii="Times New Roman" w:hAnsi="Times New Roman"/>
          <w:i/>
          <w:caps w:val="false"/>
          <w:smallCaps w:val="false"/>
          <w:sz w:val="20"/>
        </w:rPr>
        <w:t>which we believe are appropriate supplemental non-GAAP measures to evaluate our business and operations, measure our performance, identify trends affecting our business, project our future performance, and make strategic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 xml:space="preserve">Amounts are presented in thousands of United States dollars, except for shares, warrants, per share data and per warrant data or as otherwise noted.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Company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Trends and Other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Beverage market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Within the beverage category, we expect the following key trends to shape the near-term outlook in this segment: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Beverage Distribution</w:t>
            </w:r>
            <w:r>
              <w:rPr>
                <w:rFonts w:ascii="Times New Roman" w:hAnsi="Times New Roman"/>
                <w:caps w:val="false"/>
                <w:smallCaps w:val="false"/>
                <w:sz w:val="20"/>
              </w:rPr>
              <w:t>. In furtherance of our strategic vision, we remain focused on enhancing our relevance within home markets, focusing on growing our brands in their core markets. Through targeted efforts, we continue to strategically adjust our portfolio mix and distribution geography through our distributor consolidation program to refine our craft beer strategy, which we believe will allow us to enhance our relevance and focus resources on our core markets as part of our portfolio rationalization initiatives. Distributor chain spring product resets have indicated improvements of distribution for our core brands and key innovation initiatives, including Shock Top, Runner’s High Non-Alcoholic, and SweetWater’s newly launched Day Trip and Dive Beer. We expect to begin to see the impact of these gains during fiscal year 2026.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t>
            </w:r>
          </w:p>
        </w:tc>
        <w:tc>
          <w:tcPr>
            <w:tcW w:w="10065" w:type="dxa"/>
            <w:tcBorders/>
            <w:vAlign w:val="center"/>
          </w:tcPr>
          <w:p>
            <w:pPr>
              <w:pStyle w:val="TableContents"/>
              <w:bidi w:val="0"/>
              <w:spacing w:before="0" w:after="283"/>
              <w:jc w:val="both"/>
              <w:rPr/>
            </w:pPr>
            <w:r>
              <w:rPr>
                <w:i/>
              </w:rPr>
              <w:t>Innovation</w:t>
            </w:r>
            <w:r>
              <w:rPr/>
              <w:t>. Recognizing the evolving consumer landscape and the burgeoning demand for alternative beverage options, we have prioritized innovation and portfolio diversification. Our recent endeavors include launching a lineup of Hemp Derived Delta-9 (HD-D9) products, non-alcoholic beverages, our Liquid Love water brand, flavored malt-based beverages, RTDs and energy drinks. These strategic innovations underscore our commitment to offering high-quality options across diverse beverage categories, positioning us for sustained growth and differentiation in the competitive beverage segment.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rPr>
              <w:t>Brew Pubs</w:t>
            </w:r>
            <w:r>
              <w:rPr/>
              <w:t>. Following our Craft Acquisition I on September 29, 2023 and the Craft Acquisition II effective September 1, 2024, we operate 16 brew pubs, and our Breckenridge Distillery restaurant and tasting room, in geographic regions across the U.S., all of which are located in close proximity to the production of our craft brands.  An important part of our strategic plan for our beverage operations centers on brew pubs to promote and showcase the distinct, regional positioning of our craft beer brands and enhance brand recognition to help drive revenue growth. We believe that our brew pub strategy allows us to curate unique small batch product offerings in targeted test markets to help drive effective product innovation.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spirits category, Breckenridge Distillery stands out as a beacon within the bourbon industry, making notable strides in vodka and gin markets while offering a comprehensive hospitality experience through its world-class restaurant and retail location. Our primary growth objective centers on expanding market share across the United States. To fuel future expansion, we prioritize showcasing our exceptional product quality and introducing innovative new product offerings. Recent accolades, including Double Gold awards at prestigious competitions such as Breckenridge Reserve Port Cask Finish being named the World’s best finished Bourbon at the 2024 World Whiskies Awards, we believe underscore our brand's growing recognition and appeal.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Canadian cannabis market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rPr>
              <w:t>Market share</w:t>
            </w:r>
            <w:r>
              <w:rPr/>
              <w:t>. During the quarter, Tilray continued to lead the Canadian market with the highest cannabis revenue in Canada. During the quarter, we maintained our market share in Canada at 9.3% from the immediately preceding quarter as reported by Hifyre data for all provinces, excluding Quebec where Weedcrawler was deemed more accurate. Our current market share reflects our efforts to preserve margin in specific categories experiencing the most price compression and our shift in strategy to redirect certain inventories to international cannabis markets which provides for higher margin sales. We intend to enhance our global supply chain and increase our cultivation footprint to support this growing demand.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t>
            </w:r>
          </w:p>
        </w:tc>
        <w:tc>
          <w:tcPr>
            <w:tcW w:w="10065" w:type="dxa"/>
            <w:tcBorders/>
            <w:vAlign w:val="center"/>
          </w:tcPr>
          <w:p>
            <w:pPr>
              <w:pStyle w:val="TableContents"/>
              <w:bidi w:val="0"/>
              <w:spacing w:before="0" w:after="283"/>
              <w:jc w:val="both"/>
              <w:rPr/>
            </w:pPr>
            <w:r>
              <w:rPr>
                <w:i/>
              </w:rPr>
              <w:t>Price compression.</w:t>
            </w:r>
            <w:r>
              <w:rPr/>
              <w:t> Historical price compression in specific categories is expected to persist in the market, intensified by fierce competition among the approximately 1,000 Licensed Producers in Canada. The fixed impact of excise per gram, notwithstanding the decline in average selling prices, further compounds these challenges, and has promoted ongoing industry lobbying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 xml:space="preserve">International cannabis market trends.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and adult-use cannabis legalization. The most meaningful progress to date has been the legalization and regulation of cannabis for medical purposes, which has now taken place in more than 15 countries representing a population of more than 350 million people (Germany, UK, Italy, Poland, Netherlands, Czech Republic, Greece, Portugal, Austria, Switzerland, Denmark, Croatia, Malta, Luxembourg, Ukraine, and Ireland). Beyond this, some countries have expressed a clear political ambition to legalize adult-use cannabis (Germany, Portugal, Luxembourg and Czech Republic), some are engaging in experiments for adult-use legalization (Germany, Netherlands and Switzerland) and some are debating regulations for cannabinoid-based medicine (France and Spain).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cannabis regulations in Germany adopted on April 1, 2024, which we believe will serve as a catalyst for continued changes in drug policy throughout Europe.  Outside of Europe and North America, the cannabis industry is also in its early stages of development with Australia representing one of the larger markets.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believe that Tilray remains uniquely positioned to maintain and gain significant market share in the markets in which we participate. We benefit from our end-to-end vertically-integrated infrastructure and well-placed investments, which are comprised of two EU-GMP cultivation facilities located in Portugal and Germany; our fully owned route-to-market encompassing sales, marketing and distribution infrastructure in Germany and Italy; a network of leading distributors who we work with in the various other countries in which we operate;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transferred from our leading participation and investment in the Canadian medical and adult-use markets. We believe that these assets and attributes, combined with our ability to navigate complex regulatory environments, will continue to drive our leadership in international medical markets and allow us to successfully enter new markets as they adopt medical cannabis and potentially adult-use regulations and may also serve to support a potential U.S. participation in the event of federal legalization.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Germany</w:t>
      </w:r>
      <w:r>
        <w:rPr>
          <w:rFonts w:ascii="Times New Roman" w:hAnsi="Times New Roman"/>
          <w:caps w:val="false"/>
          <w:smallCaps w:val="false"/>
          <w:sz w:val="20"/>
        </w:rPr>
        <w:t>. Today, Germany remains the largest medical cannabis market in Europe.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 2024, the Cannabis Act, consisting of two parts, the CanG and MedCanG, was signed into law by the Office of the Federal President and decriminalization and MedCanG portions of the Cannabis Act became effective. The MedCanG provides for several important medical cannabis reforms including the reclassification of medical cannabis from a narcotic to non-narcotic and the abolishment of the tender for domestic production, which has been replaced with a regular licensing scheme under the authority of the Federal Institute for Drugs and Medical Devices (the “BfArM”). Three licenses for domestic cultivation have been issued, with Tilray receiving the first one. The foreseen enhanced accessibility to medical cannabis due to non-narcotic prescriptions has had the desired effect. The prescription numbers have risen since April 1, 2024 and, accordingly, we have seen a significant increase in our business in Germany where we supply the market with a wide range of medical cannabis extracts and whole flower. In addition, the Federal Joint Committee (the “G-BA”) which issues directives for the German health insurance funds, enacted a resolution in July 2024 allowing for a significant reduction of reservation of approval. This is expected to have a positive market effect, allowing more doctors and specialists to be able to prescribe medical cannabis without receiving prior approval from statutory insurers. Tilray is well positioned to benefit from this change given our leading market share within the medical cannabis extracts segment that tends to have high levels of insurance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believe that Tilray is well-positioned in Germany, especially since the enactment of MedCanG benefits our medical leadership in the German market and given that we are one of only three cultivators of medical cannabis in Germany as our wholly owned subsidiary, Aphria RX, was awarded the first license for the cultivation of medical cannabis in Germany by the BfArM under the liberalized regime. We believe that this license will improve our ability to meet the needs of patients and provide cannabis of the utmost quality and enhanced availability to a broader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see increased differentiation between the physician-led and the patient-led channels.  In response, we have launched the Tilray Craft, Broken Coast, Redecan and Good Supply brands and related medical cannabis products, which provides the patient with a segmented portfolio of products while we continue to deliver on the trust, safety and consistency that has become expected from our Tilray Medical brand.</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Poland</w:t>
      </w:r>
      <w:r>
        <w:rPr>
          <w:rFonts w:ascii="Times New Roman" w:hAnsi="Times New Roman"/>
          <w:caps w:val="false"/>
          <w:smallCaps w:val="false"/>
          <w:sz w:val="20"/>
        </w:rPr>
        <w:t>.  In Poland, cannabis was legalized for medical use in 2018 and is prescribed to patients by a physician and dispensed by pharmacies. Today, all doctors in Poland are allowed to prescribe medical cannabis and it is a self-pay market as medical cannabis is not reimbursed by the Polish health service. In November 2024, Poland implemented strict restrictions on telemedicine, which have significantly impacted the growth of the market with prescription numbers decreasing from 68,000 in October 2024 to 28,000 in December 2024. Tilray is a leading supplier of medical cannabis in Poland through our network of distributor partnerships. We predominantly supply the market with whole flower medical cannabis products.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United Kingdom</w:t>
      </w:r>
      <w:r>
        <w:rPr>
          <w:rFonts w:ascii="Times New Roman" w:hAnsi="Times New Roman"/>
          <w:caps w:val="false"/>
          <w:smallCaps w:val="false"/>
          <w:sz w:val="20"/>
        </w:rPr>
        <w:t>.  Since November 2018, doctors in the UK have been able to prescribe medical cannabis for medicinal use for patients with medical conditions that had failed to respond to first-line medications.  The market today is predominantly all self-pay and prescriptions are facilitated by private clinics.  Today, we supply the UK market with mainly whole flower products through our distributor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Ireland</w:t>
      </w:r>
      <w:r>
        <w:rPr>
          <w:rFonts w:ascii="Times New Roman" w:hAnsi="Times New Roman"/>
          <w:caps w:val="false"/>
          <w:smallCaps w:val="false"/>
          <w:sz w:val="20"/>
        </w:rPr>
        <w:t>. In June 2019, the Minister for Health signed legislation allowing for the operation of the Medical Cannabis Access Programme (“MCAP”) 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Italy</w:t>
      </w:r>
      <w:r>
        <w:rPr>
          <w:rFonts w:ascii="Times New Roman" w:hAnsi="Times New Roman"/>
          <w:caps w:val="false"/>
          <w:smallCaps w:val="false"/>
          <w:sz w:val="20"/>
        </w:rPr>
        <w:t>. In May 2023, FL Group, a wholly-owned subsidiary of Tilray received authorization from Italy’s Ministry of Health to distribute three new medical cannabis compounds to pharmacies across Italy. With FL Group, we have an established broad national pharmaceutical distribution network in Italy, where medical cannabis is prescribed by doctors and reimbursed by the healthcare system to eligible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Australia</w:t>
      </w:r>
      <w:r>
        <w:rPr>
          <w:rFonts w:ascii="Times New Roman" w:hAnsi="Times New Roman"/>
          <w:caps w:val="false"/>
          <w:smallCaps w:val="false"/>
          <w:sz w:val="20"/>
        </w:rPr>
        <w:t>. In 2016, the Australian Government legalized medicinal cannabis, which is regulated by the Therapeutic Goods Administration.  Medical cannabis is prescribed by a doctor but there is no coverage under the Pharmaceutical Benefits Scheme.  Tilray Medical suppliers the market with wide portfolio of medical cannabis extracts as well as whole flower products.  We see increased differentiation between the physician-led and the patient-led channels.  In response, we launched the Broken Coast, Redecan and Good Supply brands and products, which provide the patient with a segmented portfolio of products while we continue to deliver on the trust, safety and consistency that has become expected from our Tilray Medical brand.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Wellness market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Wellness’s branded business continues to grow across brick-and-mortar retail as well as ecommerce, further establishing its leading market share position in better for you categories. The Company continues to focus on value-added innovation within the wellness space with the launch of branded Whole Flaxseed and Ground Flaxseed and Superseed Snack Clusters in partnership with Whole Foods Market as well as continued emphasis on The Humble Seed, a seed-forward cracker brand which was purchased earlier this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Acquisitions, Strategic Transactions and Synergies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year ended May 31, 2025, we incurred $4.5 million of transaction costs (income), net, as discussed further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September 1, 2024, Tilray acquired Craft Acquisition II a portfolio of four craft brands and breweries comprised of Atwater Brewery, Hop Valley Brewing Company, Terrapin Beer Co., and Revolver Brewing from Molson, see Note 9 (Business Acquisition). We expect this acquisition to further the execution of our beverage strategy, which we believe will have positive impacts on our beverage segment leading to increased revenues and whitespace penetration.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b/>
          <w:i/>
          <w:caps w:val="false"/>
          <w:smallCaps w:val="false"/>
          <w:sz w:val="20"/>
        </w:rPr>
        <w:t>Beverage segment Project 420:</w:t>
      </w:r>
      <w:r>
        <w:rPr>
          <w:rFonts w:ascii="Times New Roman" w:hAnsi="Times New Roman"/>
          <w:i/>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2020, we entered the beverage category with the acquisition of SweetWater Brewing Company, one of the largest independent craft brewers in the U.S. by volume, with the vision of creating a larger and more diversified global lifestyle consumer products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Craft Acquisition I and Craft Acquisition II, we capitalized on opportunities to acquire additional beverage businesses that consisted of strong brands in decline and in need of investment in order to promote growth at a significantly reduced price. To support the growth of these acquired brands and establish a clear path to profitability, we implemented Project 420, which is a comprehensive plan covering (i) SKU rationalization; (ii) Geographic rationalization; (iii) Distributor rationalization; and (iv) synergy optimization plan through which we expect to invest in the acquired brands for growth and improve profitability:</w:t>
      </w:r>
    </w:p>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SKU rationalization</w:t>
            </w:r>
            <w:r>
              <w:rPr/>
              <w:t> – In response to the declining growth in the craft beer industry and consolidation of distributors, we are working with our distributors in various markets to streamline our portfolio by eliminating duplicative and slower growth products, which had the immediate effect of reducing revenue. However, by eliminating these slower growing SKUs, we are able to focus our attention and resources on our higher growth SKUs and the introduction of new innovation, which we expect will accelerate our revenue growth in future quarters. Going forward, we will continue to manage SKU performance within our portfolio on a “one in and one out basis” to maximize SKU productivity.</w:t>
            </w:r>
          </w:p>
        </w:tc>
      </w:tr>
    </w:tbl>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Geographic rationalization</w:t>
            </w:r>
            <w:r>
              <w:rPr/>
              <w:t xml:space="preserve"> – Our brands generate sales in all states however, their results are significantly stronger in their home markets. For example, SweetWater is located in Georgia and, as a result, its revenues are stronger in Georgia, Alabama, North Carolina and Florida, while 10 Barrel, which is located  in Oregon has stronger revenue in Oregon, Washington, Idaho and Wyoming. In away markets, like Oregon for SweetWater, and Georgia for 10 Barrel, the brands are not as strong in the away states. Our geographic rationalization works to concentrate our efforts in individual states with our strongest brands in those states. As we reduce the distribution of away markets brands in those states, we are working to increase the distribution and shelf space of home market brands. This initiative is consistent with our Regional Jewel strategy developed in conjunction with the Boston Consulting Group.</w:t>
            </w:r>
          </w:p>
        </w:tc>
      </w:tr>
    </w:tbl>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Distributor rationalization</w:t>
            </w:r>
            <w:r>
              <w:rPr/>
              <w:t xml:space="preserve"> – As a result of our various acquisitions in the last five years, we have over 750 distributors and 975 distributor shipping locations. As a result, we are shipping to multiple distributors in the same geography as well as splitting the allocation of local brands between multiple distributors. The goal of the distributor rationalization is to reduce our distributor footprint down to between 450 and 500 distributors concentrating those distributor’s effort on our brands and SKUs, while minimizing logistical complexities.</w:t>
            </w:r>
          </w:p>
        </w:tc>
      </w:tr>
    </w:tbl>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Synergy optimization plan</w:t>
            </w:r>
            <w:r>
              <w:rPr/>
              <w:t xml:space="preserve"> – We previously announced a $25 million synergy plan focused on optimizing our production footprint and eliminating redundancies in manufacturing and warehouse assets. By integrating the newly acquired facilities into our existing footprint, we are optimizing capacities, utilization and better absorbing fixed overheads. This in turn is improving our gross margins. During the year, we increased the synergy plan by $8 million to $33 million and have achieved $24.1 million of those savings to date. We expect to complete the synergy optimization plan in the third quarter of fiscal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Brand and</w:t>
            </w:r>
            <w:r>
              <w:rPr>
                <w:u w:val="single"/>
              </w:rPr>
              <w:t> </w:t>
            </w:r>
            <w:r>
              <w:rPr>
                <w:i/>
                <w:u w:val="single"/>
              </w:rPr>
              <w:t>business investment</w:t>
            </w:r>
            <w:r>
              <w:rPr/>
              <w:t> – We have been and are continuing to increase our investment in the marketing, promotion and infrastructure of our recently acquired brands in order to reestablish their dominance in their core markets. Our intention is to fund this investment through the cost savings and synergies achieved through Project 420.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year ended May 31, 2025, our SKU and geographic rationalization resulted in a reduction in net sales of approximately $20 million. We believe this temporary reduction will be offset by the growth of our new product innovation, including in new beverage categories, and brand extensions during the near term future. This revenue reduction has a corresponding decrease in our Adjusted EBITDA for the year ended May 31, 2025, of $6.0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important to note, however, that there is a lag between the discontinuation of the SKUs and the associated reduction in revenue, which has an immediate effect, and the acceleration of the growth of our existing SKUs and the introduction of new innovation and the associated increase in revenue, which takes time due to retailer resets. We also expect these efforts will lead to improved sales and margins, with benefits realized through lower selling costs, as well as reduced requirements for working capital through inventory reductions and an improvement in our cash conversion 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Political and Economic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may continue to be affected by economic, political, legislative, regulatory, legal actions, global volatility and general market disruption resulting from geopolitical tensions, such as Russia's continued incursion into Ukraine, the ongoing events in the Middle East and political uncertainty in certain countries in Europe. Economic conditions, such as recessionary trends, inflation, supply chain disruptions, interest and monetary exchange rates, government fiscal policies, and the recent economic uncertainties resulting from certain changes in U.S. global economic policy, including changes on global trade policies can have a significant effect on operations. More specifically, there are no expected impacts on revenue from the recently enacted U.S. tariffs and foreign enacted retaliatory tariffs (“Tariffs”). From a cost perspective, we believe the recently enacted tariffs could impact input materials such as aluminum, hops, barley, malt and vape componentry which are partially imported but we intend to mitigate these impacts to the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results, in millions except for per share data,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4"/>
        <w:gridCol w:w="60"/>
        <w:gridCol w:w="125"/>
        <w:gridCol w:w="905"/>
        <w:gridCol w:w="80"/>
        <w:gridCol w:w="60"/>
        <w:gridCol w:w="125"/>
        <w:gridCol w:w="755"/>
        <w:gridCol w:w="80"/>
        <w:gridCol w:w="60"/>
        <w:gridCol w:w="125"/>
        <w:gridCol w:w="905"/>
        <w:gridCol w:w="80"/>
        <w:gridCol w:w="60"/>
        <w:gridCol w:w="125"/>
        <w:gridCol w:w="905"/>
        <w:gridCol w:w="80"/>
        <w:gridCol w:w="60"/>
        <w:gridCol w:w="60"/>
        <w:gridCol w:w="485"/>
        <w:gridCol w:w="205"/>
        <w:gridCol w:w="60"/>
        <w:gridCol w:w="125"/>
        <w:gridCol w:w="905"/>
        <w:gridCol w:w="80"/>
        <w:gridCol w:w="60"/>
        <w:gridCol w:w="60"/>
        <w:gridCol w:w="545"/>
        <w:gridCol w:w="206"/>
      </w:tblGrid>
      <w:tr>
        <w:trPr/>
        <w:tc>
          <w:tcPr>
            <w:tcW w:w="2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06" w:type="dxa"/>
            <w:tcBorders/>
            <w:shd w:fill="FFFFFF" w:val="clear"/>
            <w:vAlign w:val="center"/>
          </w:tcPr>
          <w:p>
            <w:pPr>
              <w:pStyle w:val="TableContents"/>
              <w:bidi w:val="0"/>
              <w:spacing w:before="0" w:after="283"/>
              <w:jc w:val="left"/>
              <w:rPr/>
            </w:pPr>
            <w:r>
              <w:rPr/>
              <w:t> </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vs. 2023</w:t>
            </w:r>
          </w:p>
        </w:tc>
        <w:tc>
          <w:tcPr>
            <w:tcW w:w="206" w:type="dxa"/>
            <w:tcBorders/>
            <w:shd w:fill="FFFFFF" w:val="clear"/>
            <w:vAlign w:val="center"/>
          </w:tcPr>
          <w:p>
            <w:pPr>
              <w:pStyle w:val="TableContents"/>
              <w:bidi w:val="0"/>
              <w:spacing w:before="0" w:after="283"/>
              <w:jc w:val="left"/>
              <w:rPr/>
            </w:pPr>
            <w:r>
              <w:rPr/>
              <w:t> </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627,124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580,739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565,591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480,164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15,148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2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85,427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 </w:t>
            </w:r>
          </w:p>
        </w:tc>
        <w:tc>
          <w:tcPr>
            <w:tcW w:w="206" w:type="dxa"/>
            <w:tcBorders/>
            <w:shd w:fill="FFFFFF" w:val="clear"/>
            <w:vAlign w:val="center"/>
          </w:tcPr>
          <w:p>
            <w:pPr>
              <w:pStyle w:val="TableContents"/>
              <w:bidi w:val="0"/>
              <w:spacing w:before="0" w:after="283"/>
              <w:jc w:val="left"/>
              <w:rPr/>
            </w:pPr>
            <w:r>
              <w:rPr/>
              <w:t> </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(1,947</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intangible assets and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246,330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(203,649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(1,734</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w:t>
            </w:r>
          </w:p>
        </w:tc>
        <w:tc>
          <w:tcPr>
            <w:tcW w:w="20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w:t>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2,523,275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398,096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1,516,645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2,125,179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w:t>
            </w:r>
          </w:p>
        </w:tc>
        <w:tc>
          <w:tcPr>
            <w:tcW w:w="2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(1,118,549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(2,282,705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(174,745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(1,369,685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(2,107,960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1,206</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1,194,940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(36,433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(13,587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(22,846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w:t>
            </w:r>
          </w:p>
        </w:tc>
        <w:tc>
          <w:tcPr>
            <w:tcW w:w="20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Non-operating (expense)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(37,842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(66,909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29,067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(2,302,373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(1,450,181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(2,053,353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1,201,161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20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8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(121,017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(94,401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(19,435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(1,443,000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(1,958,952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reports its financial results in accordance with U.S. GAAP. However, throughout this Management’s Discussion and Analysis of Financial Condition and Results of Operations in this Annual Report on Form 10-K, we discuss non-GAAP financial measures, including reference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(excluding purchase price allocation (“PPA”) step up and inventory valuation allowance) consolidated and for each reporting segment (Cannabis, Beverage, Distribution and Wellness),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(excluding PPA step up and inventory valuation allowance) consolidated and for each reporting segment (Cannabis, Beverage, Distribution and Wellness),</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10"/>
        <w:gridCol w:w="15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60"/>
        <w:gridCol w:w="110"/>
        <w:gridCol w:w="2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marketable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10"/>
        <w:gridCol w:w="62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constant currency presentation of net revenue (by segment and consolidated).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these non-GAAP financial measures should be considered in addition to, and not in lieu of, the financial measures calculated and presented in accordance with accounting principles generally accepted in the United States of America, (“GAAP”). These measures are presented to help investors’ overall understanding of our financial performance and should not be considered in isolation or as a substitute for, or superior to, the financial information prepared and presented in accordance with GAAP.  Because non-GAAP financial measures are not standardized, it may not be possible to compare these financial measures with other companies' non-GAAP financial measures having the same or similar names. These non-GAAP financial measures reflect an additional way of viewing aspects of operations that, when viewed with U.S. GAAP results, provide a more complete understanding of the business. The Company strongly encourages investors and shareholders to review Company financial statements and publicly filed reports in their entirety and not to rely on any single financial measure. Please see “Reconciliation of Non-GAAP Financial Measures to GAAP Measures” below for a reconciliation of such non-GAAP Measures to the most directly comparable GAAP financial measures, as well as a discussion of our adjusted gross margin, adjusted gross profit and adjusted EBITDA measures and the calculation of such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i/>
          <w:caps w:val="false"/>
          <w:smallCaps w:val="false"/>
          <w:sz w:val="20"/>
        </w:rPr>
      </w:pPr>
      <w:r>
        <w:rPr>
          <w:rFonts w:ascii="Times New Roman" w:hAnsi="Times New Roman"/>
          <w:i/>
          <w:caps w:val="false"/>
          <w:smallCaps w:val="false"/>
          <w:sz w:val="20"/>
        </w:rPr>
        <w:t>Constant Currency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year’s results in local currencies multiplied by the change in average foreign currency exchange rate between the current fiscal period and the corresponding period of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Cash and Marketable Securities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combines the Cash and cash equivalent financial statement line item with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two GAAP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Metrics and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pStyle w:val="TextBody"/>
        <w:bidi w:val="0"/>
        <w:spacing w:before="0" w:after="0"/>
        <w:ind w:left="0" w:right="0" w:firstLine="720"/>
        <w:jc w:val="both"/>
        <w:rPr>
          <w:caps w:val="false"/>
          <w:smallCaps w:val="false"/>
        </w:rPr>
      </w:pPr>
      <w:r>
        <w:rPr>
          <w:caps w:val="false"/>
          <w:smallCaps w:val="false"/>
        </w:rPr>
        <w:t> </w:t>
      </w:r>
    </w:p>
    <w:tbl>
      <w:tblPr>
        <w:tblW w:w="8090" w:type="dxa"/>
        <w:jc w:val="left"/>
        <w:tblInd w:w="0" w:type="dxa"/>
        <w:tblLayout w:type="fixed"/>
        <w:tblCellMar>
          <w:top w:w="0" w:type="dxa"/>
          <w:left w:w="0" w:type="dxa"/>
          <w:bottom w:w="0" w:type="dxa"/>
          <w:right w:w="0" w:type="dxa"/>
        </w:tblCellMar>
      </w:tblPr>
      <w:tblGrid>
        <w:gridCol w:w="4895"/>
        <w:gridCol w:w="60"/>
        <w:gridCol w:w="125"/>
        <w:gridCol w:w="695"/>
        <w:gridCol w:w="185"/>
        <w:gridCol w:w="60"/>
        <w:gridCol w:w="125"/>
        <w:gridCol w:w="695"/>
        <w:gridCol w:w="185"/>
        <w:gridCol w:w="60"/>
        <w:gridCol w:w="125"/>
        <w:gridCol w:w="695"/>
        <w:gridCol w:w="185"/>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beverage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95,093</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cannabis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220,430</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258,770</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52,831</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48,770</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162,755</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241,896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230,596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231,309</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37,330</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gross profit (excluding PPA step-up)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235,581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206,442</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adjusted gross margin (excluding PPA step-up)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adjusted gross margin (excluding PPA step-up)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58,679</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marketable securities (1) as at the year ended: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256,363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260,522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448,529</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 as at the year ended: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408,323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378,540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340,050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(1) </w:t>
            </w:r>
          </w:p>
        </w:tc>
        <w:tc>
          <w:tcPr>
            <w:tcW w:w="99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Adjusted EBITDA, adjusted gross profit, adjusted gross margin for each of our segments are non-GAAP financial measures, and cash and marketable securities. See</w:t>
            </w:r>
            <w:r>
              <w:rPr>
                <w:rFonts w:ascii="Times New Roman" w:hAnsi="Times New Roman"/>
                <w:caps w:val="false"/>
                <w:smallCaps w:val="false"/>
                <w:sz w:val="20"/>
              </w:rPr>
              <w:t> “</w:t>
            </w:r>
            <w:r>
              <w:rPr>
                <w:rFonts w:ascii="Times New Roman" w:hAnsi="Times New Roman"/>
                <w:i/>
                <w:caps w:val="false"/>
                <w:smallCaps w:val="false"/>
                <w:sz w:val="20"/>
              </w:rPr>
              <w:t>Reconciliation of Non-GAAP Financial Measures to GAAP Measures</w:t>
            </w:r>
            <w:r>
              <w:rPr>
                <w:rFonts w:ascii="Times New Roman" w:hAnsi="Times New Roman"/>
                <w:caps w:val="false"/>
                <w:smallCaps w:val="false"/>
                <w:sz w:val="20"/>
              </w:rPr>
              <w:t>” </w:t>
            </w:r>
            <w:r>
              <w:rPr>
                <w:rFonts w:ascii="Times New Roman" w:hAnsi="Times New Roman"/>
                <w:i/>
                <w:caps w:val="false"/>
                <w:smallCaps w:val="false"/>
                <w:sz w:val="20"/>
              </w:rPr>
              <w:t>below for a reconciliation of these Non-GAAP Measures to our most comparable GAAP measure and the discussion above captioned "Cash and Marketable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reportable segments net revenue is primarily comprised of net revenues from our beverage, cannabis, distribution, and wellness operations, as follows:</w:t>
      </w:r>
    </w:p>
    <w:p>
      <w:pPr>
        <w:pStyle w:val="TextBody"/>
        <w:bidi w:val="0"/>
        <w:spacing w:before="0" w:after="0"/>
        <w:ind w:left="0" w:right="0" w:firstLine="72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420"/>
        <w:gridCol w:w="60"/>
        <w:gridCol w:w="125"/>
        <w:gridCol w:w="695"/>
        <w:gridCol w:w="60"/>
        <w:gridCol w:w="60"/>
        <w:gridCol w:w="125"/>
        <w:gridCol w:w="695"/>
        <w:gridCol w:w="60"/>
        <w:gridCol w:w="60"/>
        <w:gridCol w:w="125"/>
        <w:gridCol w:w="695"/>
        <w:gridCol w:w="60"/>
        <w:gridCol w:w="60"/>
        <w:gridCol w:w="125"/>
        <w:gridCol w:w="650"/>
        <w:gridCol w:w="80"/>
        <w:gridCol w:w="60"/>
        <w:gridCol w:w="60"/>
        <w:gridCol w:w="230"/>
        <w:gridCol w:w="245"/>
        <w:gridCol w:w="60"/>
        <w:gridCol w:w="125"/>
        <w:gridCol w:w="695"/>
        <w:gridCol w:w="80"/>
        <w:gridCol w:w="60"/>
        <w:gridCol w:w="60"/>
        <w:gridCol w:w="335"/>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vs. 2023</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reportable segments net revenue reported in constant currency(1) are as follows:</w:t>
      </w:r>
    </w:p>
    <w:p>
      <w:pPr>
        <w:pStyle w:val="TextBody"/>
        <w:bidi w:val="0"/>
        <w:spacing w:before="0" w:after="0"/>
        <w:ind w:left="0" w:right="0" w:firstLine="720"/>
        <w:jc w:val="both"/>
        <w:rPr>
          <w:caps w:val="false"/>
          <w:smallCaps w:val="false"/>
        </w:rPr>
      </w:pPr>
      <w:r>
        <w:rPr>
          <w:caps w:val="false"/>
          <w:smallCaps w:val="false"/>
        </w:rPr>
        <w:t> </w:t>
      </w:r>
    </w:p>
    <w:tbl>
      <w:tblPr>
        <w:tblW w:w="7411" w:type="dxa"/>
        <w:jc w:val="left"/>
        <w:tblInd w:w="0" w:type="dxa"/>
        <w:tblLayout w:type="fixed"/>
        <w:tblCellMar>
          <w:top w:w="0" w:type="dxa"/>
          <w:left w:w="0" w:type="dxa"/>
          <w:bottom w:w="0" w:type="dxa"/>
          <w:right w:w="0" w:type="dxa"/>
        </w:tblCellMar>
      </w:tblPr>
      <w:tblGrid>
        <w:gridCol w:w="2420"/>
        <w:gridCol w:w="60"/>
        <w:gridCol w:w="194"/>
        <w:gridCol w:w="1087"/>
        <w:gridCol w:w="92"/>
        <w:gridCol w:w="92"/>
        <w:gridCol w:w="194"/>
        <w:gridCol w:w="1087"/>
        <w:gridCol w:w="60"/>
        <w:gridCol w:w="60"/>
        <w:gridCol w:w="125"/>
        <w:gridCol w:w="650"/>
        <w:gridCol w:w="80"/>
        <w:gridCol w:w="60"/>
        <w:gridCol w:w="187"/>
        <w:gridCol w:w="718"/>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254,584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277,187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61,370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833,736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geographic net revenue is, as follows:</w:t>
      </w:r>
    </w:p>
    <w:p>
      <w:pPr>
        <w:pStyle w:val="TextBody"/>
        <w:bidi w:val="0"/>
        <w:spacing w:before="0" w:after="0"/>
        <w:ind w:left="0" w:right="0" w:firstLine="72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420"/>
        <w:gridCol w:w="60"/>
        <w:gridCol w:w="125"/>
        <w:gridCol w:w="695"/>
        <w:gridCol w:w="60"/>
        <w:gridCol w:w="60"/>
        <w:gridCol w:w="125"/>
        <w:gridCol w:w="695"/>
        <w:gridCol w:w="60"/>
        <w:gridCol w:w="60"/>
        <w:gridCol w:w="125"/>
        <w:gridCol w:w="695"/>
        <w:gridCol w:w="60"/>
        <w:gridCol w:w="60"/>
        <w:gridCol w:w="125"/>
        <w:gridCol w:w="650"/>
        <w:gridCol w:w="80"/>
        <w:gridCol w:w="60"/>
        <w:gridCol w:w="60"/>
        <w:gridCol w:w="290"/>
        <w:gridCol w:w="245"/>
        <w:gridCol w:w="60"/>
        <w:gridCol w:w="125"/>
        <w:gridCol w:w="695"/>
        <w:gridCol w:w="80"/>
        <w:gridCol w:w="60"/>
        <w:gridCol w:w="60"/>
        <w:gridCol w:w="29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vs. 2023</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201,361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88"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Our geographic net revenue in constant currency(1) is, as follows:</w:t>
      </w:r>
    </w:p>
    <w:p>
      <w:pPr>
        <w:pStyle w:val="TextBody"/>
        <w:bidi w:val="0"/>
        <w:spacing w:before="0" w:after="0"/>
        <w:ind w:left="0" w:right="0" w:firstLine="660"/>
        <w:jc w:val="both"/>
        <w:rPr>
          <w:caps w:val="false"/>
          <w:smallCaps w:val="false"/>
        </w:rPr>
      </w:pPr>
      <w:r>
        <w:rPr>
          <w:caps w:val="false"/>
          <w:smallCaps w:val="false"/>
        </w:rPr>
        <w:t> </w:t>
      </w:r>
    </w:p>
    <w:tbl>
      <w:tblPr>
        <w:tblW w:w="7411" w:type="dxa"/>
        <w:jc w:val="left"/>
        <w:tblInd w:w="0" w:type="dxa"/>
        <w:tblLayout w:type="fixed"/>
        <w:tblCellMar>
          <w:top w:w="0" w:type="dxa"/>
          <w:left w:w="0" w:type="dxa"/>
          <w:bottom w:w="0" w:type="dxa"/>
          <w:right w:w="0" w:type="dxa"/>
        </w:tblCellMar>
      </w:tblPr>
      <w:tblGrid>
        <w:gridCol w:w="2420"/>
        <w:gridCol w:w="60"/>
        <w:gridCol w:w="194"/>
        <w:gridCol w:w="1087"/>
        <w:gridCol w:w="92"/>
        <w:gridCol w:w="92"/>
        <w:gridCol w:w="194"/>
        <w:gridCol w:w="1087"/>
        <w:gridCol w:w="60"/>
        <w:gridCol w:w="60"/>
        <w:gridCol w:w="125"/>
        <w:gridCol w:w="650"/>
        <w:gridCol w:w="80"/>
        <w:gridCol w:w="60"/>
        <w:gridCol w:w="155"/>
        <w:gridCol w:w="75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273,695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219,463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322,960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17,618</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833,736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Our geographic capital assets are, as follows:</w:t>
      </w:r>
    </w:p>
    <w:p>
      <w:pPr>
        <w:pStyle w:val="TextBody"/>
        <w:bidi w:val="0"/>
        <w:spacing w:before="0" w:after="0"/>
        <w:ind w:left="0" w:right="0" w:firstLine="660"/>
        <w:jc w:val="both"/>
        <w:rPr>
          <w:caps w:val="false"/>
          <w:smallCaps w:val="false"/>
        </w:rPr>
      </w:pPr>
      <w:r>
        <w:rPr>
          <w:caps w:val="false"/>
          <w:smallCaps w:val="false"/>
        </w:rPr>
        <w:t> </w:t>
      </w:r>
    </w:p>
    <w:tbl>
      <w:tblPr>
        <w:tblW w:w="6452" w:type="dxa"/>
        <w:jc w:val="left"/>
        <w:tblInd w:w="0" w:type="dxa"/>
        <w:tblLayout w:type="fixed"/>
        <w:tblCellMar>
          <w:top w:w="0" w:type="dxa"/>
          <w:left w:w="0" w:type="dxa"/>
          <w:bottom w:w="0" w:type="dxa"/>
          <w:right w:w="0" w:type="dxa"/>
        </w:tblCellMar>
      </w:tblPr>
      <w:tblGrid>
        <w:gridCol w:w="2420"/>
        <w:gridCol w:w="60"/>
        <w:gridCol w:w="166"/>
        <w:gridCol w:w="926"/>
        <w:gridCol w:w="79"/>
        <w:gridCol w:w="79"/>
        <w:gridCol w:w="166"/>
        <w:gridCol w:w="926"/>
        <w:gridCol w:w="60"/>
        <w:gridCol w:w="60"/>
        <w:gridCol w:w="125"/>
        <w:gridCol w:w="650"/>
        <w:gridCol w:w="80"/>
        <w:gridCol w:w="60"/>
        <w:gridCol w:w="60"/>
        <w:gridCol w:w="29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267,458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313,359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(45,901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97,371</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capital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Beverage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from our Beverage operations increased to $240.6 million for the fiscal year ended May 31, 2025, compared to net revenue of $202.1 million for the prior fiscal year ended May 31, 2024. The increase in beverage revenue was primarily driven by our newly launched innovation in the HD-D9 product category and our Craft Acquisition II, which was effective as of September 1, 2024, and included the brands and breweries of Hop Valley Brewing Company, Terrapin Beer Company, Revolver Brewing, and Atwater Brewery. Further, the prior fiscal year period did not reflect a full period of revenue from Craft Acquisition I, which was completed on September 29, 2023. These impacts to beverage revenue were offset by the SKU rationalization implemented in connection with Project 420, which resulted in a reduction of net revenue by approximately $20 million for the fiscal year ended May 31, 2025.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Cannabis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Cannabis revenue based on market channel is, as follows:</w:t>
      </w:r>
    </w:p>
    <w:p>
      <w:pPr>
        <w:pStyle w:val="TextBody"/>
        <w:bidi w:val="0"/>
        <w:spacing w:before="0" w:after="0"/>
        <w:ind w:left="0" w:right="0" w:firstLine="72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3545"/>
        <w:gridCol w:w="60"/>
        <w:gridCol w:w="125"/>
        <w:gridCol w:w="695"/>
        <w:gridCol w:w="80"/>
        <w:gridCol w:w="60"/>
        <w:gridCol w:w="125"/>
        <w:gridCol w:w="695"/>
        <w:gridCol w:w="80"/>
        <w:gridCol w:w="60"/>
        <w:gridCol w:w="125"/>
        <w:gridCol w:w="695"/>
        <w:gridCol w:w="80"/>
        <w:gridCol w:w="60"/>
        <w:gridCol w:w="125"/>
        <w:gridCol w:w="650"/>
        <w:gridCol w:w="80"/>
        <w:gridCol w:w="60"/>
        <w:gridCol w:w="60"/>
        <w:gridCol w:w="290"/>
        <w:gridCol w:w="245"/>
        <w:gridCol w:w="60"/>
        <w:gridCol w:w="125"/>
        <w:gridCol w:w="650"/>
        <w:gridCol w:w="80"/>
        <w:gridCol w:w="60"/>
        <w:gridCol w:w="60"/>
        <w:gridCol w:w="485"/>
        <w:gridCol w:w="185"/>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vs. 2023</w:t>
            </w:r>
          </w:p>
        </w:tc>
        <w:tc>
          <w:tcPr>
            <w:tcW w:w="18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Cannabis revenue based on market channel in constant currency(1) is, as follows:</w:t>
      </w:r>
    </w:p>
    <w:p>
      <w:pPr>
        <w:pStyle w:val="TextBody"/>
        <w:bidi w:val="0"/>
        <w:spacing w:before="0" w:after="0"/>
        <w:ind w:left="0" w:right="0" w:firstLine="720"/>
        <w:jc w:val="left"/>
        <w:rPr>
          <w:caps w:val="false"/>
          <w:smallCaps w:val="false"/>
        </w:rPr>
      </w:pPr>
      <w:r>
        <w:rPr>
          <w:caps w:val="false"/>
          <w:smallCaps w:val="false"/>
        </w:rPr>
        <w:t> </w:t>
      </w:r>
    </w:p>
    <w:tbl>
      <w:tblPr>
        <w:tblW w:w="8557" w:type="dxa"/>
        <w:jc w:val="left"/>
        <w:tblInd w:w="0" w:type="dxa"/>
        <w:tblLayout w:type="fixed"/>
        <w:tblCellMar>
          <w:top w:w="0" w:type="dxa"/>
          <w:left w:w="0" w:type="dxa"/>
          <w:bottom w:w="0" w:type="dxa"/>
          <w:right w:w="0" w:type="dxa"/>
        </w:tblCellMar>
      </w:tblPr>
      <w:tblGrid>
        <w:gridCol w:w="3545"/>
        <w:gridCol w:w="60"/>
        <w:gridCol w:w="192"/>
        <w:gridCol w:w="1074"/>
        <w:gridCol w:w="123"/>
        <w:gridCol w:w="92"/>
        <w:gridCol w:w="192"/>
        <w:gridCol w:w="1074"/>
        <w:gridCol w:w="80"/>
        <w:gridCol w:w="60"/>
        <w:gridCol w:w="125"/>
        <w:gridCol w:w="650"/>
        <w:gridCol w:w="80"/>
        <w:gridCol w:w="60"/>
        <w:gridCol w:w="155"/>
        <w:gridCol w:w="750"/>
        <w:gridCol w:w="245"/>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2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25,797</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230,953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18,779</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63,211</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revenue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338,740</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(84,156</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254,584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(1)</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constant currency presentation of our Cannabis revenue based on market channel is a non-GAAP financial measure.</w:t>
            </w:r>
            <w:r>
              <w:rPr>
                <w:rFonts w:ascii="Times New Roman" w:hAnsi="Times New Roman"/>
                <w:caps w:val="false"/>
                <w:smallCaps w:val="false"/>
                <w:sz w:val="20"/>
              </w:rPr>
              <w:t> </w:t>
            </w:r>
            <w:r>
              <w:rPr>
                <w:rFonts w:ascii="Times New Roman" w:hAnsi="Times New Roman"/>
                <w:i/>
                <w:caps w:val="false"/>
                <w:smallCaps w:val="false"/>
                <w:sz w:val="20"/>
              </w:rPr>
              <w:t>See</w:t>
            </w:r>
            <w:r>
              <w:rPr>
                <w:rFonts w:ascii="Times New Roman" w:hAnsi="Times New Roman"/>
                <w:caps w:val="false"/>
                <w:smallCaps w:val="false"/>
                <w:sz w:val="20"/>
              </w:rPr>
              <w:t> “</w:t>
            </w:r>
            <w:r>
              <w:rPr>
                <w:rFonts w:ascii="Times New Roman" w:hAnsi="Times New Roman"/>
                <w:i/>
                <w:caps w:val="false"/>
                <w:smallCaps w:val="false"/>
                <w:sz w:val="20"/>
              </w:rPr>
              <w:t>Use of Non-GAAP Measures</w:t>
            </w:r>
            <w:r>
              <w:rPr>
                <w:rFonts w:ascii="Times New Roman" w:hAnsi="Times New Roman"/>
                <w:caps w:val="false"/>
                <w:smallCaps w:val="false"/>
                <w:sz w:val="20"/>
              </w:rPr>
              <w:t> –</w:t>
            </w:r>
            <w:r>
              <w:rPr>
                <w:rFonts w:ascii="Times New Roman" w:hAnsi="Times New Roman"/>
                <w:i/>
                <w:caps w:val="false"/>
                <w:smallCaps w:val="false"/>
                <w:sz w:val="20"/>
              </w:rPr>
              <w:t>Constant Currency Presentation</w:t>
            </w:r>
            <w:r>
              <w:rPr>
                <w:rFonts w:ascii="Times New Roman" w:hAnsi="Times New Roman"/>
                <w:caps w:val="false"/>
                <w:smallCaps w:val="false"/>
                <w:sz w:val="20"/>
              </w:rPr>
              <w:t>” </w:t>
            </w:r>
            <w:r>
              <w:rPr>
                <w:rFonts w:ascii="Times New Roman" w:hAnsi="Times New Roman"/>
                <w:i/>
                <w:caps w:val="false"/>
                <w:smallCaps w:val="false"/>
                <w:sz w:val="20"/>
              </w:rPr>
              <w:t>above for a discussion of these Non-GAAP Measures.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 from medical cannabis: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revenue from Canadian medical cannabis decreased 1% to $25.0 million for the fiscal year ended May 31, 2025</w:t>
      </w:r>
      <w:r>
        <w:rPr>
          <w:rFonts w:ascii="Times New Roman" w:hAnsi="Times New Roman"/>
          <w:b/>
          <w:i/>
          <w:caps w:val="false"/>
          <w:smallCaps w:val="false"/>
          <w:sz w:val="20"/>
        </w:rPr>
        <w:t>,</w:t>
      </w:r>
      <w:r>
        <w:rPr>
          <w:rFonts w:ascii="Times New Roman" w:hAnsi="Times New Roman"/>
          <w:caps w:val="false"/>
          <w:smallCaps w:val="false"/>
          <w:sz w:val="20"/>
        </w:rPr>
        <w:t xml:space="preserve"> compared to gross revenue of $25.2 million for the fiscal year ended May 31, 2024. On a constant currency basis, gross revenue from Canadian medical cannabis increased to $25.8 million from $25.2 million for the fiscal year ended May 31, 2025. This increase in gross revenue from medical cannabis on a constant currency basis was primarily driven by growth in the insured patient category exceeding the decline in uninsured patient attrition to the adult-use recreational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 xml:space="preserve">Revenue from adult-use cannabis: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2025 our gross revenue from Canadian adult-use cannabis product decreased 16% to $224.0 million compared to revenue of $266.8 million for the prior fiscal year. On a constant currency basis, our gross revenue from Canadian adult-use cannabis decreased 13% to $231.0 million for the fiscal year ended May 31, 2025. The decrease in gross adult-use revenue was driven by our renewed focus on preserving gross margin and maintaining a higher average selling price in growing categories such as vapes that have experienced a high degree of price compression. At the end of the fiscal year ended May 31, 2025, we began increasing our participation in these categories as a result of our capex investments to improve these trends in the near term future. Additionally, we have shifted our strategic focus to redirect 7.2 million grams of cannabis to international cannabis markets to take advantage of the higher margin sales available in these markets. While some of these products were sold during the fourth fiscal quarter, some inventories were deferred to fiscal year 2026. The resulting impact of this strategic decision caused a temporary decline in gross adult-use cannabis revenue and cannabis revenue overall until their eventual sale. We intend to enhance our global supply chain through Phase II of our accelerated growth plan and increase our cultivation footprint to support the growing demand in both the Canadian and international markets. Lastly, gross revenue from Canadian adult-use cannabis products also included $1.5 million of cannabis advisory services revenue in the fiscal year ended May 31, 2025, compared to $1.5 million in the fiscal year ended May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Wholesale cannabis revenue: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revenue from wholesale cannabis decreased to $18.2 million for the fiscal year ended May 31, 2025, compared to revenue of $25.3 million for the prior fiscal year ended May 31, 2024. On a constant currency basis, gross revenue from wholesale cannabis for the fiscal year ended May 31, 2025 was $18.8 million compared to $25.3 million for the prior fiscal year ended May 31, 2024. Due to the transition to asset-light business models, the Canadian cannabis industry has experienced a reduction in excess inventory resulting in price increases in the B2B market. This shift in market dynamics and demand enabled us to strategically sell inventory that was sought after in the wholesale market during the fiscal year but does not meet the high standards required for our branded product. In the near-term, we anticipate continued volatility and fluctuation in the wholesale market, and we will assess market conditions on a quarterly basis. Specifically, during the fourth quarter market conditions were less favorable and as a result we did not participate in the same volume of transactions when compared to the prior year fourth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International cannabis revenue: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from international cannabis increased 19% to $63.4 million for the fiscal year ended May 31, 2025, compared to net revenue of $53.3 million for the fiscal year ended May 31, 2024. On a constant currency basis, net revenue from international cannabis increased 19% to $63.2 million, compared to the prior year period. The increase during the fiscal year was primarily driven by higher sales in Germany, attributed to the expanding German medical market where we maintained our leadership position in the reimbursed market and increased our sales in the self-pay market. This growth was partially offset by lower revenue in Poland when compared to the prior year period driven by the delay in the receipt of export/import permits and lower prescriptions due to restrictions placed on telemedicine in November 2024 as well as lower revenue in Australia and the strategic decision to exit the New Zealand medical market. International cannabis net revenue may fluctuate from quarter to quarter based upon the timing of the receipt of export/import permits as well as the timing of shipments from one quarter to the next. In the fourth quarter, we experienced extensive delays in the receipt of export permits from the Portugal authorities resulting in approximately 2.1 million grams of medical cannabis flowers that we had expected to ship to other markets instead of remaining in Portugal.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Distribution revenue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from Distribution operations increased 5% to $271.2 million for the fiscal year ended May 31, 2025, compared to net revenue of $258.7 million for the prior fiscal year ended May 31, 2024. On a constant currency basis, given the change in the Euro and Argentine Peso against the U.S. Dollar during the fiscal year, net revenue from Distribution was $277.2 million for the fiscal year ended May 31, 2025, when compared to prior year period. The increase in distribution revenue, on a constant currency basis, for the fiscal year was driven by a change in product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Wellness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Wellness net revenue increased to $60.5 million for the fiscal year ended May 31, 2025 compared to $55.3 million for the fiscal year ended May 31, 2024. On a constant currency basis for the fiscal year ended May 31, 2025, Wellness net revenue increased to $61.4 million from $55.3 million. The increase in net revenue was primarily attributed to our strategic focus on expanding our product range, including the relaunch of HiBall energy drinks and organic growth within our branded hemp food business related to higher consumption.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gross profit and gross margin for the fiscal years ended May 31, 2025, 2024 and 2023 were as follows for our each of our operating segments: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4"/>
        <w:gridCol w:w="60"/>
        <w:gridCol w:w="125"/>
        <w:gridCol w:w="695"/>
        <w:gridCol w:w="185"/>
        <w:gridCol w:w="60"/>
        <w:gridCol w:w="125"/>
        <w:gridCol w:w="695"/>
        <w:gridCol w:w="185"/>
        <w:gridCol w:w="60"/>
        <w:gridCol w:w="125"/>
        <w:gridCol w:w="695"/>
        <w:gridCol w:w="185"/>
        <w:gridCol w:w="60"/>
        <w:gridCol w:w="125"/>
        <w:gridCol w:w="650"/>
        <w:gridCol w:w="232"/>
        <w:gridCol w:w="60"/>
        <w:gridCol w:w="119"/>
        <w:gridCol w:w="786"/>
        <w:gridCol w:w="232"/>
        <w:gridCol w:w="60"/>
        <w:gridCol w:w="125"/>
        <w:gridCol w:w="695"/>
        <w:gridCol w:w="232"/>
        <w:gridCol w:w="60"/>
        <w:gridCol w:w="119"/>
        <w:gridCol w:w="786"/>
        <w:gridCol w:w="235"/>
      </w:tblGrid>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295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5" w:type="dxa"/>
            <w:tcBorders/>
            <w:shd w:fill="FFFF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vs. 2023</w:t>
            </w:r>
          </w:p>
        </w:tc>
        <w:tc>
          <w:tcPr>
            <w:tcW w:w="235"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38,501</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107,001</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64,752</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42,249</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accounting step-up</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(2,992</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42,369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(23,797</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52,368</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(32,589</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8,792</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32,529</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price accounting step-up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(7,628</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7,628</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235"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valuation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(14,843</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center"/>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12,488</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231,309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Wellness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center"/>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32,367</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161,818</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15,148</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85,427</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76,391</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valuation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accounting step-up</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7,748</w:t>
            </w:r>
          </w:p>
        </w:tc>
        <w:tc>
          <w:tcPr>
            <w:tcW w:w="2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29,139</w:t>
            </w:r>
          </w:p>
        </w:tc>
        <w:tc>
          <w:tcPr>
            <w:tcW w:w="2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lineRule="auto" w:line="288"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(1)</w:t>
            </w:r>
          </w:p>
        </w:tc>
        <w:tc>
          <w:tcPr>
            <w:tcW w:w="10015" w:type="dxa"/>
            <w:tcBorders/>
            <w:vAlign w:val="center"/>
          </w:tcPr>
          <w:p>
            <w:pPr>
              <w:pStyle w:val="TableContents"/>
              <w:bidi w:val="0"/>
              <w:spacing w:before="0" w:after="283"/>
              <w:jc w:val="left"/>
              <w:rPr/>
            </w:pPr>
            <w:r>
              <w:rPr>
                <w:i/>
              </w:rPr>
              <w:t>Adjusted gross profit is our Gross profit (adjusted to exclude inventory valuation adjustment and purchase price accounting valuation step-up) and adjusted gross margin</w:t>
            </w:r>
            <w:r>
              <w:rPr/>
              <w:t> </w:t>
            </w:r>
            <w:r>
              <w:rPr>
                <w:i/>
              </w:rPr>
              <w:t>is our Gross margin (adjusted to exclude inventory valuation adjustment and purchase price accounting valuation step-up) and are non-GAAP financial measures. See</w:t>
            </w:r>
            <w:r>
              <w:rPr/>
              <w:t xml:space="preserve"> “</w:t>
            </w:r>
            <w:r>
              <w:rPr>
                <w:i/>
              </w:rPr>
              <w:t>Reconciliation of Non-GAAP Financial Measures to GAAP Measures</w:t>
            </w:r>
            <w:r>
              <w:rPr/>
              <w:t xml:space="preserve">” </w:t>
            </w:r>
            <w:r>
              <w:rPr>
                <w:i/>
              </w:rPr>
              <w:t>for additional discussion regarding these non-GAAP measures. The Company</w:t>
            </w:r>
            <w:r>
              <w:rPr/>
              <w:t>’</w:t>
            </w:r>
            <w:r>
              <w:rPr>
                <w:i/>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Gross Profit and Adjusted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Adjusted gross profit and adjusted gross margin are non-GAAP financial measures and may not be comparable to similar measures presented by other companies.  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both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without the impacts of the aforementioned adjusted items.  We do not consider adjusted gross profit and adjusted gross margin percentage in isolation or as an alternative to financial measures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Beverage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of 39% for the fiscal year ended May 31, 2025 decreased from 44% when compared to the fiscal year ended May 31, 2024. Adjusted gross margin of 39% decreased in the fiscal year ended May 31, 2025, from 46% in the fiscal year ended May 31, 2024. The change in the adjusted beverage gross margin during the fiscal year ended May 31, 2025 was driven by several factors, including our continued integration efforts of our Craft Acquisition I. The increased utilization of our facilities and improvements in our product mix as part of our strategic initiatives under Project 420 had favorable impacts on our adjusted gross margin, however, these improvements were more than offset by the impacts from the Craft Acquisition II, which has lower margins than our existing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Cannabis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increased during the fiscal year ended May 31, 2025 to 40% from 33% when compared to the fiscal year ended May 31, 2024. Adjusted gross margin during the fiscal year ended May 31, 2025, increased to 40% from 36% when compared to the prior fiscal year ended May 31, 2024. The improvement in gross margin and adjusted gross margin for the year ended May 31, 2025 was driven by our increased international cannabis revenue as a proportion of total cannabis revenue, which has higher margins than our Canadian cannabis business, as well as a continued focus in our Canadian cannabis business on maintaining a higher average selling price and favorable product mix to improve gross margins.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Distribution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of 11% for the fiscal year ended May 31, 2025 remained consistent when compared to the fiscal year ended May 31, 2024, despite shortages in key pharmaceutical product lines as well as price reductions in certain key pharmaceutical lines 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i/>
          <w:caps w:val="false"/>
          <w:smallCaps w:val="false"/>
          <w:sz w:val="20"/>
        </w:rPr>
        <w:t>Wellness gross margin:</w:t>
      </w:r>
      <w:r>
        <w:rPr>
          <w:rFonts w:ascii="Times New Roman" w:hAnsi="Times New Roman"/>
          <w:b/>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of 32% for the fiscal year ended May 31, 2025 increased from a gross margin of 30% when compared to the fiscal year ended May 31, 2024, resulting from strong operational efficiencies, lower input costs and the culmination of a change in sales mix towards higher margin product offerings including HiBall energy drinks.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5"/>
        <w:gridCol w:w="60"/>
        <w:gridCol w:w="125"/>
        <w:gridCol w:w="845"/>
        <w:gridCol w:w="60"/>
        <w:gridCol w:w="60"/>
        <w:gridCol w:w="125"/>
        <w:gridCol w:w="695"/>
        <w:gridCol w:w="80"/>
        <w:gridCol w:w="60"/>
        <w:gridCol w:w="125"/>
        <w:gridCol w:w="845"/>
        <w:gridCol w:w="80"/>
        <w:gridCol w:w="60"/>
        <w:gridCol w:w="125"/>
        <w:gridCol w:w="845"/>
        <w:gridCol w:w="80"/>
        <w:gridCol w:w="60"/>
        <w:gridCol w:w="60"/>
        <w:gridCol w:w="395"/>
        <w:gridCol w:w="209"/>
        <w:gridCol w:w="60"/>
        <w:gridCol w:w="125"/>
        <w:gridCol w:w="905"/>
        <w:gridCol w:w="80"/>
        <w:gridCol w:w="60"/>
        <w:gridCol w:w="60"/>
        <w:gridCol w:w="545"/>
        <w:gridCol w:w="211"/>
      </w:tblGrid>
      <w:tr>
        <w:trPr/>
        <w:tc>
          <w:tcPr>
            <w:tcW w:w="3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11" w:type="dxa"/>
            <w:tcBorders/>
            <w:shd w:fill="FFFF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vs. 2023</w:t>
            </w:r>
          </w:p>
        </w:tc>
        <w:tc>
          <w:tcPr>
            <w:tcW w:w="211"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(1,947</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intangible assets and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246,330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(203,649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(1,734</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w:t>
            </w:r>
          </w:p>
        </w:tc>
        <w:tc>
          <w:tcPr>
            <w:tcW w:w="21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2,125,179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(1,118,549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2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Operating expenses are comprised of general and administrative; selling; amortization; marketing and promotion; research and development; change in fair value of contingent consideration; impairments; other than temporary change in fair value of convertible notes receivable; litigation costs; net of recoveries; restructuring costs; and transaction costs (income), net. These costs increased by $2,125.2 million to $2,523.3 million for the fiscal year ended May 31, 2025, compared to $398.1 million for the fiscal year ended May 31, 2024. This increase was primarily a result of the non-cash impairments recorded in the period as described in detail below. Additionally, $20.1 million of the increase year over year was attributed to the inclusion of expenses from our recent Craft Acquisition II, effective September 1, 2024, and that the prior year period did not reflect a full period of results from the Craft Acquisition I, which was completed on September 29, 2023. These changes, period over period, are described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and administrative costs</w:t>
      </w:r>
    </w:p>
    <w:p>
      <w:pPr>
        <w:pStyle w:val="TextBody"/>
        <w:bidi w:val="0"/>
        <w:spacing w:before="0" w:after="0"/>
        <w:ind w:left="0" w:right="0" w:hanging="0"/>
        <w:jc w:val="left"/>
        <w:rPr>
          <w:caps w:val="false"/>
          <w:smallCaps w:val="false"/>
        </w:rPr>
      </w:pPr>
      <w:r>
        <w:rPr>
          <w:caps w:val="false"/>
          <w:smallCaps w:val="false"/>
        </w:rPr>
        <w:t> </w:t>
      </w:r>
    </w:p>
    <w:tbl>
      <w:tblPr>
        <w:tblW w:w="9245" w:type="dxa"/>
        <w:jc w:val="left"/>
        <w:tblInd w:w="0" w:type="dxa"/>
        <w:tblLayout w:type="fixed"/>
        <w:tblCellMar>
          <w:top w:w="0" w:type="dxa"/>
          <w:left w:w="0" w:type="dxa"/>
          <w:bottom w:w="0" w:type="dxa"/>
          <w:right w:w="0" w:type="dxa"/>
        </w:tblCellMar>
      </w:tblPr>
      <w:tblGrid>
        <w:gridCol w:w="3110"/>
        <w:gridCol w:w="60"/>
        <w:gridCol w:w="125"/>
        <w:gridCol w:w="695"/>
        <w:gridCol w:w="60"/>
        <w:gridCol w:w="60"/>
        <w:gridCol w:w="125"/>
        <w:gridCol w:w="695"/>
        <w:gridCol w:w="80"/>
        <w:gridCol w:w="60"/>
        <w:gridCol w:w="125"/>
        <w:gridCol w:w="695"/>
        <w:gridCol w:w="80"/>
        <w:gridCol w:w="60"/>
        <w:gridCol w:w="125"/>
        <w:gridCol w:w="545"/>
        <w:gridCol w:w="80"/>
        <w:gridCol w:w="60"/>
        <w:gridCol w:w="60"/>
        <w:gridCol w:w="395"/>
        <w:gridCol w:w="245"/>
        <w:gridCol w:w="60"/>
        <w:gridCol w:w="125"/>
        <w:gridCol w:w="590"/>
        <w:gridCol w:w="80"/>
        <w:gridCol w:w="60"/>
        <w:gridCol w:w="60"/>
        <w:gridCol w:w="485"/>
        <w:gridCol w:w="245"/>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vs. 2023</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and general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8,646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accommodation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general and administrative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 w:hAnsi="Times New Roman"/>
          <w:sz w:val="20"/>
        </w:rPr>
      </w:pPr>
      <w:r>
        <w:rPr>
          <w:rFonts w:ascii="Times New Roman" w:hAnsi="Times New Roman"/>
          <w:sz w:val="20"/>
        </w:rPr>
        <w:t xml:space="preserve">55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Salaries and wages increased by 5% during the fiscal year ended May 31, 2025. The change was primarily due to the inclusion of employees from Craft Acquisition II, effective September 1, 2024, and the prior fiscal year period did not reflect a full period of results from Craft Acquisition I, completed on September 29, 2023. Additionally, included in the fiscal year ended May 31, 2025 was $4.7 million of retention payments that did not occur in the prior fiscal year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Office and general decreased by 1% during the fiscal year ended May 31, 2025. The decrease was primarily due to the inclusion of deposit recoveries of $5.6 million compared to of bad debt recoveries of $4.4 million in the prior fiscal year period ended May 31, 2024. Further, we incurred expenses related to the Craft Acquisition II, effective September 1, 2024, and the prior fiscal year period ended May 31, 2024 did not reflect a full period of results from Craft Acquisition I due to the fact that it was completed on September 29, 2023. These impacts were partially offset by our continued cost saving initiatives.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recognized stock-based compensation expense of $24.3 million for the fiscal year ended May 31, 2025 compared to $31.8 million for the prior fiscal year period. Stock-based compensation expense is based on the time-based vesting schedules and varies according to the assumptions used in the vesting model. The decrease in stock-based compensation was driven by the vesting of previously issued stock options, restricted stock units (“RSUs”) and stock appreciation rights (“SARs”) during the year ended May 31, 2025. Additionally, the decrease for the year ended May 31, 2025 was driven by the cancellation of certain performance-based RSUs.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Insurance expense decreased by 6% for the fiscal year ended May 31, 2025 to $11.8 million from $12.6 million for the prior fiscal year period. The decrease in insurance expense for the fiscal year ended May 31, 2025 was driven by lower premiums on existing insurance policies, offset by premiums associated with new insurance policies that have been placed in connection with Craft Acquisition I and Craft Acquisition II.  For the fiscal year ended May 31, 2025 as a percentage of revenue insurance was 1% compared to 2% in the prior fiscal year period, demonstrating our ability to manage our insurance policy cost despite growing the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Professional fees decreased by 11% to $4.8 million in the fiscal year ended May 31, 2025 from $5.3 million when compared to the prior fiscal year, which is a direct result of our cost savings initiatives.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recognized a loss on the sale of capital assets in the amount of $0.9 million in the fiscal year ended May 31, 2025 primarily from the sale of our Avanti facility, compared to a gain of $4.2 million in the prior fiscal year which was predominantly from the sale of Truss Beverage Co.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Rent expense decreased by 25% for the fiscal year ended May 31, 2025 to $3.5 million from $4.6 million for the prior fiscal year period. Rent expense is predominantly comprised of operating lease expense for our brew pubs and office spaces. The decrease was driven by the exit from the Truss lease in the current fiscal year and a reduction in lease payments, which were previously included in the prior fiscal period results, offset by the expenses from Craft Acquisition II, effective September 1, 2024, and the prior fiscal year period did not reflect a full period of results from Craft Acquisition I due to the fact that it was completed on 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Selling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2025, the Company incurred selling costs of $56.0 million or 6.8% of net revenue as compared to $37.2 or 4.7% of net revenue in the prior fiscal year. These costs relate to third-party shipping costs for all segments, in addition to distributor commission incurred by the cannabis segment, Health Canada cannabis fees, and patient acquisition and maintenance costs. The increase for the fiscal year ended May 31, 2025 is predominately due to the higher freight costs experienced in the beverage segment. Additionally, during the year ended May 31, 2024, the Company received a refund of $3.3 million related to cannabis selling fees related to an amended fee calculation and a commission refund that did not reoccur in the current fiscal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Amortization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incurred non-production related amortization charges of $88.6 million for the fiscal year ended May 31, 2025 compared to $84.8 million in the prior fiscal year period based on depreciable capital and intangible assets useful lives.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Marketing and promotion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2025, the Company incurred marketing and promotion costs of $37.0 million, as compared to $41.9 in the prior fiscal year. This decrease was primarily due to the yearly variability in discretionary marketing expenses, offset by the inclusion of expenses from our recent Craft Acquisition II, effective September 1, 2024. Further, the prior fiscal year period did not reflect a full year of marketing and promotion costs from Craft Acquisition I as it was completed on September 29, 2023.  Lastly, during the fiscal year ended May 31, 2025, we began to capitalize multi-year sponsorship licenses as outlined in Note 3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costs were $0.3 million in the fiscal year ended May 31, 2025, compared to $0.6 million in the prior fiscal year. These relate to external costs incurred in connection with the development of new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 in fair value of contingent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contingent consideration at fair value classified as Level 3, as discussed in Note 29 (Financial risk management and financial instruments). During the fiscal year ended May 31, 2025, there were no changes in the fair value of contingent consideration due to the fact that there were no changes in the likelihood of achievement of certain financial metrics for Montauk Brewing Company. In the prior fiscal year period, we recognized a a gain of $15.8 million resulting from the conclusion of the SweetWater earnout period, the favorable cash settlement relating to the final determination and settlement of the contingent consideration related to the Truss acquisition, all of which was offset by an increase in the fair value of the contingent consideration driven by the increased probability of achieving the contingent consideration associated with the Montauk Brewing Company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Impairment of intangible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2025, based upon a combination of factors including a sustained decline in the Company’s market capitalization stemming from the uncertainty resulting from certain changes in U.S. global economic policy, including slower than anticipated progress in global cannabis legalization, overall declines in the craft beer industry sector, and a change in the Company's discount rate, the Company recognized the following impairment charges: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Intangible assets</w:t>
            </w:r>
            <w:r>
              <w:rPr>
                <w:rFonts w:ascii="Times New Roman" w:hAnsi="Times New Roman"/>
                <w:caps w:val="false"/>
                <w:smallCaps w:val="false"/>
                <w:sz w:val="20"/>
              </w:rPr>
              <w:t>. Non-cash impairment charges of $334.2 million related to customer relationships &amp; distribution channel, $186.6 million related to licenses, permits &amp; applications, which were considered indefinite-lived intangible assets and $327.1 million related to intellectual property, trademarks, knowhow &amp; brands. See Note 8 (Intangible assets) for additional details.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Goodwill</w:t>
            </w:r>
            <w:r>
              <w:rPr>
                <w:rFonts w:ascii="Times New Roman" w:hAnsi="Times New Roman"/>
                <w:caps w:val="false"/>
                <w:smallCaps w:val="false"/>
                <w:sz w:val="20"/>
              </w:rPr>
              <w:t>. Non-cash impairment charges of $1,070.0 million related to cannabis goodwill, $120.8 million related to beverage goodwill, $53.2 million related to wellness goodwill and $4.2 million related to distribution goodwill. See Note 10 (Goodwill) for additional details.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Deferred tax liabilities</w:t>
            </w:r>
            <w:r>
              <w:rPr>
                <w:rFonts w:ascii="Times New Roman" w:hAnsi="Times New Roman"/>
                <w:caps w:val="false"/>
                <w:smallCaps w:val="false"/>
                <w:sz w:val="20"/>
              </w:rPr>
              <w:t>. These non-cash impairment charges were offset by an income tax recovery of $121.4 million, resulting in the corresponding reduction in deferred tax liabilities. See Note 13 (Income taxes and deferred income taxes) for additional details.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Intangible asset impairments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performed the annual impairment test on its indefinite-life intangible assets, and for its finite-lived intangible assets, management assessed for asset specific indicators of impairment during the fourth quarter ended May 31, 2025, and 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and a change in non-discretionary market inputs in the Company's discount rate, the Company recorded non-cash impairments of $334.2 million related to its finite-lived customer relationships &amp; distribution channel, $186.6 million related to its licenses, permits &amp; applications, which were considered indefinite-lived intangible assets and $327.1 million related to its finite-lived intellectual property, trademarks, knowhow &amp; brands. This impairment charge resulted in a corresponding income tax recovery of $121.4 million, resulting in the corresponding reduction in deferred tax liabilities. In calculating the impairment charge, using an income approach, the Company used a discount rate of 10.00%-14.50%, a terminal growth rate of 2%, and an average revenue growth rate of 5%-30% over 5 years to correlate with the cash flows anticipated with the individual intangible assets that were assessed. A reasonably possible change in any of the inputs within the determination of fair value would not result in a material change to the impairment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2024, there were no impairments to indefinite-lived intangible assets or finite-lived 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 impairments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preceding quarter ended February 28, 2025, 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the Company concluded that it is more likely than not, that the fair value of our reporting units were less than their carrying amounts as of February 28, 2025. Accordingly, the Company utilized the income approach, which uses future discounted cash flows, to determine the fair value of each reporting unit. As a result, the Company recorded non-cash impairment charges of $570.0 million of cannabis goodwill, $100.0 million of beverage goodwill, $25.0 million of wellness goodwill and $4.2 million of distribution goodwill for the nine months ended February 28, 2025. In the Company's cannabis goodwill assessment, the Company used a discount rate of 12.00%, a terminal growth rate of 5%, and an average revenue growth rate of 34% over 5 years, based on an 88% and 40% average probability of anticipated EU and U.S. cannabis legalization, respectively and/or changes in drug policy in various countries within the next 5 years. In the Company's beverage goodwill assessment, the Company used a discount rate of 9.25%, a terminal growth rate of 2%, and an average revenue growth rate of 12% over 5 years.  In the Company's wellness goodwill assessment, the Company used a discount rate of 10.50%, a terminal growth rate of 2%, and an average revenue growth rate of 7% over 5 years. In the Company's distribution goodwill assessment, the Company recorded $4,235 of impairments, which brought the remaining distribution goodwill balance to $nil.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then performed the annual impairment test during the fourth quarter ended May 31, 2025, and determined that through a combination of factors including a further decline in the Company's market capitalization, an increase in the discount rate, and changes to the aforementioned probabilities resulting from continued delays in legalization of cannabis within the United States and internationally, culminating in an unfavorable impact on the estimated future cash flows, and ultimately concluded that it is more likely than not, that the fair value of our reporting units were less than their carrying amounts as of May 31, 2025. Accordingly, the Company utilized the income approach, which uses future discounted cash flows, to determine the fair value of each reporting unit. As a result, the Company recorded additional non-cash impairment charges of $500.0 million of cannabis goodwill, $20.8 million of beverage goodwill and $28.2 million of wellness goodwill during the quarter ended May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cannabis goodwill assessment, the Company used a discount rate of 14.50%, a terminal growth rate of 5%, and an average revenue growth rate of 34% over 5 years, based on an 65% and 25% average probability of anticipated EU and U.S. cannabis legalization, respectively and/or changes in drug policy in various countries within the next 5 years. A 1% increase in the discount rate would result in an additional $133.8 million in impairment, a 1% decrease in the terminal growth rate would result in an additional $93.5 million in impairment, a 5% decrease in the average growth rate would result in an additional $23.4 million in impairment, a 5% decrease in the probability of EU cannabis legalization would result in an additional $44.0 million in impairment and a 5% decrease in the probability of US cannabis legalization would result in an additional $17.1 million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impairment expense recognized in future reporting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beverage goodwill assessment, the Company used a discount rate of 10.00%, a terminal growth rate of 2%, and an average revenue growth rate of 2% over 5 years, which brought the remaining beverage goodwill balance to $nil.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wellness goodwill assessment, the Company used a discount rate of 12.25%, a terminal growth rate of 2%, and an average revenue growth rate of 7% over 5 years, which brought the remaining beverage goodwill balance to $nil. </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2024, the Company recognized $nil impairment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Other than temporary write-down of convertible notes receivable</w:t>
      </w:r>
    </w:p>
    <w:p>
      <w:pPr>
        <w:pStyle w:val="TextBody"/>
        <w:bidi w:val="0"/>
        <w:spacing w:before="0" w:after="0"/>
        <w:ind w:left="160" w:right="0" w:hanging="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2025, the Company recognized an other-than-temporary change in fair value of convertible notes receivable, which resulted in a non-cash expense of $21.7 million compared to $42.7 million for the prior fiscal year period related to the MedMen Convertible Note. The MedMen Convertible Note was valued based upon the estimated fair value of the collateral assets net of estimated disposal costs and has been reduced to reflect recent developments in restructuring efforts. See Note 11 (Convertible notes receivable), for additional transactions related to the MedMen Convertible Note, which occurred during the fiscal year ended May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both"/>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Litigation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Litigation costs of $17.3 million were expensed during the fiscal year ended May 31, 2025 compared $8.3 million in the prior fiscal year. Litigation costs include fees and expenses incurred in connection with defending and settling ongoing legacy inherited litigation matters, net of any judgments or settlement recoveries received from third parties. See Note 28 (Commitments and contingencies) for additional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Restructuring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execution of our acquisition strategy and strategic transactions, the Company incurred non-recurring restructuring and exit costs associated with the integration efforts of these transactions. In connection with these efforts, during the fiscal year ended May 31, 2025, the Company incurred $34.3 million of restructuring charges compared to $15.6 million for the prior fiscal year period. All restructuring plans are approved at the executive level, and their associated expenses are recognized in the fiscal period in which the plan is committed.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Cannabis segment, our restructuring costs predominantly related to the HEXO acquisition, which were completed within 24 months from the acquisition, which occurred in June 2023. In the fiscal year ended May 31, 2025, we recognized $10.4 million of expenses related to employee termination severance and benefits and other costs related to the conversion of the HEXO Quebec cultivation facility from cannabis production to produce production, the optimization of our Redecan facilities, and $1.0 million of restructuring charges related to the exiting of the Truss facility following its sale to a third party in the fiscal year ended May 31, 2024. Additionally, the Company recognized $1.1 million of cost associated with the closure and sale of our Avanti facility, which occurred during the fiscal year ended May 31, 2025. The Company also recognized $2.1 million of exit cost in connection with the termination of its contract with its distribution partner in the Quebec adult-use cannabis market and the insourcing of the function. Lastly, the Company recognized $0.8 million of restructuring charges related to our decision to exit the New Zealand medical cannabis market during the fiscal year ended May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Beverage segment during the fiscal year ended May 31, 2025, the Company recognized $1.6 million of expenses related to employee severance and benefits and $4.2 million of costs associated with the consolidation of production sites through the integration of Craft Acquisition I and the Craft Acquisition II. Additionally, the Company recognized $8.5 million of restructuring charges related to the closure of the Hop Valley production facility, which was accrued, but not yet paid. Lastly, the Company recognized $1.6 million of restructuring charges related to terminating a legacy storage agreement from Craft Acquisition I. We expect to transition to a new storage facility in fiscal year 2026, consistent with our announced cost savings initiatives.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Distribution segment during the fiscal year ended May 31, 2025, the Company recognized $0.5 million of restructuring charges related to the divestiture of its retail pharmacy location in Argentina.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Lastly, for the fiscal year ended May 31, 2025, the Company recognized $2.5 million of costs associated with the investment held in Superhero Acquisition Corp. as a result of MedMen’s ongoing restructuring and liquidation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Transaction (income) costs,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Transaction (income) costs, net, consists of acquisition related income and expenses, including legal fees, financial advisor and other third-party due diligence cost and expenses as well as any transaction related compensation. During the fiscal year ended May 31, 2025, transaction (income) costs, net decreased 71% from the prior fiscal year period as a result of lower transaction costs associated with Craft Acquisition II in the current fiscal year compared to the costs associated with the HEXO, Truss and the Craft Acquisition I in the prior fiscal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Non-operating income (expense),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49"/>
        <w:gridCol w:w="60"/>
        <w:gridCol w:w="125"/>
        <w:gridCol w:w="590"/>
        <w:gridCol w:w="80"/>
        <w:gridCol w:w="60"/>
        <w:gridCol w:w="125"/>
        <w:gridCol w:w="650"/>
        <w:gridCol w:w="80"/>
        <w:gridCol w:w="60"/>
        <w:gridCol w:w="125"/>
        <w:gridCol w:w="650"/>
        <w:gridCol w:w="80"/>
        <w:gridCol w:w="60"/>
        <w:gridCol w:w="125"/>
        <w:gridCol w:w="590"/>
        <w:gridCol w:w="80"/>
        <w:gridCol w:w="60"/>
        <w:gridCol w:w="60"/>
        <w:gridCol w:w="485"/>
        <w:gridCol w:w="240"/>
        <w:gridCol w:w="60"/>
        <w:gridCol w:w="125"/>
        <w:gridCol w:w="650"/>
        <w:gridCol w:w="80"/>
        <w:gridCol w:w="60"/>
        <w:gridCol w:w="60"/>
        <w:gridCol w:w="395"/>
        <w:gridCol w:w="241"/>
      </w:tblGrid>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1" w:type="dxa"/>
            <w:tcBorders/>
            <w:shd w:fill="FFFFFF" w:val="clear"/>
            <w:vAlign w:val="center"/>
          </w:tcPr>
          <w:p>
            <w:pPr>
              <w:pStyle w:val="TableContents"/>
              <w:bidi w:val="0"/>
              <w:spacing w:before="0" w:after="283"/>
              <w:jc w:val="left"/>
              <w:rPr/>
            </w:pPr>
            <w:r>
              <w:rPr/>
              <w:t> </w:t>
            </w:r>
          </w:p>
        </w:tc>
      </w:tr>
      <w:tr>
        <w:trPr/>
        <w:tc>
          <w:tcPr>
            <w:tcW w:w="414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vs. 2023</w:t>
            </w:r>
          </w:p>
        </w:tc>
        <w:tc>
          <w:tcPr>
            <w:tcW w:w="241" w:type="dxa"/>
            <w:tcBorders/>
            <w:shd w:fill="FFFFFF" w:val="clear"/>
            <w:vAlign w:val="center"/>
          </w:tcPr>
          <w:p>
            <w:pPr>
              <w:pStyle w:val="TableContents"/>
              <w:bidi w:val="0"/>
              <w:spacing w:before="0" w:after="283"/>
              <w:jc w:val="left"/>
              <w:rPr/>
            </w:pPr>
            <w:r>
              <w:rPr/>
              <w:t> </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debenture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(losses) gains,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non-operating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2025, the Company recognized a change in fair value of its convertible debentures payable of $nil compared to $19.7 million in the prior fiscal year period as the instrument was fully settled upon maturity, and recognized a change in fair value of its warrants, resulting in a gain of $2.2 million compared to a loss of $1.4 million as a result of the change in our share price and the exercise price of the instrument. The Company recognized a gain of $9.6 million resulting from the changes in foreign exchange rates during the period compared to a loss of $4.1 million for the prior fiscal year period. The Company recognized a loss on long-term investments, resulting in a loss of $5.6 million as a result of a change in fair value of certain long-term investments compared to loss of $0.2 million for the prior period. The other non-operating (losses) gains, net were $4.0 million for the fiscal year ended May 31, 2025, which was mainly comprised of a gain of $5.8 million resulting from the exchange transaction of the TLRY 27 Notes, see Note 17 (Convertible debentures payable). The other non-operating (losses) gains, net for the fiscal year ended May 31, 2024 were $12.4 million and were mainly comprised of $2.3 million relating to the downside protection on the share issuance relating to the HTI note, $2.5 million  to settle outstanding notes with non-controlling interest shareholders, $4.6 million related to the decrease in value of equity investee, Cannfections, and $3.1 million of loss on measurement at the lower of carrying amount and the fair value less costs to sell of Broken Coast’s former Duncan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Reconciliation of Non-GAAP Financial Measures to 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that does not have a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purchase price accounting step-up on inventory, stock-based compensation, inventory valuation adjustments, impairments, other than temporary change in fair value of convertible notes receivable, Project 420 business optimization, loss (gain) on sale of capital assets - non-operating facility, restructuring costs, transaction (income) costs, net, litigation costs net of recoveries, change in fair value of contingent consideration, unrealized currency gains and losses and other adjustments.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this presentation provides useful information to management, analysts and investors regarding certain additional financial and business trends relating to our results of operations and financial condition. In addition, management uses this measure for reviewing the financial results of the Company and as a component of performance-based executive compensation decisions.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2025, adjusted EBITDA decreased by $5.4 million to $55.0 million compared to $60.5 in the prior fiscal year as we continue to integrate our recent craft beverage acquisitions.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1"/>
        <w:gridCol w:w="60"/>
        <w:gridCol w:w="125"/>
        <w:gridCol w:w="905"/>
        <w:gridCol w:w="80"/>
        <w:gridCol w:w="60"/>
        <w:gridCol w:w="125"/>
        <w:gridCol w:w="755"/>
        <w:gridCol w:w="80"/>
        <w:gridCol w:w="60"/>
        <w:gridCol w:w="125"/>
        <w:gridCol w:w="905"/>
        <w:gridCol w:w="80"/>
        <w:gridCol w:w="60"/>
        <w:gridCol w:w="125"/>
        <w:gridCol w:w="905"/>
        <w:gridCol w:w="80"/>
        <w:gridCol w:w="60"/>
        <w:gridCol w:w="60"/>
        <w:gridCol w:w="395"/>
        <w:gridCol w:w="206"/>
        <w:gridCol w:w="60"/>
        <w:gridCol w:w="125"/>
        <w:gridCol w:w="845"/>
        <w:gridCol w:w="80"/>
        <w:gridCol w:w="60"/>
        <w:gridCol w:w="60"/>
        <w:gridCol w:w="545"/>
        <w:gridCol w:w="208"/>
      </w:tblGrid>
      <w:tr>
        <w:trPr/>
        <w:tc>
          <w:tcPr>
            <w:tcW w:w="29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0" w:type="dxa"/>
            <w:gridSpan w:val="10"/>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For the year ended May 31,</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25" w:type="dxa"/>
            <w:gridSpan w:val="6"/>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Change</w:t>
            </w:r>
          </w:p>
        </w:tc>
        <w:tc>
          <w:tcPr>
            <w:tcW w:w="2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15" w:type="dxa"/>
            <w:gridSpan w:val="6"/>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Change</w:t>
            </w:r>
          </w:p>
        </w:tc>
        <w:tc>
          <w:tcPr>
            <w:tcW w:w="208" w:type="dxa"/>
            <w:tcBorders/>
            <w:shd w:fill="FFFF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 reconciliation:</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vs. 2023</w:t>
            </w:r>
          </w:p>
        </w:tc>
        <w:tc>
          <w:tcPr>
            <w:tcW w:w="208" w:type="dxa"/>
            <w:tcBorders/>
            <w:shd w:fill="FFFFFF" w:val="clear"/>
            <w:vAlign w:val="center"/>
          </w:tcPr>
          <w:p>
            <w:pPr>
              <w:pStyle w:val="TableContents"/>
              <w:bidi w:val="0"/>
              <w:spacing w:before="0" w:after="283"/>
              <w:jc w:val="left"/>
              <w:rPr/>
            </w:pPr>
            <w:r>
              <w:rPr/>
              <w:t> </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(2,181,356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(1,443,000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(1,958,952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(recovery)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Non-operating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(1,947</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intangible assets and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(934,000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temporary change in fair value of convertible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(203,649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Project 420 business optimization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08" w:type="dxa"/>
            <w:tcBorders/>
            <w:shd w:fill="FFFFFF" w:val="clear"/>
            <w:vAlign w:val="center"/>
          </w:tcPr>
          <w:p>
            <w:pPr>
              <w:pStyle w:val="TableContents"/>
              <w:bidi w:val="0"/>
              <w:spacing w:before="0" w:after="283"/>
              <w:jc w:val="left"/>
              <w:rPr/>
            </w:pPr>
            <w:r>
              <w:rPr/>
              <w:t> </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valuation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(gain) on sale of capital assets - non-operating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08" w:type="dxa"/>
            <w:tcBorders/>
            <w:shd w:fill="FFFFFF" w:val="clear"/>
            <w:vAlign w:val="center"/>
          </w:tcPr>
          <w:p>
            <w:pPr>
              <w:pStyle w:val="TableContents"/>
              <w:bidi w:val="0"/>
              <w:spacing w:before="0" w:after="283"/>
              <w:jc w:val="left"/>
              <w:rPr/>
            </w:pPr>
            <w:r>
              <w:rPr/>
              <w:t> </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price accounting step-up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Facility start-up and closure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Adjusted EBITDA should not be considered in isolation from, or as a substitute for, net loss. There are a number of limitations related to the use of Adjusted EBITDA as compared to net loss, the closest comparable GAAP measure. Adjusted EBITDA adjusts for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amortization expenses and, although these are non-cash charges, the assets being depreciated and amortized may have to be replaced in the future;</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expenses, a non-cash expenses and are an important part of our compensation strategy;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impairment charges, as the charges are not expected to be a recurring business activity;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inventory valuation adjustments;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other than temporary write-down of convertible notes receivable, as the charges are not expected to be a recurring business activity;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foreign exchange gains or losses, which accounts for the effect of both realized and unrealized foreign exchange transactions. Unrealized gains or losses represent foreign exchange revaluation of foreign denominated monetary assets and liabilities;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change in fair value of warrant liability;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net;</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incurred to start up new facilities, and to fund emerging market operations;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Project 420 business optimization costs;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(gain) on sale of capital assets - non-operating facility;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Restructuring charges;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costs, net of favorable recoveries and the third party fees associated with defending these claims, includes costs related to legacy and non-operational litigation matters, legal settlements and recoveries;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purchase accounting fair value step-up in inventory value included in costs of goods sold; and</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deferred income tax expenses and recoveries, which could be a significant recurring expense or recovery in our business in the future and reduce or increase cash available to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Adjusted Gross Profit and Adjusted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Adjusted gross profit and adjusted gross margin are non-GAAP financial measures and may not be comparable to similar measures presented by other companies.  Adjusted gross profit is our Gross profit, adjusted to exclude purchase price accounting valuation step-up and adjusted gross margin is our Gross margin, adjusted to exclude purchase price accounting valuation step-up. Both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both"/>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are prepared in accordance with accounting principles generally accepted in the United States of America (“GAAP”). A detailed discussion of our significant accounting policies can be found in Part II, Item 8, Note 3,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and the impact and risks associated with our accounting policies are discussed throughout this Form 10</w:t>
        <w:noBreakHyphen/>
        <w:t>K and in the Notes to the Consolidated Financial Statements. We have identified certain policies and estimates as critical to our business operations and the understanding of our past or present results of operations related to (i) revenue recognition, (ii) valuation of inventory (iii) impairment of goodwill and indefinite-lived intangible assets, (iv) business combinations and goodwill, and (v) convertible debentures.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200"/>
        <w:gridCol w:w="1730"/>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w:t>
            </w:r>
          </w:p>
        </w:tc>
        <w:tc>
          <w:tcPr>
            <w:tcW w:w="173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Revenue is recognized when the control of the promised goods, through performance obligation, is transferred to the customer in an amount that reflects the consideration we expect to be entitled to in exchange for the performance obligations or as advisory services are provided. Payments received for the goods or services in advance of performance are recognized as a contract liability.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amounts disclosed as net revenue are net of excise taxes, sales tax, duty tax, allowances, discounts and rebates.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determining the transaction price for the sale of goods, the Company considers the effects of variable consideration and the existence of significant financing components,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260"/>
        <w:gridCol w:w="1895"/>
      </w:tblGrid>
      <w:tr>
        <w:trPr/>
        <w:tc>
          <w:tcPr>
            <w:tcW w:w="6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(ii)</w:t>
            </w:r>
          </w:p>
        </w:tc>
        <w:tc>
          <w:tcPr>
            <w:tcW w:w="1895"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Valuation of inventory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 to Part II, Item 8, Note 3,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for further details on our inventory cost policy.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 Changes in the regulatory structure, lack of retail distribution locations or lack of consumer demand could result in future inventory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60"/>
        <w:gridCol w:w="320"/>
        <w:gridCol w:w="5075"/>
      </w:tblGrid>
      <w:tr>
        <w:trPr/>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(iii)</w:t>
            </w:r>
          </w:p>
        </w:tc>
        <w:tc>
          <w:tcPr>
            <w:tcW w:w="5075"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Impairment of goodwill and indefinite-lived intangible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and indefinite-lived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290"/>
        <w:gridCol w:w="3050"/>
      </w:tblGrid>
      <w:tr>
        <w:trPr/>
        <w:tc>
          <w:tcPr>
            <w:tcW w:w="6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(iv)</w:t>
            </w:r>
          </w:p>
        </w:tc>
        <w:tc>
          <w:tcPr>
            <w:tcW w:w="305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combinations and goodwill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use judgement in applying the acquisition method of accounting for business combinations and estimates to value contingent consideration, identifiable assets and liabilities assumed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are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0"/>
        <w:gridCol w:w="230"/>
        <w:gridCol w:w="194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w:t>
            </w:r>
          </w:p>
        </w:tc>
        <w:tc>
          <w:tcPr>
            <w:tcW w:w="194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Convertible debentures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its convertible debentures in accordance with ASC 470-20 </w:t>
      </w:r>
      <w:r>
        <w:rPr>
          <w:rFonts w:ascii="Times New Roman" w:hAnsi="Times New Roman"/>
          <w:i/>
          <w:caps w:val="false"/>
          <w:smallCaps w:val="false"/>
          <w:sz w:val="20"/>
        </w:rPr>
        <w:t>Debt with Conversion and Other Options</w:t>
      </w:r>
      <w:r>
        <w:rPr>
          <w:rFonts w:ascii="Times New Roman" w:hAnsi="Times New Roman"/>
          <w:caps w:val="false"/>
          <w:smallCaps w:val="false"/>
          <w:sz w:val="20"/>
        </w:rPr>
        <w:t xml:space="preserve">, whereby the convertible instrument is initially accounted for as a single unit of account, unless it contains a derivative that must be bifurcated from the host contract in accordance with ASC 815-15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Embedded Derivatives</w:t>
      </w:r>
      <w:r>
        <w:rPr>
          <w:rFonts w:ascii="Times New Roman" w:hAnsi="Times New Roman"/>
          <w:caps w:val="false"/>
          <w:smallCaps w:val="false"/>
          <w:sz w:val="20"/>
        </w:rPr>
        <w:t xml:space="preserve"> or the substantial premium model in ASC 470-20 </w:t>
      </w:r>
      <w:r>
        <w:rPr>
          <w:rFonts w:ascii="Times New Roman" w:hAnsi="Times New Roman"/>
          <w:i/>
          <w:caps w:val="false"/>
          <w:smallCaps w:val="false"/>
          <w:sz w:val="20"/>
        </w:rPr>
        <w:t xml:space="preserve">Debt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with Conversion and Other Options </w:t>
      </w:r>
      <w:r>
        <w:rPr>
          <w:rFonts w:ascii="Times New Roman" w:hAnsi="Times New Roman"/>
          <w:caps w:val="false"/>
          <w:smallCaps w:val="false"/>
          <w:sz w:val="20"/>
        </w:rPr>
        <w:t>applies. Where the substantial premium model applies, the premium is recorded in additional paid-in capital. The resulting debt discount is amortized over the period during which the convertible notes are expected to be outstanding as additional non-cash interest expenses.</w:t>
      </w:r>
    </w:p>
    <w:p>
      <w:pPr>
        <w:pStyle w:val="TextBody"/>
        <w:bidi w:val="0"/>
        <w:spacing w:before="0" w:after="0"/>
        <w:ind w:left="0" w:right="0" w:hanging="0"/>
        <w:jc w:val="both"/>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convertible debentures with an embedded conversion feature that did not meet the equity scope exception from derivative accounting pursuant to ASC 815-15, the Company elected the fair value option under ASC 825 </w:t>
      </w:r>
      <w:r>
        <w:rPr>
          <w:rFonts w:ascii="Times New Roman" w:hAnsi="Times New Roman"/>
          <w:i/>
          <w:caps w:val="false"/>
          <w:smallCaps w:val="false"/>
          <w:sz w:val="20"/>
        </w:rPr>
        <w:t>Fair Value Measurements</w:t>
      </w:r>
      <w:r>
        <w:rPr>
          <w:rFonts w:ascii="Times New Roman" w:hAnsi="Times New Roman"/>
          <w:caps w:val="false"/>
          <w:smallCaps w:val="false"/>
          <w:sz w:val="20"/>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New Standards and Interpretations Applicable Effective June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Refer to Part II, Item 8, Note 3, </w:t>
      </w:r>
      <w:r>
        <w:rPr>
          <w:rFonts w:ascii="Times New Roman" w:hAnsi="Times New Roman"/>
          <w:i/>
          <w:caps w:val="false"/>
          <w:smallCaps w:val="false"/>
          <w:sz w:val="20"/>
        </w:rPr>
        <w:t>Significant Accounting Policies,</w:t>
      </w:r>
      <w:r>
        <w:rPr>
          <w:rFonts w:ascii="Times New Roman" w:hAnsi="Times New Roman"/>
          <w:caps w:val="false"/>
          <w:smallCaps w:val="false"/>
          <w:sz w:val="20"/>
        </w:rPr>
        <w:t xml:space="preserve"> of this Form 10-K for additional information on changes in accounting policies. During the fiscal year ended May 31, 2025, the Company adopted ASU 2023-07: Segment Reporting (</w:t>
      </w:r>
      <w:r>
        <w:rPr>
          <w:rFonts w:ascii="Times New Roman" w:hAnsi="Times New Roman"/>
          <w:i/>
          <w:caps w:val="false"/>
          <w:smallCaps w:val="false"/>
          <w:sz w:val="20"/>
        </w:rPr>
        <w:t xml:space="preserve">Topic 280) Improvements to Reportable Segment Disclosures, </w:t>
      </w:r>
      <w:r>
        <w:rPr>
          <w:rFonts w:ascii="Times New Roman" w:hAnsi="Times New Roman"/>
          <w:caps w:val="false"/>
          <w:smallCaps w:val="false"/>
          <w:sz w:val="20"/>
        </w:rPr>
        <w:t>See Note 30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the short and long term outlook.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Additionally, the Company continues to invest our excess cash in the short-term in marketable securities which are comprised of U.S. treasury bills and term deposits with major Canadian, European and Australian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Company's long-term liquidity requirements, we are focused on funding operations through profitable organic and inorganic growth through acquisitions. We may need to take on additional debt or equity financing arrangements in order to achieve these ambitions on a long-term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17, 2024, the Company entered into an equity distribution agreement with TD Securities (USA) LLC and Jefferies LLC in connection with an aggregate offering value of up to $250 million through an at-the-market equity program (“ATM Program”). During the fiscal year ended May 31, 2025, the Company issued 135,938,741 shares under the ATM Program generating gross proceeds of $163.4 million. The Company paid $2.2 million in commissions and other fees associated with these issuances generating net proceeds of $161.2 million. The Company intends to use the net proceeds from the ATM Program to fund strategic and accretive acquisitions or investments in businesses and capital expenditures for acquired businesses, including potential acquisitions of assets in the U.S. and internationally in order to capitalize on expected regulatory advancements or expansion opportunities. As of May 31, 2025, $74.7 million of gross proceeds remain available through the ATM program. See Note 31 (Subsequent events), for additional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 See Note 31 (Subsequent events), for additional transactions.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major components of our statements of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0"/>
        <w:gridCol w:w="60"/>
        <w:gridCol w:w="125"/>
        <w:gridCol w:w="695"/>
        <w:gridCol w:w="80"/>
        <w:gridCol w:w="60"/>
        <w:gridCol w:w="125"/>
        <w:gridCol w:w="695"/>
        <w:gridCol w:w="80"/>
        <w:gridCol w:w="60"/>
        <w:gridCol w:w="125"/>
        <w:gridCol w:w="755"/>
        <w:gridCol w:w="80"/>
        <w:gridCol w:w="60"/>
        <w:gridCol w:w="125"/>
        <w:gridCol w:w="755"/>
        <w:gridCol w:w="80"/>
        <w:gridCol w:w="60"/>
        <w:gridCol w:w="60"/>
        <w:gridCol w:w="395"/>
        <w:gridCol w:w="237"/>
        <w:gridCol w:w="60"/>
        <w:gridCol w:w="125"/>
        <w:gridCol w:w="755"/>
        <w:gridCol w:w="80"/>
        <w:gridCol w:w="60"/>
        <w:gridCol w:w="60"/>
        <w:gridCol w:w="395"/>
        <w:gridCol w:w="238"/>
      </w:tblGrid>
      <w:tr>
        <w:trPr/>
        <w:tc>
          <w:tcPr>
            <w:tcW w:w="3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8" w:type="dxa"/>
            <w:tcBorders/>
            <w:shd w:fill="FFFF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vs. 2023</w:t>
            </w:r>
          </w:p>
        </w:tc>
        <w:tc>
          <w:tcPr>
            <w:tcW w:w="238"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(94,599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on cash of foreign currency translation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206,632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(209,715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marketable securities(1)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448,529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(188,007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38"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(1) </w:t>
            </w:r>
          </w:p>
        </w:tc>
        <w:tc>
          <w:tcPr>
            <w:tcW w:w="9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cash and marketable securities presentation of our cash flows is a non-GAAP financial measure. See “Use of Non-GAAP Measures –Cash and Marketable Securities” above for a discussion of these Non-GAAP Measures.</w:t>
            </w:r>
          </w:p>
        </w:tc>
      </w:tr>
    </w:tbl>
    <w:p>
      <w:pPr>
        <w:pStyle w:val="TextBody"/>
        <w:bidi w:val="0"/>
        <w:spacing w:before="0" w:after="0"/>
        <w:ind w:left="260" w:right="0" w:hanging="0"/>
        <w:jc w:val="both"/>
        <w:rPr>
          <w:caps w:val="false"/>
          <w:smallCaps w:val="false"/>
        </w:rPr>
      </w:pPr>
      <w:r>
        <w:rPr>
          <w:caps w:val="false"/>
          <w:smallCaps w:val="false"/>
        </w:rPr>
        <w:t> </w:t>
      </w:r>
    </w:p>
    <w:p>
      <w:pPr>
        <w:pStyle w:val="TextBody"/>
        <w:bidi w:val="0"/>
        <w:spacing w:before="0" w:after="0"/>
        <w:ind w:left="26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($94.6) million for the fiscal year ended May 31, 2025, compared to ($30.9) million for the prior fiscal year period, resulting from the additional working capital requirements in our beverage segment as we continued to scale and integrate our operations, including the Craft Acquisition II, which we completed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6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($46.7) million for the fiscal year ended May 31, 2025 compared to net cash provided by investing activities of $128.3 million for the prior fiscal year period, resulting from the purchase of marketable securities in the current fiscal year compared to the sale of marketable securities in the prior period, and the differences in cash paid for the Craft Acquisition II in the current fiscal year compared to HEXO, Truss and Craft Acquisition I in the prior fiscal year period.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26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$133.5 million for the fiscal year ended May 31, 2025 compared to net cash used in financing activities of ($75.2) million for the prior fiscal year period. In the current period, cash was provided by funds from the ATM Program that did not occur in the prior period. In the prior fiscal year period ended May 31, 2024, the Company received proceeds of $21.6 million for the overallotment issuance of the TLRY 27 Notes and proceeds from the delayed draw on the ABC credit facility, offset by the $107.3 million repayment of the TLRY 23 Notes and the APHA 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resources and working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constantly monitors and manages its cash flows to assess the liquidity necessary to fund operations. As of May 31, 2025, the Company maintained $256.4 million of cash and cash equivalents on hand and marketable securities, compared to $260.5 million in cash and cash equivalents as of May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Working capital provides funds for the Company to meet its operational and capital requirements. As of May 31, 2025, the Company maintained working capital of $408.3 million. We historically financed our operations through the issuance of common stock, sale of convertible notes and revenue generating activities. While we believe we have sufficient cash to meet existing working capital requirements in the short term, we may need additional sources of capital and/or financing to meet our U.S. growth ambitions, expansion of our international operations and other strategic transactions.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lease various facilities, under non-cancelable operating leases, which expire on various dates through September 2040:</w:t>
      </w:r>
    </w:p>
    <w:p>
      <w:pPr>
        <w:pStyle w:val="TextBody"/>
        <w:bidi w:val="0"/>
        <w:spacing w:before="0" w:after="0"/>
        <w:ind w:left="0" w:right="0" w:hanging="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2555"/>
        <w:gridCol w:w="60"/>
        <w:gridCol w:w="155"/>
        <w:gridCol w:w="735"/>
        <w:gridCol w:w="80"/>
        <w:gridCol w:w="60"/>
        <w:gridCol w:w="125"/>
        <w:gridCol w:w="650"/>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66,570</w:t>
            </w:r>
          </w:p>
        </w:tc>
        <w:tc>
          <w:tcPr>
            <w:tcW w:w="80" w:type="dxa"/>
            <w:tcBorders/>
            <w:shd w:fill="CCEEFF" w:val="clear"/>
            <w:vAlign w:val="center"/>
          </w:tcPr>
          <w:p>
            <w:pPr>
              <w:pStyle w:val="TableContents"/>
              <w:bidi w:val="0"/>
              <w:spacing w:before="0" w:after="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(38,628</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Purchase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has payments on long-term debt, refer to Note 16 (Long-term debt), convertible notes, refer to Note 17 (Convertible debentures payable), material purchase commitments and construction commitments as follows:</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2615"/>
        <w:gridCol w:w="60"/>
        <w:gridCol w:w="125"/>
        <w:gridCol w:w="695"/>
        <w:gridCol w:w="60"/>
        <w:gridCol w:w="60"/>
        <w:gridCol w:w="125"/>
        <w:gridCol w:w="590"/>
        <w:gridCol w:w="60"/>
        <w:gridCol w:w="60"/>
        <w:gridCol w:w="125"/>
        <w:gridCol w:w="590"/>
        <w:gridCol w:w="60"/>
        <w:gridCol w:w="60"/>
        <w:gridCol w:w="125"/>
        <w:gridCol w:w="695"/>
        <w:gridCol w:w="60"/>
        <w:gridCol w:w="60"/>
        <w:gridCol w:w="125"/>
        <w:gridCol w:w="485"/>
        <w:gridCol w:w="60"/>
        <w:gridCol w:w="60"/>
        <w:gridCol w:w="163"/>
        <w:gridCol w:w="772"/>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 repayment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29,797</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Material 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commitments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347,833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202,828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29,797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Except as disclosed elsewhere in this Part II, Item 7,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there have been no material changes with respect to the contractual obligations of the Company during the year-to-date period except for those related to the Company’s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 See Note 28 (Commitments and contingencies)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item7a"/>
      <w:bookmarkEnd w:id="14"/>
      <w:r>
        <w:rPr>
          <w:rFonts w:ascii="Times New Roman" w:hAnsi="Times New Roman"/>
          <w:b/>
          <w:caps w:val="false"/>
          <w:smallCaps w:val="false"/>
          <w:sz w:val="20"/>
        </w:rPr>
        <w:t xml:space="preserve">Item 7A.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exposure to the following risks from its use of financial instruments: credit; liquidity; currency rate; and, interest rate price.</w:t>
      </w:r>
    </w:p>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60"/>
        <w:gridCol w:w="245"/>
        <w:gridCol w:w="9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w:t>
            </w:r>
          </w:p>
        </w:tc>
        <w:tc>
          <w:tcPr>
            <w:tcW w:w="90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Credit risk is the risk of financial loss to the Company if a customer or counterparty to a financial instrument fails to meet its contractual obligations. The maximum credit exposure as of May 31, 2025 is the carrying amount of cash and cash equivalents, accounts receivable, prepaids and other current assets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pStyle w:val="TextBody"/>
        <w:bidi w:val="0"/>
        <w:spacing w:before="0" w:after="0"/>
        <w:ind w:left="0" w:right="0" w:hanging="0"/>
        <w:jc w:val="left"/>
        <w:rPr/>
      </w:pPr>
      <w:r>
        <w:rPr/>
        <w:t> </w:t>
      </w:r>
    </w:p>
    <w:tbl>
      <w:tblPr>
        <w:tblW w:w="1450" w:type="dxa"/>
        <w:jc w:val="left"/>
        <w:tblInd w:w="0" w:type="dxa"/>
        <w:tblLayout w:type="fixed"/>
        <w:tblCellMar>
          <w:top w:w="0" w:type="dxa"/>
          <w:left w:w="0" w:type="dxa"/>
          <w:bottom w:w="0" w:type="dxa"/>
          <w:right w:w="0" w:type="dxa"/>
        </w:tblCellMar>
      </w:tblPr>
      <w:tblGrid>
        <w:gridCol w:w="60"/>
        <w:gridCol w:w="245"/>
        <w:gridCol w:w="11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w:t>
            </w:r>
          </w:p>
        </w:tc>
        <w:tc>
          <w:tcPr>
            <w:tcW w:w="11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May 31, 2025, the Company’s financial liabilities consist of bank indebtedness and accounts payable and accrued liabilities, which have contractual maturity dates within one-year, long-term debt, and convertible debentures which are due in June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maintains debt service charge and leverage covenants on certain loans secured by its Aphria Diamond facilities and ABC Group that are measured quarterly. The Company believes that it has sufficient operating room with respect to its financial covenants for the next fiscal year and does not anticipate being in breach of any of its financial covenants.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manages its liquidity risk by reviewing its capital requirements on an ongoing basis. Based on the Company’s working capital position as of May 31, 2025, management regards liquidity risk to be low.</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230"/>
        <w:gridCol w:w="152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w:t>
            </w:r>
          </w:p>
        </w:tc>
        <w:tc>
          <w:tcPr>
            <w:tcW w:w="152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Currency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May 31, 2025,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As of the date of this Form 10-K, the Company does not use foreign exchange contracts to hedge its exposure of its foreign currency cash flows as management has determined that this risk is not significant at this point in time.</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245"/>
        <w:gridCol w:w="13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w:t>
            </w:r>
          </w:p>
        </w:tc>
        <w:tc>
          <w:tcPr>
            <w:tcW w:w="138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5" w:name="item8"/>
      <w:bookmarkEnd w:id="15"/>
      <w:r>
        <w:rPr>
          <w:rFonts w:ascii="Times New Roman" w:hAnsi="Times New Roman"/>
          <w:b/>
          <w:caps w:val="false"/>
          <w:smallCaps w:val="false"/>
          <w:sz w:val="20"/>
        </w:rPr>
        <w:t xml:space="preserve">Item 8. Financial Statements and Supplementary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67"/>
        <w:gridCol w:w="538"/>
      </w:tblGrid>
      <w:tr>
        <w:trPr/>
        <w:tc>
          <w:tcPr>
            <w:tcW w:w="9667"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Consolidated Statement of Financial Position as of May 31, 2025 and 2024</w:t>
              </w:r>
            </w:hyperlink>
          </w:p>
        </w:tc>
        <w:tc>
          <w:tcPr>
            <w:tcW w:w="538"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69</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u w:val="single"/>
                </w:rPr>
                <w:t>Consolidated Statements of Loss and Comprehensive Loss for the Years ended May 31, 2025, 2024, and 2023</w:t>
              </w:r>
            </w:hyperlink>
          </w:p>
        </w:tc>
        <w:tc>
          <w:tcPr>
            <w:tcW w:w="538"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70</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she">
              <w:r>
                <w:rPr>
                  <w:rStyle w:val="InternetLink"/>
                  <w:rFonts w:ascii="Times New Roman" w:hAnsi="Times New Roman"/>
                  <w:caps w:val="false"/>
                  <w:smallCaps w:val="false"/>
                  <w:sz w:val="20"/>
                  <w:u w:val="single"/>
                </w:rPr>
                <w:t>Consolidated Statements of Changes in Equity for the Years ended May 31, 2025, 2024, and 2023</w:t>
              </w:r>
            </w:hyperlink>
          </w:p>
        </w:tc>
        <w:tc>
          <w:tcPr>
            <w:tcW w:w="538" w:type="dxa"/>
            <w:tcBorders/>
            <w:vAlign w:val="center"/>
          </w:tcPr>
          <w:p>
            <w:pPr>
              <w:pStyle w:val="TableContents"/>
              <w:bidi w:val="0"/>
              <w:spacing w:before="0" w:after="0"/>
              <w:ind w:left="0" w:right="0" w:hanging="0"/>
              <w:jc w:val="right"/>
              <w:rPr/>
            </w:pPr>
            <w:hyperlink w:anchor="she">
              <w:r>
                <w:rPr>
                  <w:rStyle w:val="InternetLink"/>
                  <w:rFonts w:ascii="Times New Roman" w:hAnsi="Times New Roman"/>
                  <w:caps w:val="false"/>
                  <w:smallCaps w:val="false"/>
                  <w:sz w:val="20"/>
                </w:rPr>
                <w:t>71</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cfs">
              <w:r>
                <w:rPr>
                  <w:rStyle w:val="InternetLink"/>
                  <w:rFonts w:ascii="Times New Roman" w:hAnsi="Times New Roman"/>
                  <w:caps w:val="false"/>
                  <w:smallCaps w:val="false"/>
                  <w:sz w:val="20"/>
                  <w:u w:val="single"/>
                </w:rPr>
                <w:t>Consolidated Statements of Cash Flows for the Years ended May 31, 2025, 2024, and 2023</w:t>
              </w:r>
            </w:hyperlink>
          </w:p>
        </w:tc>
        <w:tc>
          <w:tcPr>
            <w:tcW w:w="538" w:type="dxa"/>
            <w:tcBorders/>
            <w:vAlign w:val="center"/>
          </w:tcPr>
          <w:p>
            <w:pPr>
              <w:pStyle w:val="TableContents"/>
              <w:bidi w:val="0"/>
              <w:spacing w:before="0" w:after="0"/>
              <w:ind w:left="0" w:right="0" w:hanging="0"/>
              <w:jc w:val="right"/>
              <w:rPr/>
            </w:pPr>
            <w:hyperlink w:anchor="cfs">
              <w:r>
                <w:rPr>
                  <w:rStyle w:val="InternetLink"/>
                  <w:rFonts w:ascii="Times New Roman" w:hAnsi="Times New Roman"/>
                  <w:caps w:val="false"/>
                  <w:smallCaps w:val="false"/>
                  <w:sz w:val="20"/>
                </w:rPr>
                <w:t>72</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Consolidated Financial Statements</w:t>
              </w:r>
            </w:hyperlink>
          </w:p>
        </w:tc>
        <w:tc>
          <w:tcPr>
            <w:tcW w:w="538"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73</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u w:val="single"/>
                </w:rPr>
                <w:t>Report of Independent Registered Public Accounting Firm</w:t>
              </w:r>
            </w:hyperlink>
            <w:r>
              <w:rPr>
                <w:rFonts w:ascii="Times New Roman" w:hAnsi="Times New Roman"/>
                <w:caps w:val="false"/>
                <w:smallCaps w:val="false"/>
                <w:sz w:val="20"/>
              </w:rPr>
              <w:t>  PCAOB ID 271</w:t>
            </w:r>
          </w:p>
        </w:tc>
        <w:tc>
          <w:tcPr>
            <w:tcW w:w="538"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114</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6" w:name="bs"/>
      <w:bookmarkEnd w:id="16"/>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Financial Position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w:t>
      </w:r>
    </w:p>
    <w:tbl>
      <w:tblPr>
        <w:tblW w:w="10205" w:type="dxa"/>
        <w:jc w:val="left"/>
        <w:tblInd w:w="0" w:type="dxa"/>
        <w:tblLayout w:type="fixed"/>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228,340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32,182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101,695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252,087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31,332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Assets held for sale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32,074</w:t>
            </w:r>
          </w:p>
        </w:tc>
        <w:tc>
          <w:tcPr>
            <w:tcW w:w="80" w:type="dxa"/>
            <w:tcBorders/>
            <w:shd w:fill="FFFFFF" w:val="clear"/>
            <w:vAlign w:val="center"/>
          </w:tcPr>
          <w:p>
            <w:pPr>
              <w:pStyle w:val="TableContents"/>
              <w:bidi w:val="0"/>
              <w:spacing w:before="0" w:after="0"/>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677,710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558,247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16,101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915,469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2,008,884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Convertible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2,074,327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4,221,665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Bank indebtedness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18,033</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241,957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299,170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Long - 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60,422</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158,352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Convertible debentures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129,583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tax liabilities,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130,870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778,487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(refer to Note 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($0.0001 par value; 1,416,000,000 common shares authorized; 1,060,678,745 and 831,925,373 common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Treasury Stock (2,004,218 and nil treasury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shares ($0.0001 par value; 10,000,000 preferred shares authorized; nil and nil preferred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6,401,657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6,146,810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(4,847,226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(2,660,488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Tilray Brands, Inc.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1,511,474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3,442,906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1,489,575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3,443,178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2,074,327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4,221,665</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7" w:name="income"/>
      <w:bookmarkEnd w:id="17"/>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Loss and Comprehensive Loss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9905" w:type="dxa"/>
        <w:jc w:val="left"/>
        <w:tblInd w:w="0" w:type="dxa"/>
        <w:tblLayout w:type="fixed"/>
        <w:tblCellMar>
          <w:top w:w="0" w:type="dxa"/>
          <w:left w:w="0" w:type="dxa"/>
          <w:bottom w:w="0" w:type="dxa"/>
          <w:right w:w="0" w:type="dxa"/>
        </w:tblCellMar>
      </w:tblPr>
      <w:tblGrid>
        <w:gridCol w:w="5945"/>
        <w:gridCol w:w="60"/>
        <w:gridCol w:w="125"/>
        <w:gridCol w:w="1055"/>
        <w:gridCol w:w="80"/>
        <w:gridCol w:w="60"/>
        <w:gridCol w:w="125"/>
        <w:gridCol w:w="1055"/>
        <w:gridCol w:w="80"/>
        <w:gridCol w:w="60"/>
        <w:gridCol w:w="125"/>
        <w:gridCol w:w="1055"/>
        <w:gridCol w:w="80"/>
      </w:tblGrid>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2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627,124</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480,164</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146,960</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165,159</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34,840</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93,489</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30,937</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 and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934,000</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246,330</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9,245</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1,516,645</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(2,282,705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(174,745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(1,369,685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Non-operating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(2,302,373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(1,450,181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(recovery)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(1,443,000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income (loss) attributable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Stockholders of Tilray Brands,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(2,186,738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(244,981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(1,452,656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9,656</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gain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on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75,177</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comprehensive gain (loss),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(2,180,926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(219,283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(1,451,356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comprehensive income (loss) attributable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Stockholders of Tilray Brands,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(2,186,302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(241,870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(1,478,502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27,146</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890,326,017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742,649,477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617,982,589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890,326,017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742,649,477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617,982,589</w:t>
            </w:r>
          </w:p>
        </w:tc>
        <w:tc>
          <w:tcPr>
            <w:tcW w:w="80" w:type="dxa"/>
            <w:tcBorders/>
            <w:shd w:fill="CCEEFF" w:val="clear"/>
            <w:vAlign w:val="center"/>
          </w:tcPr>
          <w:p>
            <w:pPr>
              <w:pStyle w:val="TableContents"/>
              <w:bidi w:val="0"/>
              <w:spacing w:before="0" w:after="0"/>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8" w:name="she"/>
      <w:bookmarkEnd w:id="18"/>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Changes in Equity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755" w:type="dxa"/>
        <w:jc w:val="left"/>
        <w:tblInd w:w="0" w:type="dxa"/>
        <w:tblLayout w:type="fixed"/>
        <w:tblCellMar>
          <w:top w:w="0" w:type="dxa"/>
          <w:left w:w="0" w:type="dxa"/>
          <w:bottom w:w="0" w:type="dxa"/>
          <w:right w:w="0" w:type="dxa"/>
        </w:tblCellMar>
      </w:tblPr>
      <w:tblGrid>
        <w:gridCol w:w="1295"/>
        <w:gridCol w:w="60"/>
        <w:gridCol w:w="60"/>
        <w:gridCol w:w="1205"/>
        <w:gridCol w:w="60"/>
        <w:gridCol w:w="60"/>
        <w:gridCol w:w="209"/>
        <w:gridCol w:w="561"/>
        <w:gridCol w:w="60"/>
        <w:gridCol w:w="60"/>
        <w:gridCol w:w="125"/>
        <w:gridCol w:w="905"/>
        <w:gridCol w:w="80"/>
        <w:gridCol w:w="60"/>
        <w:gridCol w:w="125"/>
        <w:gridCol w:w="845"/>
        <w:gridCol w:w="80"/>
        <w:gridCol w:w="60"/>
        <w:gridCol w:w="200"/>
        <w:gridCol w:w="1050"/>
        <w:gridCol w:w="80"/>
        <w:gridCol w:w="60"/>
        <w:gridCol w:w="135"/>
        <w:gridCol w:w="980"/>
        <w:gridCol w:w="80"/>
        <w:gridCol w:w="60"/>
        <w:gridCol w:w="153"/>
        <w:gridCol w:w="797"/>
        <w:gridCol w:w="80"/>
        <w:gridCol w:w="60"/>
        <w:gridCol w:w="125"/>
        <w:gridCol w:w="905"/>
        <w:gridCol w:w="80"/>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May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532,674,887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4,441,366</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-Montauk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6,422</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equity financing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32,481,149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129,593</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purchase of HEXO convertible note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33,314,412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107,272</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HTI Convertible Note - conversion feature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9,055</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Double Diamond Holdings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16,114,406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12,467</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RSUs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convertible notes share lending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26,161</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component related to issuance of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18,415</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effectively repurchased for employee withholding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39,595</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(1,452,656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656,655,455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5,777,743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3,329,943</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HEXO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39,705,962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65,162</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contractual change of control severance incurred from HEXO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Double Diamond Holdings dividend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24,780,994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21,487</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HTI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18,181,157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52,313</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effectively repurchased for employee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component related to issuance of convertible debt,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3,953</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litigation claims from MediPharm Labs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TLRY 23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20,458</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equity component of TLRY 23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APHA 24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73,484,147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140,661</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At-the-Market (“ATM”) program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8,619</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RSUs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31,769</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831,925,373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6,146,810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(2,660,488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3,443,178</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 At-the-Market (“ATM”) program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135,938,741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5,807,374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161,188</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TLRY 27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71,755,054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(7,811,592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67,258</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 Settlement of TLRY 27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 Double Diamond Holdings dividend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13,217,588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 RSUs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7,826,513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effectively repurchased for employee withholding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24,289</w:t>
            </w:r>
          </w:p>
        </w:tc>
        <w:tc>
          <w:tcPr>
            <w:tcW w:w="8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Disposal of SH Acquisition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for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(2,186,738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(2,180,926</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1,060,678,745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(2,004,218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6,401,657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1,489,575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9" w:name="cfs"/>
      <w:bookmarkEnd w:id="19"/>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9485" w:type="dxa"/>
        <w:jc w:val="left"/>
        <w:tblInd w:w="0" w:type="dxa"/>
        <w:tblLayout w:type="fixed"/>
        <w:tblCellMar>
          <w:top w:w="0" w:type="dxa"/>
          <w:left w:w="0" w:type="dxa"/>
          <w:bottom w:w="0" w:type="dxa"/>
          <w:right w:w="0" w:type="dxa"/>
        </w:tblCellMar>
      </w:tblPr>
      <w:tblGrid>
        <w:gridCol w:w="6125"/>
        <w:gridCol w:w="60"/>
        <w:gridCol w:w="125"/>
        <w:gridCol w:w="905"/>
        <w:gridCol w:w="80"/>
        <w:gridCol w:w="60"/>
        <w:gridCol w:w="125"/>
        <w:gridCol w:w="755"/>
        <w:gridCol w:w="80"/>
        <w:gridCol w:w="60"/>
        <w:gridCol w:w="125"/>
        <w:gridCol w:w="905"/>
        <w:gridCol w:w="80"/>
      </w:tblGrid>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recovery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Unrealized foreign exchange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17,768</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130,149</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Loss (gain) on sale of capital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convertible debt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valuation write down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intangible assets and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934,001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than temporary change in fair value of convertible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246,330</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11,406</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39,595</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long-term investments &amp; equity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(Gain) loss on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27,365</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non-cash working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4,168</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7,906</w:t>
            </w:r>
          </w:p>
        </w:tc>
        <w:tc>
          <w:tcPr>
            <w:tcW w:w="80" w:type="dxa"/>
            <w:tcBorders/>
            <w:shd w:fill="FFFFFF" w:val="clear"/>
            <w:vAlign w:val="center"/>
          </w:tcPr>
          <w:p>
            <w:pPr>
              <w:pStyle w:val="TableContents"/>
              <w:bidi w:val="0"/>
              <w:spacing w:before="0" w:after="0"/>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capital and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capital and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Disposal (purchase) of marketable securities,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acquisitions, net of cash acquired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(285,111</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Share capital issued, net of cash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129,593</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Shares effectively repurchased for employee withholding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convertible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145,052</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Repayment of convertible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(187,394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bank indebtedness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paid to NCI</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70,158</w:t>
            </w:r>
          </w:p>
        </w:tc>
        <w:tc>
          <w:tcPr>
            <w:tcW w:w="80" w:type="dxa"/>
            <w:tcBorders/>
            <w:shd w:fill="CCEEFF" w:val="clear"/>
            <w:vAlign w:val="center"/>
          </w:tcPr>
          <w:p>
            <w:pPr>
              <w:pStyle w:val="TableContents"/>
              <w:bidi w:val="0"/>
              <w:spacing w:before="0" w:after="0"/>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415,909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year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206,632</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0" w:name="notes"/>
      <w:bookmarkEnd w:id="20"/>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the Consolidated Financial Statements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110" w:type="dxa"/>
        <w:jc w:val="left"/>
        <w:tblInd w:w="0" w:type="dxa"/>
        <w:tblLayout w:type="fixed"/>
        <w:tblCellMar>
          <w:top w:w="0" w:type="dxa"/>
          <w:left w:w="0" w:type="dxa"/>
          <w:bottom w:w="0" w:type="dxa"/>
          <w:right w:w="0" w:type="dxa"/>
        </w:tblCellMar>
      </w:tblPr>
      <w:tblGrid>
        <w:gridCol w:w="170"/>
        <w:gridCol w:w="194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w:t>
            </w:r>
          </w:p>
        </w:tc>
        <w:tc>
          <w:tcPr>
            <w:tcW w:w="19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Tilray Brands, Inc., and its wholly owned subsidiaries (collectively “Tilray”, the “Company”, “we”, or “us”) is a leading global lifestyle consumer products company headquartered in Leamington, Ontario, Canada, and New York, New York with operations in Canada, the United States, Europe, Australia, and Latin America.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production platform supports over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brands in over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countries, including beverages, comprehensive cannabis offerings, and hemp-based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15" w:type="dxa"/>
        <w:jc w:val="left"/>
        <w:tblInd w:w="0" w:type="dxa"/>
        <w:tblLayout w:type="fixed"/>
        <w:tblCellMar>
          <w:top w:w="0" w:type="dxa"/>
          <w:left w:w="0" w:type="dxa"/>
          <w:bottom w:w="0" w:type="dxa"/>
          <w:right w:w="0" w:type="dxa"/>
        </w:tblCellMar>
      </w:tblPr>
      <w:tblGrid>
        <w:gridCol w:w="170"/>
        <w:gridCol w:w="174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w:t>
            </w:r>
          </w:p>
        </w:tc>
        <w:tc>
          <w:tcPr>
            <w:tcW w:w="17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policies applied in these consolidated financial statements are prepared in accordance with accounting principles generally accepted in the United States of America (“GAAP”) and pursuant to the rules and regulations of the United States Securities and Exchange Commission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presented in U.S. dollars (“USD”), which is the Company’s reporting currency; however, the functional currency of the entities in these financial statements are their respective local currencies, including Canadian dollar, USD, Euro, Australian dollar, and British Pound Sterling.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Foreign currency transactions are remeasured to the respective functional currencies of the Company’s entities at the exchange rates in effect on the date of the transactions. Monetary assets and liabilities denominated in foreign currencies are remeasured to the functional currency at the foreign exchange rate applicable at the statement of financial position date. Non-monetary items carried at historical cost denominated in foreign currencies are remeasured to the functional currency at the date of the transactions. Non-monetary items carried at fair value denominated in foreign currencies are remeasured to the functional currency at the date when the fair value was determined. Realized and unrealized exchange gains and losses are recognized through profit and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consolidation, the assets and liabilities of foreign operations reported in their functional currencies are translated into USD, the Group’s presentation currency, at period-end exchange rates. Income and expenses, and cash flows of foreign operations are translated into USD using average exchange rates. Exchange differences resulting from translating foreign operations are recognized in other comprehensive income (loss) and accumulated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Basis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Subsidiaries are entities controlled by the Company. Control exists when the Company either has a controlling voting interest or is the primary beneficiary of a variable interest entity. 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323,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Investments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Method and Joint Ventures, </w:t>
      </w:r>
      <w:r>
        <w:rPr>
          <w:rFonts w:ascii="Times New Roman" w:hAnsi="Times New Roman"/>
          <w:caps w:val="false"/>
          <w:smallCaps w:val="false"/>
          <w:sz w:val="20"/>
        </w:rPr>
        <w:t xml:space="preserve">investments in entities over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recognized initially at cost, which includes transaction costs. After initial recognition, the consolidated financial statements include the Company’s share of undistributed earnings or losses, and impairment, if any, until the date on which significant influence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If the Company’s share of losses in an equity investment equals or exceeds its interest in the entity, including any net advances,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further losses, unless it has guaranteed obligations of the investee or is otherwise committed to provide further financial support for the investee.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Unrealized gains on transactions between the Company and its equity-method investees are eliminated only to the extent of the Company’s interest in these entities. Unrealized losses are also eliminated, except to the extent that the underlying asset is impaired.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2770" w:type="dxa"/>
        <w:jc w:val="left"/>
        <w:tblInd w:w="0" w:type="dxa"/>
        <w:tblLayout w:type="fixed"/>
        <w:tblCellMar>
          <w:top w:w="0" w:type="dxa"/>
          <w:left w:w="0" w:type="dxa"/>
          <w:bottom w:w="0" w:type="dxa"/>
          <w:right w:w="0" w:type="dxa"/>
        </w:tblCellMar>
      </w:tblPr>
      <w:tblGrid>
        <w:gridCol w:w="170"/>
        <w:gridCol w:w="2600"/>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3.</w:t>
            </w:r>
          </w:p>
        </w:tc>
        <w:tc>
          <w:tcPr>
            <w:tcW w:w="26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significant accounting policies used by the Company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are comprised of cash and highly liquid investments that are both readily convertible into known amounts of cash with original maturities of three months or less. Cash and cash equivalents include amounts held in United States dollar, Canadian dollar, Euro, Australian dollar, Colombian peso, Argentine peso, and corporate bonds, commercial paper, treasury bills and money market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classify term deposits and other investments that have maturities of greater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but less than </w:t>
      </w:r>
      <w:r>
        <w:rPr>
          <w:rStyle w:val="Emphasis"/>
          <w:rFonts w:ascii="Times New Roman" w:hAnsi="Times New Roman"/>
          <w:caps w:val="false"/>
          <w:smallCaps w:val="false"/>
          <w:sz w:val="20"/>
        </w:rPr>
        <w:t>one</w:t>
      </w:r>
      <w:r>
        <w:rPr>
          <w:rFonts w:ascii="Times New Roman" w:hAnsi="Times New Roman"/>
          <w:caps w:val="false"/>
          <w:smallCaps w:val="false"/>
          <w:sz w:val="20"/>
        </w:rPr>
        <w:t> year as marketable securities. The fair value of marketable securities is based on quoted market prices for publicly traded securities. Marketable securities are carried at fair value with changes in fair value recorded in the consolidated statement of net loss and comprehensive loss within the line “Non-operating income (expense), net”.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maintains an allowance for credit losses at an amount sufficient to absorb losses inherent in its accounts receivable portfolio as of the reporting dates based on the projection of expected credit losses. The Company applies the aging method to estimate the allowance for expected credit losses. The aging method is applied to accounts receivable at the business unit level to reflect shared risk characteristics, such as receivable type, customer type and geographical location. The aging method assigns accounts receivable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 considering economic and business conditions, default trends, changes in its class composition, among other internal and external factors. The expected credit loss estimates are adjusted for current conditions and reasonable supportable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part of the Company’s analysis of expected credit losses,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analyze contracts on an individual basis in situations where such accounts receivables exhibit unique risk characteristics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experience similar losses to the rest of their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Inventory is valued at the lower of cost and net realizable value, and determined by using the weighted average cost. All direct and indirect costs related to inventory are capitalized as they are incurred, and they are subsequently recorded in cost of goods sold on the consolidated statements of loss and comprehensive loss at the time inventory is sold. Net realizable value is defined as the estimated selling price in the ordinary course of business, less reasonably predictable costs of completion, disposal and transportation.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management’s estimates and such differences could be material to the Company’s consolidated statements of financial position, statements of loss and comprehensive loss and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Capital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Capital assets are recorded at cost and amortized on a straight-line basis over the estimated useful lives or lease term, whichever is shorter. The Company’s capital assets are reviewed when impairment indicators are present by analyzing the underlying cash flow projections. Maintenance and repairs are charged to expenses as incurred. The Company uses the following ranges of asset lives:</w:t>
      </w:r>
    </w:p>
    <w:p>
      <w:pPr>
        <w:pStyle w:val="TextBody"/>
        <w:bidi w:val="0"/>
        <w:spacing w:before="0" w:after="0"/>
        <w:ind w:left="0" w:right="0" w:hanging="0"/>
        <w:jc w:val="both"/>
        <w:rPr>
          <w:caps w:val="false"/>
          <w:smallCaps w:val="false"/>
        </w:rPr>
      </w:pPr>
      <w:r>
        <w:rPr>
          <w:caps w:val="false"/>
          <w:smallCaps w:val="false"/>
        </w:rPr>
        <w:t> </w:t>
      </w:r>
    </w:p>
    <w:tbl>
      <w:tblPr>
        <w:tblW w:w="9360" w:type="dxa"/>
        <w:jc w:val="left"/>
        <w:tblInd w:w="0" w:type="dxa"/>
        <w:tblLayout w:type="fixed"/>
        <w:tblCellMar>
          <w:top w:w="0" w:type="dxa"/>
          <w:left w:w="0" w:type="dxa"/>
          <w:bottom w:w="28" w:type="dxa"/>
          <w:right w:w="0" w:type="dxa"/>
        </w:tblCellMar>
      </w:tblPr>
      <w:tblGrid>
        <w:gridCol w:w="2615"/>
        <w:gridCol w:w="1790"/>
        <w:gridCol w:w="4955"/>
      </w:tblGrid>
      <w:tr>
        <w:trPr/>
        <w:tc>
          <w:tcPr>
            <w:tcW w:w="261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type</w:t>
            </w:r>
          </w:p>
        </w:tc>
        <w:tc>
          <w:tcPr>
            <w:tcW w:w="179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Depreciation method</w:t>
            </w:r>
          </w:p>
        </w:tc>
        <w:tc>
          <w:tcPr>
            <w:tcW w:w="495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Depreciation term (estimated useful life)</w:t>
            </w:r>
          </w:p>
        </w:tc>
      </w:tr>
      <w:tr>
        <w:trPr/>
        <w:tc>
          <w:tcPr>
            <w:tcW w:w="2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Production facility</w:t>
            </w:r>
          </w:p>
        </w:tc>
        <w:tc>
          <w:tcPr>
            <w:tcW w:w="179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Straight-line</w:t>
            </w:r>
          </w:p>
        </w:tc>
        <w:tc>
          <w:tcPr>
            <w:tcW w:w="495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 – 30 years</w:t>
            </w:r>
          </w:p>
        </w:tc>
      </w:tr>
      <w:tr>
        <w:trPr/>
        <w:tc>
          <w:tcPr>
            <w:tcW w:w="261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Equipment</w:t>
            </w:r>
          </w:p>
        </w:tc>
        <w:tc>
          <w:tcPr>
            <w:tcW w:w="179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Straight-line</w:t>
            </w:r>
          </w:p>
        </w:tc>
        <w:tc>
          <w:tcPr>
            <w:tcW w:w="495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 25 years</w:t>
            </w:r>
          </w:p>
        </w:tc>
      </w:tr>
      <w:tr>
        <w:trPr/>
        <w:tc>
          <w:tcPr>
            <w:tcW w:w="2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1790" w:type="dxa"/>
            <w:tcBorders/>
            <w:shd w:fill="CCEE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Straight-line</w:t>
            </w:r>
          </w:p>
        </w:tc>
        <w:tc>
          <w:tcPr>
            <w:tcW w:w="4955" w:type="dxa"/>
            <w:tcBorders/>
            <w:shd w:fill="CCEE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Lesser of estimated useful life or lease term</w:t>
            </w:r>
          </w:p>
        </w:tc>
      </w:tr>
      <w:tr>
        <w:trPr/>
        <w:tc>
          <w:tcPr>
            <w:tcW w:w="2615" w:type="dxa"/>
            <w:tcBorders>
              <w:bottom w:val="single" w:sz="2" w:space="0" w:color="000000"/>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lease right-of-use assets</w:t>
            </w:r>
          </w:p>
        </w:tc>
        <w:tc>
          <w:tcPr>
            <w:tcW w:w="1790" w:type="dxa"/>
            <w:tcBorders>
              <w:bottom w:val="single" w:sz="2" w:space="0" w:color="000000"/>
            </w:tcBorders>
            <w:shd w:fill="FFFFFF" w:val="cle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Straight-line</w:t>
            </w:r>
          </w:p>
        </w:tc>
        <w:tc>
          <w:tcPr>
            <w:tcW w:w="4955" w:type="dxa"/>
            <w:tcBorders>
              <w:bottom w:val="single" w:sz="2" w:space="0" w:color="000000"/>
            </w:tcBorders>
            <w:shd w:fill="FFFFFF" w:val="cle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Lesser of the lease term and the useful life of the leased asset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firstLine="180"/>
        <w:jc w:val="both"/>
        <w:rPr>
          <w:rFonts w:ascii="Times New Roman" w:hAnsi="Times New Roman"/>
          <w:i/>
          <w:caps w:val="false"/>
          <w:smallCaps w:val="false"/>
          <w:sz w:val="20"/>
        </w:rPr>
      </w:pPr>
      <w:r>
        <w:rPr>
          <w:rFonts w:ascii="Times New Roman" w:hAnsi="Times New Roman"/>
          <w:i/>
          <w:caps w:val="false"/>
          <w:smallCaps w:val="false"/>
          <w:sz w:val="20"/>
        </w:rPr>
        <w:t>Assets held for sale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classify capital assets that are available for immediate sale in their present condition, which the Company has approved the action or plan to sell, and the sale is probable within </w:t>
      </w:r>
      <w:r>
        <w:rPr>
          <w:rStyle w:val="Emphasis"/>
          <w:rFonts w:ascii="Times New Roman" w:hAnsi="Times New Roman"/>
          <w:caps w:val="false"/>
          <w:smallCaps w:val="false"/>
          <w:sz w:val="20"/>
        </w:rPr>
        <w:t>one</w:t>
      </w:r>
      <w:r>
        <w:rPr>
          <w:rFonts w:ascii="Times New Roman" w:hAnsi="Times New Roman"/>
          <w:caps w:val="false"/>
          <w:smallCaps w:val="false"/>
          <w:sz w:val="20"/>
        </w:rPr>
        <w:t> year, as assets held for sale.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the Company reported $5,800 in assets held for sale related to the Fort Collins facility,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(Capital assets). Assets held for sale are measured at the lower of carrying amount and the fair value less costs to sell, and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depreciated. Disposition of assets held for sale are recorded in the consolidated statement of net loss and comprehensive loss.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When there are changes in circumstances that were previously considered unlikely to occur, and it is decided </w:t>
      </w:r>
      <w:r>
        <w:rPr>
          <w:rStyle w:val="Emphasis"/>
          <w:rFonts w:ascii="Times New Roman" w:hAnsi="Times New Roman"/>
          <w:caps w:val="false"/>
          <w:smallCaps w:val="false"/>
          <w:sz w:val="20"/>
        </w:rPr>
        <w:t>not</w:t>
      </w:r>
      <w:r>
        <w:rPr>
          <w:rFonts w:ascii="Times New Roman" w:hAnsi="Times New Roman"/>
          <w:caps w:val="false"/>
          <w:smallCaps w:val="false"/>
          <w:sz w:val="20"/>
        </w:rPr>
        <w:t> to proceed with a sale, an asset that was previously classified as assets held for sale is reclassified as held and used. The asset is then remeasured at the lower of its carrying amount before being classified as held for sale less the amortization that would have occurred and the fair value on the date the decision </w:t>
      </w:r>
      <w:r>
        <w:rPr>
          <w:rStyle w:val="Emphasis"/>
          <w:rFonts w:ascii="Times New Roman" w:hAnsi="Times New Roman"/>
          <w:caps w:val="false"/>
          <w:smallCaps w:val="false"/>
          <w:sz w:val="20"/>
        </w:rPr>
        <w:t>not</w:t>
      </w:r>
      <w:r>
        <w:rPr>
          <w:rFonts w:ascii="Times New Roman" w:hAnsi="Times New Roman"/>
          <w:caps w:val="false"/>
          <w:smallCaps w:val="false"/>
          <w:sz w:val="20"/>
        </w:rPr>
        <w:t> to proceed with a sale was made. Changes in the carrying amount are recorded in the consolidated statement of net loss and comprehensive loss.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May 31, 2025</w:t>
      </w:r>
      <w:r>
        <w:rPr>
          <w:rFonts w:ascii="Times New Roman" w:hAnsi="Times New Roman"/>
          <w:i/>
          <w:caps w:val="false"/>
          <w:smallCaps w:val="false"/>
          <w:sz w:val="20"/>
        </w:rPr>
        <w:t>,</w:t>
      </w:r>
      <w:r>
        <w:rPr>
          <w:rFonts w:ascii="Times New Roman" w:hAnsi="Times New Roman"/>
          <w:caps w:val="false"/>
          <w:smallCaps w:val="false"/>
          <w:sz w:val="20"/>
        </w:rPr>
        <w:t> due to a change in circumstance in the Company's intention to sell our Quebec cultivation facility, the asset was subsequently reclassified as capital assets as the Company has made alternative plans for its utilization. The asset was then remeasured at the lower of its carrying amount before being classified as held for sale less the amortization that would have occurred and the fair value on the date the decision </w:t>
      </w:r>
      <w:r>
        <w:rPr>
          <w:rStyle w:val="Emphasis"/>
          <w:rFonts w:ascii="Times New Roman" w:hAnsi="Times New Roman"/>
          <w:caps w:val="false"/>
          <w:smallCaps w:val="false"/>
          <w:sz w:val="20"/>
        </w:rPr>
        <w:t>not</w:t>
      </w:r>
      <w:r>
        <w:rPr>
          <w:rFonts w:ascii="Times New Roman" w:hAnsi="Times New Roman"/>
          <w:caps w:val="false"/>
          <w:smallCaps w:val="false"/>
          <w:sz w:val="20"/>
        </w:rPr>
        <w:t> to proceed with a sale was made. Changes in the carrying amount were recorded in the consolidated statement of net loss and comprehensive loss as amortization in cost of goods sold.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Intangible assets are recorded at cost and amortized on a straight-line basis over the estimated useful lives. The Company uses the following ranges of asset lives:</w:t>
      </w:r>
    </w:p>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28" w:type="dxa"/>
          <w:right w:w="0" w:type="dxa"/>
        </w:tblCellMar>
      </w:tblPr>
      <w:tblGrid>
        <w:gridCol w:w="3785"/>
        <w:gridCol w:w="2120"/>
      </w:tblGrid>
      <w:tr>
        <w:trPr/>
        <w:tc>
          <w:tcPr>
            <w:tcW w:w="378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type</w:t>
            </w:r>
          </w:p>
        </w:tc>
        <w:tc>
          <w:tcPr>
            <w:tcW w:w="212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Amortization term</w:t>
            </w:r>
          </w:p>
        </w:tc>
      </w:tr>
      <w:tr>
        <w:trPr/>
        <w:tc>
          <w:tcPr>
            <w:tcW w:w="378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 relationships &amp; distribution channel</w:t>
            </w:r>
          </w:p>
        </w:tc>
        <w:tc>
          <w:tcPr>
            <w:tcW w:w="21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 – 16 years</w:t>
            </w:r>
          </w:p>
        </w:tc>
      </w:tr>
      <w:tr>
        <w:trPr/>
        <w:tc>
          <w:tcPr>
            <w:tcW w:w="378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Licences, permits &amp; applications</w:t>
            </w:r>
          </w:p>
        </w:tc>
        <w:tc>
          <w:tcPr>
            <w:tcW w:w="2120" w:type="dxa"/>
            <w:tcBorders/>
            <w:shd w:fill="FFFF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12 months – indefinite</w:t>
            </w:r>
          </w:p>
        </w:tc>
      </w:tr>
      <w:tr>
        <w:trPr/>
        <w:tc>
          <w:tcPr>
            <w:tcW w:w="378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trademarks &amp; brands</w:t>
            </w:r>
          </w:p>
        </w:tc>
        <w:tc>
          <w:tcPr>
            <w:tcW w:w="21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 months – 25 years</w:t>
            </w:r>
          </w:p>
        </w:tc>
      </w:tr>
      <w:tr>
        <w:trPr/>
        <w:tc>
          <w:tcPr>
            <w:tcW w:w="3785" w:type="dxa"/>
            <w:tcBorders/>
            <w:shd w:fill="FFFF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Non-compete agreements</w:t>
            </w:r>
          </w:p>
        </w:tc>
        <w:tc>
          <w:tcPr>
            <w:tcW w:w="2120" w:type="dxa"/>
            <w:tcBorders/>
            <w:shd w:fill="FFFF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Over term of non-compete</w:t>
            </w:r>
          </w:p>
        </w:tc>
      </w:tr>
      <w:tr>
        <w:trPr/>
        <w:tc>
          <w:tcPr>
            <w:tcW w:w="3785" w:type="dxa"/>
            <w:tcBorders>
              <w:bottom w:val="single" w:sz="2" w:space="0" w:color="000000"/>
            </w:tcBorders>
            <w:shd w:fill="CCEEFF" w:val="cle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Know how</w:t>
            </w:r>
          </w:p>
        </w:tc>
        <w:tc>
          <w:tcPr>
            <w:tcW w:w="2120" w:type="dxa"/>
            <w:tcBorders>
              <w:bottom w:val="single" w:sz="2" w:space="0" w:color="000000"/>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years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During the year ended </w:t>
      </w:r>
      <w:r>
        <w:rPr>
          <w:rStyle w:val="Emphasis"/>
          <w:rFonts w:ascii="Times New Roman;Times;serif" w:hAnsi="Times New Roman;Times;serif"/>
          <w:sz w:val="20"/>
        </w:rPr>
        <w:t xml:space="preserve">May 31, 2025, </w:t>
      </w:r>
      <w:r>
        <w:rPr>
          <w:rFonts w:ascii="Times New Roman;Times;serif" w:hAnsi="Times New Roman;Times;serif"/>
          <w:sz w:val="20"/>
        </w:rPr>
        <w:t>the Company began capitalizing multi-year sports sponsorships rights as a result of the recent Craft Acquisition I and Craft Acquisition II transactions where these rights were acquired. Multi-year sports sponsorships rights are capitalized in Licenses, permits &amp; applications and are amortized over the life of the contract. </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reviews long-lived assets, including capital assets and definite life intangible assets for impairment whenever events or changes in circumstances indicate that the carrying value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determined using a market approach or income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Business combinations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business combinations using the acquisition method in accordance with Accounting Standards Codification,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which requires recognition of assets acquired and liabilities assumed, including contingent assets and liabilities, at their respective fair values on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Contingent consideration is measured at its acquisition-date fair value and included as part of the consideration transferred in a business combination. Contingent consideration that is classified as a liability is remeasured at subsequent reporting dates, with the corresponding gain or loss recognized in profit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Non-controlling interests in the acquiree are measured at fair value on acquisition date. Acquisition-related costs are recognized as expenses in the periods in which the costs are incurred and the services are received (except for the costs to issue debt or equity securities which are recognized according to specific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Purchase price allocations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preliminary and, during the measurement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of acquisition, changes in assumptions and estimates that result in adjustments to the fair value of assets acquired and liabilities assumed are recorded in the period the adjustments are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represents the excess of the consideration transferred for the acquisition of subsidiaries over the net of the acquisition-date amounts of the identifiable assets acquired and the liabilities assumed. Following initial recognition, goodwill is measured at cost less any accumulated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Impairment of goodwill and indefinite-lived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is allocated to the reporting unit in which the business that created the goodwill resides. A reporting unit is an operating segment, or a business unit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level below that operating segment, for which discrete financial information is prepared and regularly reviewed by segment management. We operate in four operating segments, which are our reporting units, and goodwill is allocated at the operating segment level. The Company reviews goodwill and indefinite-lived intangible assets annually for impairment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or more frequently, if events or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Arrangements containing leases are evaluated as an operating or finance lease at lease inception. For operating leases, the Company recognizes an operating lease right-of-use ("ROU") asset and operating lease liability at lease commencement based on the present value of lease payments over the lease term. With the exception of certain finance leases, an implicit rate of return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for the Company's leases. For these leases, an incremental borrowing rate is used in determining the present value of lease payments and is calculated based on information available at the lease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incremental borrowing rate is determined using a portfolio approach based on the rate of interest the Company would have to pay to borrow funds on a collateralized basis over a similar term. The Company references market yield curves which are risk-adjusted to approximate a collateralized rate in the currency of the lease. These rates are updated on a quarterly basis for measurement of new lease obligations.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when it is reasonably certain that the option will be exercised. 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on the Company's consolidated statements of financial position. Operating lease assets are presented as right-of-use assets, and corresponding operating lease liabilities are presented within lease liabilities, on the Company’s consolidated statements of financial position. Finance lease assets are included in capital assets, and corresponding finance lease liabilities are included within current lease liabilities, on the Company’s consolidated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Long-term investments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Investments in equity securities of entities over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have a controlling financial interest or significant influence are classified as an equity investment and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an individual equity investment is less than its carrying value. Changes in value are recorded in the consolidated statement of net loss and comprehensive loss, within the line, “Non-operating income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Style w:val="Emphasis"/>
          <w:rFonts w:ascii="Times New Roman" w:hAnsi="Times New Roman"/>
          <w:sz w:val="20"/>
        </w:rPr>
        <w:t>77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Investments in entities over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controlling financial interest but has significant influence, are accounted for using the equity method, with the Company’s share of losses reported in loss from equity method investments on the statements of loss and comprehensive loss in "Other non-operating (losses) gains, net". Equity method investments are recorded at cost, plus the Company’s share of undistributed earnings or losses, and impairment, if any, within interest in equity investees on the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Convertible debentures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its convertible debentures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Debt with Conversion and Other Options</w:t>
      </w:r>
      <w:r>
        <w:rPr>
          <w:rFonts w:ascii="Times New Roman" w:hAnsi="Times New Roman"/>
          <w:caps w:val="false"/>
          <w:smallCaps w:val="false"/>
          <w:sz w:val="20"/>
        </w:rPr>
        <w:t xml:space="preserve">, whereby the convertible instrument is initially accounted for as a single unit of account, unless it contains a derivative that must be bifurcated from the host contract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Embedded Derivatives</w:t>
      </w:r>
      <w:r>
        <w:rPr>
          <w:rFonts w:ascii="Times New Roman" w:hAnsi="Times New Roman"/>
          <w:caps w:val="false"/>
          <w:smallCaps w:val="false"/>
          <w:sz w:val="20"/>
        </w:rPr>
        <w:t xml:space="preserve"> or the substantial premium model in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with Conversion and Other Options </w:t>
      </w:r>
      <w:r>
        <w:rPr>
          <w:rFonts w:ascii="Times New Roman" w:hAnsi="Times New Roman"/>
          <w:caps w:val="false"/>
          <w:smallCaps w:val="false"/>
          <w:sz w:val="20"/>
        </w:rPr>
        <w:t>applies. Where the substantial premium model applies, the premium is recorded in additional paid-in capital. The resulting debt discount is amortized over the period during which the convertible notes are expected to be outstanding as additional non-cash interest expenses.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Upon repurchase of convertible debt instruments,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convertible debentures with an embedded conversion feature that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equity scope exception from derivative accounting 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the Company elected the fair value option under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Warrants are accounted for in accordance with applicable accounting guidance provided in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Contracts in Entity's Own Equity</w:t>
      </w:r>
      <w:r>
        <w:rPr>
          <w:rFonts w:ascii="Times New Roman" w:hAnsi="Times New Roman"/>
          <w:caps w:val="false"/>
          <w:smallCaps w:val="false"/>
          <w:sz w:val="20"/>
        </w:rPr>
        <w:t xml:space="preserve">, as either liabilities or as equity instruments depending on the specific terms of the warrant agreement. Warrants classified as liabilities are recorded at fair value and are remeasured at each reporting date until settlement. Changes in fair value are recognized as a component of the change in fair value of the warrant liability in the consolidated statements of loss and comprehensive loss. Transaction costs allocated to warrants that are presented as a liability are immediately expensed in the statements of loss and comprehensive loss. Warrants classified as equity instruments are initially recognized at fair value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subsequently remeasured.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is defined as the price that would be received to sell an asset or paid to transfer a liability in an orderly transaction between market participants at the measurement date. The carrying values of accounts receivable, prepaids and other current assets, bank indebtedness and accounts payable and accrued liabilities approximate their fair values due to their short periods to maturity. The Company calculates the estimated fair value of financial instruments, including convertible notes receivable, long-term investments, warrant liability, contingent consideration, and convertible debentures, using quoted market prices when available. When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fair value is determined based on valuation techniques using the best information available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quoted market prices, market comparable, and discounted cash flow projections.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recognized in the consolidated statements of loss and comprehensive loss and are comprised of current and deferred taxes. Current tax is recognized in connection with income for tax purposes, unrealized tax benefits and the recovery of tax paid in a prior period and measured using enacted tax rates and laws applicable to the taxation period during which the income for tax purposes arose. Deferred tax assets and liabilities are determined based on the differences between the financial reporting and the tax basis of assets and liabilities and are measured using the enacted tax rates and laws that will be in effect when the differences are expected to reverse. Management makes an assessment of the likelihood that a deferred tax asset will be realized, and a valuation allowance is provided to the extent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all or a portion of a deferred tax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recognizes uncertain income tax positions at the largest amount that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upon audit by the relevant tax authority. An uncertain income tax position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recognized if it has less than a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sustained. A change in the recognition or measurement of an unrealized tax benefit is reflected in the period during which the change occurs.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recognized when the control of the promised goods or services, through performance obligation, is transferred or provided to the customer in an amount that reflects the consideration we expect to be entitled to in exchange for the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Excise taxes remitted to tax authorities are government-imposed excise taxes on cannabis and beer. Excise taxes are recorded as a reduction of sales in net revenue in the consolidated statements of loss and comprehensive loss and recognized as a current liability within accounts payable and accrued liabilities on the consolidated balance sheets, with the liability subsequently reduced when the taxes are remitted to the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amounts disclosed as net revenue are net of excise taxes, sales tax, duty tax, allowances, discounts and rebates.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determining the transaction price for the sale of goods or services, the Company considers the effects of variable consideration and the existence of significant financing components,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enter into certain contracts for the sale of goods or services, which provide customers with rights of return, volume discounts, bonuses for volume/quality achievement, and/or sales allowances. In addition,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provide in certain circumstances, a retrospective price reduction to a customer based primarily on inventory movement. The inclusion of these items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give rise to variable consideration. The Company uses the expected value method to estimate the variable consideration because this method provides the most accurate estimation of the amount of variable consideration to which the Company will be entitled. The Company uses historical evidence, current information and forecasts to estimate the variable consideration. The Company reduces revenue and recognizes a contract liability, recorded in accounts receivable, net, equal to the amount expected to be refunded to the customer in the form of a future rebate or credit for a retrospective price reduction, representing its obligation to return the customer’s consideration. The estimate is updated at each reporting period date.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79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Cost of goods sold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goods sold represents costs directly related to manufacturing and distribution of the Company’s products. Primary costs include raw materials, packaging, direct labor, overhead, shipping and handling, the amortization of manufacturing equipment and production facilities and tariffs. Manufacturing overhead and related expenses include salaries, wages, employee benefits, utilities, maintenance and property taxes. Cost of goods sold also includes inventory valuation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are comprised primarily of (i) personnel related costs such as salaries, benefits, annual employee bonus expense and stock-based compensation costs; (ii) legal, accounting, consulting and other professional fees; and (iii) corporate insurance and other facilities costs associated with our corporate and administrative locations.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Selling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Selling expenses are comprised of direct selling costs which primarily consist of (i) commissions paid to our </w:t>
      </w:r>
      <w:r>
        <w:rPr>
          <w:rStyle w:val="Emphasis"/>
          <w:rFonts w:ascii="Times New Roman" w:hAnsi="Times New Roman"/>
          <w:caps w:val="false"/>
          <w:smallCaps w:val="false"/>
          <w:sz w:val="20"/>
        </w:rPr>
        <w:t>third</w:t>
      </w:r>
      <w:r>
        <w:rPr>
          <w:rFonts w:ascii="Times New Roman" w:hAnsi="Times New Roman"/>
          <w:caps w:val="false"/>
          <w:smallCaps w:val="false"/>
          <w:sz w:val="20"/>
        </w:rPr>
        <w:t>-party workforce, (ii) patient acquisition and maintenance fees, (iii) Health Canada’s cannabis fees and (iv) outbound freight.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Marketing and promotion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Marketing and promotion expenses are comprised primarily of marketing and advertising expenses.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costs are expensed as incurred. Research and development are comprised primarily of costs for clinical study costs, contracted research, consulting services, materials, supplies and other expenses incurred to sustain our overall research and development programs.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an omnibus plan which includes issuances of stock options, restricted stock units (“RSUs”) and stock appreciation rights (“SARs”). The Company estimates the fair value of stock options on the date of grant using the Black-Scholes option pricing model. The fair value of RSUs is based on the share price as at date of grant and no SARs were issued to date. The share-based compensation expense is based on the fair value of the stock-based awards at the grant date and the expense is recognized over the related service period following a straight-line vesting expense schedule. The Company estimates forfeitures at the time of grant and revises these estimates in subsequent periods if actual forfeitures differ from those estimates. Any revisions are recognized in the consolidated statements of loss and comprehensive loss such that the cumulative expense reflects the revised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Transaction (income) costs, net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expenses costs net of any gains directly attributable to business acquisitions and classifies these items as transaction (income) costs, net. These items include among other things, legal fees to complete the acquisition, financial advisor and due diligence costs, and transaction related compensation. These items are recognized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see Note </w:t>
      </w:r>
      <w:r>
        <w:rPr>
          <w:rStyle w:val="Emphasis"/>
          <w:rFonts w:ascii="Times New Roman" w:hAnsi="Times New Roman"/>
          <w:caps w:val="false"/>
          <w:smallCaps w:val="false"/>
          <w:sz w:val="20"/>
        </w:rPr>
        <w:t>17</w:t>
      </w:r>
      <w:r>
        <w:rPr>
          <w:rFonts w:ascii="Times New Roman" w:hAnsi="Times New Roman"/>
          <w:caps w:val="false"/>
          <w:smallCaps w:val="false"/>
          <w:sz w:val="20"/>
        </w:rPr>
        <w:t> (Convertible debentures payable) are excluded from the calculation of basic and diluted earnings per share because the borrower of the shares is required to refund any dividends paid on the shares lent under the share lending arrangement.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computing diluted earnings (loss) per share, common share equivalents are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in periods in which a net loss is reported, as the inclusion of the common share equivalents would be anti-dilutive. For the fiscal years ended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the dilutive potential common share equivalents outstanding consisted of the following: 21,323,582 and 20,167,017 common shares from RSUs, 3,031,385 and 4,425,383 common shares from share options, 6,209,000 and 6,209,000 common shares for warrants and 39,548,019 and 65,001,591 common shares for convertible debentures, respectively.</w:t>
      </w:r>
    </w:p>
    <w:p>
      <w:pPr>
        <w:pStyle w:val="TextBody"/>
        <w:bidi w:val="0"/>
        <w:spacing w:before="0" w:after="0"/>
        <w:ind w:left="0" w:right="0" w:firstLine="18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Critical accounting estimates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these estimates. The estimates and underlying assumptions are reviewed on an ongoing basis. Revisions to accounting estimates are recognized prospectively.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Financial statement areas that require significant judgement and estimates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Estimated useful lives, impairment considerations and amortization of capital and intangible assets </w:t>
      </w:r>
      <w:r>
        <w:rPr>
          <w:rFonts w:ascii="Times New Roman" w:hAnsi="Times New Roman"/>
          <w:caps w:val="false"/>
          <w:smallCaps w:val="false"/>
          <w:sz w:val="20"/>
        </w:rPr>
        <w:t>– Amortization of capital and intangible assets is dependent upon estimates of useful lives based on management’s judgment.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and indefinite-lived intangible asset impairment testing require management to make estimates in the impairment testing model. On at least an annual basis, the Company tests whether goodwill and indefinite-lived intangible assets are impaired. Impairment of definite long-lived assets is influenced by judgment in defining a reporting unit and determining the indicators of impairment, and estimates used to measure impairment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reporting unit’s fair value is determined using discounted future cash flow models, which incorporate assumptions regarding future events, specifically future cash flows, growth rates, probability of anticipated EU and U.S. cannabis regulatory changes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i/>
          <w:caps w:val="false"/>
          <w:smallCaps w:val="false"/>
          <w:sz w:val="20"/>
        </w:rPr>
        <w:t xml:space="preserve">Business combinations </w:t>
      </w:r>
      <w:r>
        <w:rPr>
          <w:rFonts w:ascii="Times New Roman" w:hAnsi="Times New Roman"/>
          <w:caps w:val="false"/>
          <w:smallCaps w:val="false"/>
          <w:sz w:val="20"/>
        </w:rPr>
        <w:t xml:space="preserve">– Judgement is used in determining a) whether an acquisition is a business combination or an asset acquisition. We use judgement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experts to assist in the valuation of material acquisitions.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Convertible debentures </w:t>
      </w:r>
      <w:r>
        <w:rPr>
          <w:rFonts w:ascii="Times New Roman" w:hAnsi="Times New Roman"/>
          <w:caps w:val="false"/>
          <w:smallCaps w:val="false"/>
          <w:sz w:val="20"/>
        </w:rPr>
        <w:t>– The fair value of Convertible Debentures where the Company had elected the fair value option are determined using the Black-Scholes option pricing model. Assumptions and estimates are made in determining an appropriate conversion price, volatility, dividend yield, and the fair value of common stock. There is judgement in assessing what portion of the gain or loss, if any, relates to the change in the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60" w:right="0" w:firstLine="360"/>
        <w:jc w:val="both"/>
        <w:rPr/>
      </w:pPr>
      <w:r>
        <w:rPr>
          <w:rFonts w:ascii="Times New Roman" w:hAnsi="Times New Roman"/>
          <w:i/>
          <w:caps w:val="false"/>
          <w:smallCaps w:val="false"/>
          <w:sz w:val="20"/>
        </w:rPr>
        <w:t xml:space="preserve">New 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2023,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Business Combination - Joint Venture Formations (Subtopic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60</w:t>
      </w:r>
      <w:r>
        <w:rPr>
          <w:rFonts w:ascii="Times New Roman" w:hAnsi="Times New Roman"/>
          <w:caps w:val="false"/>
          <w:smallCaps w:val="false"/>
          <w:sz w:val="20"/>
        </w:rPr>
        <w:t>) Recognition and Initial Measurement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which is intended to address the accounting for contributions made to a joint venture.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is effective for the Company beginning </w:t>
      </w:r>
      <w:r>
        <w:rPr>
          <w:rStyle w:val="Emphasis"/>
          <w:rFonts w:ascii="Times New Roman" w:hAnsi="Times New Roman"/>
          <w:caps w:val="false"/>
          <w:smallCaps w:val="false"/>
          <w:sz w:val="20"/>
        </w:rPr>
        <w:t xml:space="preserve"> June 1, 2026. </w:t>
      </w:r>
      <w:r>
        <w:rPr>
          <w:rFonts w:ascii="Times New Roman" w:hAnsi="Times New Roman"/>
          <w:caps w:val="false"/>
          <w:smallCaps w:val="false"/>
          <w:sz w:val="20"/>
        </w:rPr>
        <w:t>This update will be applied prospectively and the Company is currently evaluating the effect of adopting this ASU.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October 2023,</w:t>
      </w:r>
      <w:r>
        <w:rPr>
          <w:rFonts w:ascii="Times New Roman" w:hAnsi="Times New Roman"/>
          <w:caps w:val="false"/>
          <w:smallCaps w:val="false"/>
          <w:sz w:val="20"/>
        </w:rPr>
        <w:t> 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Disclosure Improvements: Codification Amendments in Response to the SEC’s Disclosure Update and Simplification Initiative, which amends the disclosure or presentation requirements related to various subtopics in the FASB Accounting Standards Codification (the “Codification”). The effective date for each amendment will be the date on which the SEC’s removal of that related disclosure from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becomes effective, with early adoption prohibited. If by </w:t>
      </w:r>
      <w:r>
        <w:rPr>
          <w:rStyle w:val="Emphasis"/>
          <w:rFonts w:ascii="Times New Roman" w:hAnsi="Times New Roman"/>
          <w:caps w:val="false"/>
          <w:smallCaps w:val="false"/>
          <w:sz w:val="20"/>
        </w:rPr>
        <w:t xml:space="preserve"> June 30, 2027, </w:t>
      </w:r>
      <w:r>
        <w:rPr>
          <w:rFonts w:ascii="Times New Roman" w:hAnsi="Times New Roman"/>
          <w:caps w:val="false"/>
          <w:smallCaps w:val="false"/>
          <w:sz w:val="20"/>
        </w:rPr>
        <w:t>the SEC has </w:t>
      </w:r>
      <w:r>
        <w:rPr>
          <w:rStyle w:val="Emphasis"/>
          <w:rFonts w:ascii="Times New Roman" w:hAnsi="Times New Roman"/>
          <w:caps w:val="false"/>
          <w:smallCaps w:val="false"/>
          <w:sz w:val="20"/>
        </w:rPr>
        <w:t>not</w:t>
      </w:r>
      <w:r>
        <w:rPr>
          <w:rFonts w:ascii="Times New Roman" w:hAnsi="Times New Roman"/>
          <w:caps w:val="false"/>
          <w:smallCaps w:val="false"/>
          <w:sz w:val="20"/>
        </w:rPr>
        <w:t> removed the applicable requirement from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the pending content of the related amendment will be removed from the Codification and will </w:t>
      </w:r>
      <w:r>
        <w:rPr>
          <w:rStyle w:val="Emphasis"/>
          <w:rFonts w:ascii="Times New Roman" w:hAnsi="Times New Roman"/>
          <w:caps w:val="false"/>
          <w:smallCaps w:val="false"/>
          <w:sz w:val="20"/>
        </w:rPr>
        <w:t>not</w:t>
      </w:r>
      <w:r>
        <w:rPr>
          <w:rFonts w:ascii="Times New Roman" w:hAnsi="Times New Roman"/>
          <w:caps w:val="false"/>
          <w:smallCaps w:val="false"/>
          <w:sz w:val="20"/>
        </w:rPr>
        <w:t> become effective for any entity. The Company is currently evaluating the effect of adopting this ASU.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Improvements to Income Tax Disclosures, which requires public entities to disclose specific categories in the rate reconciliation and provide additional information for reconciling items that meet a quantitative threshold on an annual basis.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is effective for the Company beginning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The Company is currently evaluating the effect of adopting this ASU.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Disaggregation of Income Statement Expenses, which requires disaggregated disclosure of income statement expenses for public business entities.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is effective for the Company beginning </w:t>
      </w:r>
      <w:r>
        <w:rPr>
          <w:rStyle w:val="Emphasis"/>
          <w:rFonts w:ascii="Times New Roman" w:hAnsi="Times New Roman"/>
          <w:caps w:val="false"/>
          <w:smallCaps w:val="false"/>
          <w:sz w:val="20"/>
        </w:rPr>
        <w:t xml:space="preserve"> June 1, 2026. </w:t>
      </w:r>
      <w:r>
        <w:rPr>
          <w:rFonts w:ascii="Times New Roman" w:hAnsi="Times New Roman"/>
          <w:caps w:val="false"/>
          <w:smallCaps w:val="false"/>
          <w:sz w:val="20"/>
        </w:rPr>
        <w:t>The Company is currently evaluating the effect of adopting this ASU.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Debt with Conversion and Other Options (Subtopic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Induced Conversions of Convertible Debt Instruments, which seeks to clarify the requirements for determining whether certain settlements of convertible debt instruments should be accounted for as an induced conversion.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is effective for the Company beginning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The Company is currently evaluating the effect of adopting this ASU.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New accounting pronouncements recently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w:t>
      </w:r>
      <w:r>
        <w:rPr>
          <w:rFonts w:ascii="Times New Roman" w:hAnsi="Times New Roman"/>
          <w:caps w:val="false"/>
          <w:smallCaps w:val="false"/>
          <w:sz w:val="20"/>
        </w:rPr>
        <w:t> 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Segment Reporting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Improvements to Reportable Segment Disclosures, which requires public entities to disclose information about their reportable segments’ significant expenses on an interim and annual basis. Refer to Note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for the incremental disclosures required under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center"/>
        <w:rPr/>
      </w:pPr>
      <w:r>
        <w:rPr>
          <w:rStyle w:val="Emphasis"/>
          <w:rFonts w:ascii="Times New Roman" w:hAnsi="Times New Roman"/>
          <w:sz w:val="20"/>
        </w:rPr>
        <w:t>83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w:t>
            </w:r>
          </w:p>
        </w:tc>
        <w:tc>
          <w:tcPr>
            <w:tcW w:w="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Inventory is comprised of:</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005"/>
        <w:gridCol w:w="60"/>
        <w:gridCol w:w="125"/>
        <w:gridCol w:w="695"/>
        <w:gridCol w:w="60"/>
        <w:gridCol w:w="60"/>
        <w:gridCol w:w="125"/>
        <w:gridCol w:w="695"/>
        <w:gridCol w:w="6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52,831</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13,828</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Dried 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108,721</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derivatives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4,504</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vapes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4,132</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Packaging and other inventory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22,115</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35,645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inventory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10,311</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cost of goods sold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are $1,610 of fair value step up adjustments under purchase accounting (PPA) for beverage inventory sold during the course of the fiscal year, and during the fiscal year ended  </w:t>
      </w:r>
      <w:r>
        <w:rPr>
          <w:rStyle w:val="Emphasis"/>
          <w:rFonts w:ascii="Times New Roman" w:hAnsi="Times New Roman"/>
          <w:caps w:val="false"/>
          <w:smallCaps w:val="false"/>
          <w:sz w:val="20"/>
        </w:rPr>
        <w:t xml:space="preserve"> May 31,</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included in costs of goods sold was $4,602 and $7,628 of fair value step up adjustments under purchase accounting (PPA) for beverage and cannabis inventory sold in the fiscal year,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425" w:type="dxa"/>
        <w:jc w:val="left"/>
        <w:tblInd w:w="0" w:type="dxa"/>
        <w:tblLayout w:type="fixed"/>
        <w:tblCellMar>
          <w:top w:w="0" w:type="dxa"/>
          <w:left w:w="0" w:type="dxa"/>
          <w:bottom w:w="0" w:type="dxa"/>
          <w:right w:w="0" w:type="dxa"/>
        </w:tblCellMar>
      </w:tblPr>
      <w:tblGrid>
        <w:gridCol w:w="170"/>
        <w:gridCol w:w="225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5.</w:t>
            </w:r>
          </w:p>
        </w:tc>
        <w:tc>
          <w:tcPr>
            <w:tcW w:w="22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normal course of business, the Company enters into related party transactions with certain entities under common control and joint ventures as detailed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RIKI Ventures, LLC</w:t>
      </w:r>
    </w:p>
    <w:p>
      <w:pPr>
        <w:pStyle w:val="TextBody"/>
        <w:bidi w:val="0"/>
        <w:spacing w:before="0" w:after="0"/>
        <w:ind w:left="2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entered into a strategic partnership on </w:t>
      </w:r>
      <w:r>
        <w:rPr>
          <w:rStyle w:val="Emphasis"/>
          <w:rFonts w:ascii="Times New Roman" w:hAnsi="Times New Roman"/>
          <w:caps w:val="false"/>
          <w:smallCaps w:val="false"/>
          <w:sz w:val="20"/>
        </w:rPr>
        <w:t>December 12, 2022 </w:t>
      </w:r>
      <w:r>
        <w:rPr>
          <w:rFonts w:ascii="Times New Roman" w:hAnsi="Times New Roman"/>
          <w:caps w:val="false"/>
          <w:smallCaps w:val="false"/>
          <w:sz w:val="20"/>
        </w:rPr>
        <w:t xml:space="preserve">with RIKI Ventures, LLC. in which the Company had a joint venture arrangement with a 50% ownership and voting interest. This venture was held by our craft beverage company Breckenridge. During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transactions with this entity and the Company dissolved its membership interest in RIKI Ventures,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jc w:val="left"/>
        <w:rPr/>
      </w:pPr>
      <w:r>
        <w:rPr/>
        <w:t xml:space="preserve">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w:t>
            </w:r>
          </w:p>
        </w:tc>
        <w:tc>
          <w:tcPr>
            <w:tcW w:w="11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Capital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Capital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2660"/>
        <w:gridCol w:w="60"/>
        <w:gridCol w:w="125"/>
        <w:gridCol w:w="755"/>
        <w:gridCol w:w="80"/>
        <w:gridCol w:w="60"/>
        <w:gridCol w:w="125"/>
        <w:gridCol w:w="755"/>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45,577</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369,630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258,532</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19,377</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43,993</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10,713</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747,822</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(236,295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(189,575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558,247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performs ongoing impairment assessments whenever events or changes in circumstances indicate that the carrying amount of an asset group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During the fiscal years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after completing an assessment for indicators of impairment, it was determined that the asset groups were recoverable and as a result there were $nil impairments during the respective fiscal years.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Assets held for sale consisted of the following:</w:t>
      </w:r>
    </w:p>
    <w:p>
      <w:pPr>
        <w:pStyle w:val="TextBody"/>
        <w:bidi w:val="0"/>
        <w:spacing w:before="0" w:after="0"/>
        <w:ind w:left="16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1670"/>
        <w:gridCol w:w="60"/>
        <w:gridCol w:w="142"/>
        <w:gridCol w:w="552"/>
        <w:gridCol w:w="60"/>
        <w:gridCol w:w="60"/>
        <w:gridCol w:w="125"/>
        <w:gridCol w:w="590"/>
        <w:gridCol w:w="6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facilities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24,682</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32,074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During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the Company classified $32,074 of the following assets from its Cannabis reporting segment as assets held for sale, including its Quebec cultivation facility, the Fort Collins, CO partially vacant warehouse facility, and the Broken Coast former cultivation facility located in Duncan, B.C. Following an assessment of facility capacity utilization, it was determined that these facilities would be exited and held for sale.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the Company sold the former Broken Coast cultivation facility. Additionally, due to a change in circumstance in the Company's intention to sell our Quebec cultivation facility, the asset was subsequently reclassified as capital assets as the Company has made alternative plans for its utilization. The asset was then remeasured at the lower of its carrying amount before being classified as held for sale less the amortization that would have occurred and the fair value on the date the decision </w:t>
      </w:r>
      <w:r>
        <w:rPr>
          <w:rStyle w:val="Emphasis"/>
          <w:rFonts w:ascii="Times New Roman" w:hAnsi="Times New Roman"/>
          <w:caps w:val="false"/>
          <w:smallCaps w:val="false"/>
          <w:sz w:val="20"/>
        </w:rPr>
        <w:t>not</w:t>
      </w:r>
      <w:r>
        <w:rPr>
          <w:rFonts w:ascii="Times New Roman" w:hAnsi="Times New Roman"/>
          <w:caps w:val="false"/>
          <w:smallCaps w:val="false"/>
          <w:sz w:val="20"/>
        </w:rPr>
        <w:t> to proceed with a sale was made. Changes in the carrying amount were recorded in the consolidated statement of net loss and comprehensive loss as amortization in cost of goods sold.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the Fort Collins, CO partially vacant warehouse facility is classified as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805" w:type="dxa"/>
        <w:jc w:val="left"/>
        <w:tblInd w:w="0" w:type="dxa"/>
        <w:tblLayout w:type="fixed"/>
        <w:tblCellMar>
          <w:top w:w="0" w:type="dxa"/>
          <w:left w:w="0" w:type="dxa"/>
          <w:bottom w:w="0" w:type="dxa"/>
          <w:right w:w="0" w:type="dxa"/>
        </w:tblCellMar>
      </w:tblPr>
      <w:tblGrid>
        <w:gridCol w:w="170"/>
        <w:gridCol w:w="63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w:t>
            </w:r>
          </w:p>
        </w:tc>
        <w:tc>
          <w:tcPr>
            <w:tcW w:w="6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Leases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operating leases for facilities, office spaces, production equipment and vehicles.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Leases have varying terms with remaining lease terms of up to approximately 20 years. Certain of our lease arrangements provide us with the option to extend or to terminate the lease early.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presents the lease-related assets and liabilities recorded on the balance sheet.</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3590"/>
        <w:gridCol w:w="2900"/>
        <w:gridCol w:w="60"/>
        <w:gridCol w:w="125"/>
        <w:gridCol w:w="590"/>
        <w:gridCol w:w="60"/>
        <w:gridCol w:w="60"/>
        <w:gridCol w:w="125"/>
        <w:gridCol w:w="590"/>
        <w:gridCol w:w="60"/>
      </w:tblGrid>
      <w:tr>
        <w:trPr/>
        <w:tc>
          <w:tcPr>
            <w:tcW w:w="3590"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ind w:left="0" w:right="0" w:hanging="0"/>
              <w:jc w:val="left"/>
              <w:rPr/>
            </w:pPr>
            <w:r>
              <w:rPr/>
              <w:t> </w:t>
            </w:r>
          </w:p>
        </w:tc>
        <w:tc>
          <w:tcPr>
            <w:tcW w:w="29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Classification on Balance Sheet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Capital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43,993</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16,101</w:t>
            </w:r>
          </w:p>
        </w:tc>
        <w:tc>
          <w:tcPr>
            <w:tcW w:w="60" w:type="dxa"/>
            <w:tcBorders/>
            <w:shd w:fill="CCEEFF" w:val="clear"/>
            <w:vAlign w:val="center"/>
          </w:tcPr>
          <w:p>
            <w:pPr>
              <w:pStyle w:val="TableContents"/>
              <w:bidi w:val="0"/>
              <w:spacing w:before="0" w:after="283"/>
              <w:jc w:val="left"/>
              <w:rPr/>
            </w:pPr>
            <w:r>
              <w:rPr/>
              <w:t> </w:t>
            </w:r>
          </w:p>
        </w:tc>
      </w:tr>
      <w:tr>
        <w:trPr/>
        <w:tc>
          <w:tcPr>
            <w:tcW w:w="6490"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60,094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43,948</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16,474</w:t>
            </w:r>
          </w:p>
        </w:tc>
        <w:tc>
          <w:tcPr>
            <w:tcW w:w="60" w:type="dxa"/>
            <w:tcBorders/>
            <w:shd w:fill="CCEEFF" w:val="clear"/>
            <w:vAlign w:val="center"/>
          </w:tcPr>
          <w:p>
            <w:pPr>
              <w:pStyle w:val="TableContents"/>
              <w:bidi w:val="0"/>
              <w:spacing w:before="0" w:after="283"/>
              <w:jc w:val="left"/>
              <w:rPr/>
            </w:pPr>
            <w:r>
              <w:rPr/>
              <w:t> </w:t>
            </w:r>
          </w:p>
        </w:tc>
      </w:tr>
      <w:tr>
        <w:trPr/>
        <w:tc>
          <w:tcPr>
            <w:tcW w:w="6490"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the Company had $3,453 of operating lease expenses, which included an offset of $761 for sublease income.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 Company had $4,582 of operating lease expenses, which included an offset of $738 for sublease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future undiscounted payments associated with lease liabilities as of </w:t>
      </w:r>
      <w:r>
        <w:rPr>
          <w:rStyle w:val="Emphasis"/>
          <w:rFonts w:ascii="Times New Roman" w:hAnsi="Times New Roman"/>
          <w:caps w:val="false"/>
          <w:smallCaps w:val="false"/>
          <w:sz w:val="20"/>
        </w:rPr>
        <w:t>May 31, 2025</w:t>
      </w:r>
      <w:r>
        <w:rPr>
          <w:rFonts w:ascii="Times New Roman" w:hAnsi="Times New Roman"/>
          <w:caps w:val="false"/>
          <w:smallCaps w:val="false"/>
          <w:sz w:val="20"/>
        </w:rPr>
        <w:t>:</w:t>
      </w:r>
    </w:p>
    <w:p>
      <w:pPr>
        <w:pStyle w:val="TextBody"/>
        <w:bidi w:val="0"/>
        <w:spacing w:before="0" w:after="0"/>
        <w:ind w:left="0" w:right="0" w:firstLine="660"/>
        <w:jc w:val="both"/>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555"/>
        <w:gridCol w:w="60"/>
        <w:gridCol w:w="150"/>
        <w:gridCol w:w="710"/>
        <w:gridCol w:w="80"/>
        <w:gridCol w:w="60"/>
        <w:gridCol w:w="125"/>
        <w:gridCol w:w="650"/>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66,570</w:t>
            </w:r>
          </w:p>
        </w:tc>
        <w:tc>
          <w:tcPr>
            <w:tcW w:w="80" w:type="dxa"/>
            <w:tcBorders/>
            <w:shd w:fill="CCEEFF" w:val="clear"/>
            <w:vAlign w:val="center"/>
          </w:tcPr>
          <w:p>
            <w:pPr>
              <w:pStyle w:val="TableContents"/>
              <w:bidi w:val="0"/>
              <w:spacing w:before="0" w:after="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(38,628</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Intangible assets are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2"/>
        <w:gridCol w:w="60"/>
        <w:gridCol w:w="275"/>
        <w:gridCol w:w="1665"/>
        <w:gridCol w:w="80"/>
        <w:gridCol w:w="60"/>
        <w:gridCol w:w="234"/>
        <w:gridCol w:w="1424"/>
        <w:gridCol w:w="80"/>
        <w:gridCol w:w="60"/>
        <w:gridCol w:w="223"/>
        <w:gridCol w:w="1169"/>
        <w:gridCol w:w="80"/>
        <w:gridCol w:w="60"/>
        <w:gridCol w:w="277"/>
        <w:gridCol w:w="1681"/>
        <w:gridCol w:w="80"/>
        <w:gridCol w:w="60"/>
        <w:gridCol w:w="125"/>
        <w:gridCol w:w="905"/>
        <w:gridCol w:w="85"/>
      </w:tblGrid>
      <w:tr>
        <w:trPr/>
        <w:tc>
          <w:tcPr>
            <w:tcW w:w="1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Customer relationships &amp; distribution channel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Licenses, permits &amp; applications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Non-compete agreements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Intellectual property, trademarks, knowhow &amp; brands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5" w:type="dxa"/>
            <w:tcBorders/>
            <w:shd w:fill="FFFFFF" w:val="clear"/>
            <w:vAlign w:val="center"/>
          </w:tcPr>
          <w:p>
            <w:pPr>
              <w:pStyle w:val="TableContents"/>
              <w:bidi w:val="0"/>
              <w:spacing w:before="0" w:after="283"/>
              <w:jc w:val="left"/>
              <w:rPr/>
            </w:pPr>
            <w:r>
              <w:rPr/>
              <w:t> </w:t>
            </w:r>
          </w:p>
        </w:tc>
      </w:tr>
      <w:tr>
        <w:trPr/>
        <w:tc>
          <w:tcPr>
            <w:tcW w:w="1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15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1,628,441</w:t>
            </w:r>
          </w:p>
        </w:tc>
        <w:tc>
          <w:tcPr>
            <w:tcW w:w="85" w:type="dxa"/>
            <w:tcBorders/>
            <w:shd w:fill="CCEEFF" w:val="clear"/>
            <w:vAlign w:val="center"/>
          </w:tcPr>
          <w:p>
            <w:pPr>
              <w:pStyle w:val="TableContents"/>
              <w:bidi w:val="0"/>
              <w:spacing w:before="0" w:after="283"/>
              <w:jc w:val="left"/>
              <w:rPr/>
            </w:pPr>
            <w:r>
              <w:rPr/>
              <w:t> </w:t>
            </w:r>
          </w:p>
        </w:tc>
      </w:tr>
      <w:tr>
        <w:trPr/>
        <w:tc>
          <w:tcPr>
            <w:tcW w:w="15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1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(343,258</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(1,263,760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21,423</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1"/>
        <w:gridCol w:w="60"/>
        <w:gridCol w:w="277"/>
        <w:gridCol w:w="1679"/>
        <w:gridCol w:w="80"/>
        <w:gridCol w:w="60"/>
        <w:gridCol w:w="236"/>
        <w:gridCol w:w="1431"/>
        <w:gridCol w:w="80"/>
        <w:gridCol w:w="60"/>
        <w:gridCol w:w="224"/>
        <w:gridCol w:w="1174"/>
        <w:gridCol w:w="80"/>
        <w:gridCol w:w="60"/>
        <w:gridCol w:w="280"/>
        <w:gridCol w:w="1699"/>
        <w:gridCol w:w="80"/>
        <w:gridCol w:w="60"/>
        <w:gridCol w:w="125"/>
        <w:gridCol w:w="845"/>
        <w:gridCol w:w="84"/>
      </w:tblGrid>
      <w:tr>
        <w:trPr/>
        <w:tc>
          <w:tcPr>
            <w:tcW w:w="1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Customer relationships &amp; distribution channel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Licenses, permits &amp; applications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Non-compete agreements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Intellectual property, trademarks, knowhow &amp; brands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4" w:type="dxa"/>
            <w:tcBorders/>
            <w:shd w:fill="FFFFFF"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4" w:type="dxa"/>
            <w:tcBorders/>
            <w:shd w:fill="FFFFFF" w:val="clear"/>
            <w:vAlign w:val="center"/>
          </w:tcPr>
          <w:p>
            <w:pPr>
              <w:pStyle w:val="TableContents"/>
              <w:bidi w:val="0"/>
              <w:spacing w:before="0" w:after="283"/>
              <w:jc w:val="left"/>
              <w:rPr/>
            </w:pPr>
            <w:r>
              <w:rPr/>
              <w:t> </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1,593,071</w:t>
            </w:r>
          </w:p>
        </w:tc>
        <w:tc>
          <w:tcPr>
            <w:tcW w:w="84" w:type="dxa"/>
            <w:tcBorders/>
            <w:shd w:fill="CCEEFF"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6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1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(261,758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(415,844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915,469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performed the annual impairment test on its indefinite-life intangible assets, and for its finite-lived intangible assets, management assessed for asset specific indicators of impairment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and 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and a change in non-discretionary market inputs in the Company's discount rate, the Company recorded non-cash impairments of $334,207 related to its finite-lived customer relationships &amp; distribution channel, $186,649 related to its licenses, permits &amp; applications, which were considered indefinite-lived intangible assets and $327,059 related to its finite-lived intellectual property, trademarks, knowhow &amp; brands. This impairment charge resulted in a corresponding income tax recovery of $121,436, resulting in the corresponding reduction in deferred tax liabilities. In calculating the impairment charge, using an income approach, the Company used a discount rate of 10.00%-14.50%, a terminal growth rate of 2%, and an average revenue growth rate of 5%-30% over 5 years to correlate with the cash flows anticipated with the individual intangible assets that were assessed. A reasonably possible change in any of the inputs within the determination of fair value would </w:t>
      </w:r>
      <w:r>
        <w:rPr>
          <w:rStyle w:val="Emphasis"/>
          <w:rFonts w:ascii="Times New Roman" w:hAnsi="Times New Roman"/>
          <w:caps w:val="false"/>
          <w:smallCaps w:val="false"/>
          <w:sz w:val="20"/>
        </w:rPr>
        <w:t>not</w:t>
      </w:r>
      <w:r>
        <w:rPr>
          <w:rFonts w:ascii="Times New Roman" w:hAnsi="Times New Roman"/>
          <w:caps w:val="false"/>
          <w:smallCaps w:val="false"/>
          <w:sz w:val="20"/>
        </w:rPr>
        <w:t> result in a material change to the impairment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there were no impairments to indefinite-lived intangible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For the fiscal year ended </w:t>
      </w:r>
      <w:r>
        <w:rPr>
          <w:rStyle w:val="Emphasis"/>
          <w:rFonts w:ascii="Times New Roman" w:hAnsi="Times New Roman"/>
          <w:caps w:val="false"/>
          <w:smallCaps w:val="false"/>
          <w:sz w:val="20"/>
        </w:rPr>
        <w:t xml:space="preserve"> May 31, 2023, </w:t>
      </w:r>
      <w:r>
        <w:rPr>
          <w:rFonts w:ascii="Times New Roman" w:hAnsi="Times New Roman"/>
          <w:caps w:val="false"/>
          <w:smallCaps w:val="false"/>
          <w:sz w:val="20"/>
        </w:rPr>
        <w:t>the Company recorded non-cash impairments of $110,000 related to its customer relationships &amp; distribution channel, $55,000 related to its licenses, permits &amp; applications, which were considered indefinite-lived intangible assets and $40,000 related to its intellectual property, trademarks, knowhow &amp; brands as a result of the decline in market share in its Canadian cannabis business with certain product lines and customers. In calculating the </w:t>
      </w:r>
      <w:r>
        <w:rPr>
          <w:rStyle w:val="Emphasis"/>
          <w:rFonts w:ascii="Times New Roman" w:hAnsi="Times New Roman"/>
          <w:caps w:val="false"/>
          <w:smallCaps w:val="false"/>
          <w:sz w:val="20"/>
        </w:rPr>
        <w:t>2023</w:t>
      </w:r>
      <w:r>
        <w:rPr>
          <w:rFonts w:ascii="Times New Roman" w:hAnsi="Times New Roman"/>
          <w:caps w:val="false"/>
          <w:smallCaps w:val="false"/>
          <w:sz w:val="20"/>
        </w:rPr>
        <w:t> impairment amount, using an income approach, the Company used a discount rate of 13.50%, a terminal growth rate of 2%-5%, and an average revenue growth rate of 0%-40% over 5 years to correlate with the cash flows anticipated with the individual intangible assets that were assessed. </w:t>
      </w:r>
    </w:p>
    <w:p>
      <w:pPr>
        <w:pStyle w:val="TextBody"/>
        <w:bidi w:val="0"/>
        <w:spacing w:before="0" w:after="0"/>
        <w:ind w:left="0" w:right="0" w:hanging="0"/>
        <w:jc w:val="both"/>
        <w:rPr/>
      </w:pPr>
      <w:r>
        <w:rPr/>
        <w:t> </w:t>
      </w:r>
    </w:p>
    <w:p>
      <w:pPr>
        <w:pStyle w:val="TextBody"/>
        <w:bidi w:val="0"/>
        <w:spacing w:before="0" w:after="0"/>
        <w:ind w:left="16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31, 2025</w:t>
      </w:r>
      <w:r>
        <w:rPr>
          <w:rFonts w:ascii="Times New Roman" w:hAnsi="Times New Roman"/>
          <w:caps w:val="false"/>
          <w:smallCaps w:val="false"/>
          <w:sz w:val="20"/>
        </w:rPr>
        <w:t>, included in licenses, permits &amp; applications are multi-period sponsorship rights of $15,047 and $nil of indefinite-lived intangible assets compared to $nil and $182,851 as of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 xml:space="preserve">respectively.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(Significant accounting policies) for additional details.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Estimated amortization expense for each of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succeeding fiscal years and thereafter is as follows:</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455"/>
        <w:gridCol w:w="60"/>
        <w:gridCol w:w="194"/>
        <w:gridCol w:w="921"/>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13,023</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21,423</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170"/>
        <w:gridCol w:w="186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w:t>
            </w:r>
          </w:p>
        </w:tc>
        <w:tc>
          <w:tcPr>
            <w:tcW w:w="18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Business Acquisitions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Acquisition of Craft Beverage Business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29, 2023, </w:t>
      </w:r>
      <w:r>
        <w:rPr>
          <w:rFonts w:ascii="Times New Roman" w:hAnsi="Times New Roman"/>
          <w:caps w:val="false"/>
          <w:smallCaps w:val="false"/>
          <w:sz w:val="20"/>
        </w:rPr>
        <w:t>Tilray acquired a portfolio of craft brands, assets and businesses comprising eight beer and beverage brands from Anheuser-Busch Companies, LLC, ("AB") including breweries and brewpubs associated with them (the “Craft Acquisition I”). The acquired businesses/brands include Shock Top, Breckenridge Brewery, Blue Point Brewing Company, </w:t>
      </w:r>
      <w:r>
        <w:rPr>
          <w:rStyle w:val="Emphasis"/>
          <w:rFonts w:ascii="Times New Roman" w:hAnsi="Times New Roman"/>
          <w:caps w:val="false"/>
          <w:smallCaps w:val="false"/>
          <w:sz w:val="20"/>
        </w:rPr>
        <w:t>10</w:t>
      </w:r>
      <w:r>
        <w:rPr>
          <w:rFonts w:ascii="Times New Roman" w:hAnsi="Times New Roman"/>
          <w:caps w:val="false"/>
          <w:smallCaps w:val="false"/>
          <w:sz w:val="20"/>
        </w:rPr>
        <w:t> Barrel Brewing Company, Redhook Brewery, Widmer Brothers Brewing, Square Mile Cider Company, and HiBall Energy. The Company paid a total purchase price equivalent of $ 83,658 in cash, net of a working capital adjustment at closing of $1,342.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table below summarizes the fair value of the assets acquired and liabilities assumed at the acquisition date:</w:t>
      </w:r>
    </w:p>
    <w:p>
      <w:pPr>
        <w:pStyle w:val="TextBody"/>
        <w:bidi w:val="0"/>
        <w:spacing w:before="0" w:after="0"/>
        <w:ind w:left="0" w:right="0" w:firstLine="72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3590"/>
        <w:gridCol w:w="60"/>
        <w:gridCol w:w="125"/>
        <w:gridCol w:w="695"/>
        <w:gridCol w:w="6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83,658</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20,993</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82,913</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42,497</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7,677</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154,838</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18,006</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 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44,465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71,180</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83,658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event that Craft Acquisition I had occurred on </w:t>
      </w:r>
      <w:r>
        <w:rPr>
          <w:rStyle w:val="Emphasis"/>
          <w:rFonts w:ascii="Times New Roman" w:hAnsi="Times New Roman"/>
          <w:caps w:val="false"/>
          <w:smallCaps w:val="false"/>
          <w:sz w:val="20"/>
        </w:rPr>
        <w:t xml:space="preserve"> June 1, 2023, </w:t>
      </w:r>
      <w:r>
        <w:rPr>
          <w:rFonts w:ascii="Times New Roman" w:hAnsi="Times New Roman"/>
          <w:caps w:val="false"/>
          <w:smallCaps w:val="false"/>
          <w:sz w:val="20"/>
        </w:rPr>
        <w:t xml:space="preserve">the Company would have had, on an unaudited proforma basis, additional revenue of approximately $nil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$55,000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and its net loss and comprehensive net loss would have increased by approximately $nil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$5,000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reflect the realization of any expected ongoing synergies relating to the integration of Craft Acquisition I.</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Acquisition of Craft Beverage Business Portfolio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Effective </w:t>
      </w:r>
      <w:r>
        <w:rPr>
          <w:rStyle w:val="Emphasis"/>
          <w:rFonts w:ascii="Times New Roman" w:hAnsi="Times New Roman"/>
          <w:caps w:val="false"/>
          <w:smallCaps w:val="false"/>
          <w:sz w:val="20"/>
        </w:rPr>
        <w:t xml:space="preserve"> September 1, 2024, </w:t>
      </w:r>
      <w:r>
        <w:rPr>
          <w:rFonts w:ascii="Times New Roman" w:hAnsi="Times New Roman"/>
          <w:caps w:val="false"/>
          <w:smallCaps w:val="false"/>
          <w:sz w:val="20"/>
        </w:rPr>
        <w:t>the Company acquired four craft beer brands and breweries from Molson Coors Beverage Company (“Molson”) including Atwater Brewery, Hop Valley Brewing Company, Terrapin Beer Co., and Revolver Brewing (the “Craft Acquisition II”). The purpose of the acquisition was to continue broadening Tilray's beverage brand strategy. In consideration for the acquisition, the Company paid a total purchase price of $ 22,979 in cash, which is subject to certain customary post-closing working capital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in the process of assessing the fair value of the net assets acquired and, as a result, the fair value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subject to adjustments pending completion of final valuations and post-closing adjustments. During the period ended </w:t>
      </w:r>
      <w:r>
        <w:rPr>
          <w:rStyle w:val="Emphasis"/>
          <w:rFonts w:ascii="Times New Roman" w:hAnsi="Times New Roman"/>
          <w:caps w:val="false"/>
          <w:smallCaps w:val="false"/>
          <w:sz w:val="20"/>
        </w:rPr>
        <w:t xml:space="preserve"> May 31, 2025</w:t>
      </w:r>
      <w:r>
        <w:rPr>
          <w:rFonts w:ascii="Times New Roman" w:hAnsi="Times New Roman"/>
          <w:i/>
          <w:caps w:val="false"/>
          <w:smallCaps w:val="false"/>
          <w:sz w:val="20"/>
        </w:rPr>
        <w:t>,</w:t>
      </w:r>
      <w:r>
        <w:rPr>
          <w:rFonts w:ascii="Times New Roman" w:hAnsi="Times New Roman"/>
          <w:caps w:val="false"/>
          <w:smallCaps w:val="false"/>
          <w:sz w:val="20"/>
        </w:rPr>
        <w:t> the Company decreased the cash consideration paid by $100 reflecting working capital adjustments, decreased the fair value of inventory by $500, increased the fair value of capital assets by $3,550, and increased accounts payable and accrued liabilities by $3,150. The table below summarizes the preliminary estimated fair value of the assets acquired and the liabilities assumed for the Craft Acquisition II at the effective acquisition date as follows: </w:t>
      </w:r>
    </w:p>
    <w:p>
      <w:pPr>
        <w:pStyle w:val="TextBody"/>
        <w:bidi w:val="0"/>
        <w:spacing w:before="0" w:after="0"/>
        <w:ind w:left="0" w:right="0" w:firstLine="720"/>
        <w:jc w:val="both"/>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3590"/>
        <w:gridCol w:w="60"/>
        <w:gridCol w:w="125"/>
        <w:gridCol w:w="590"/>
        <w:gridCol w:w="6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22,979</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4,869</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6,844</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20,916</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38,560</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11,828</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 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15,581</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event that the Craft Acquisition II had occurred on </w:t>
      </w:r>
      <w:r>
        <w:rPr>
          <w:rStyle w:val="Emphasis"/>
          <w:rFonts w:ascii="Times New Roman" w:hAnsi="Times New Roman"/>
          <w:caps w:val="false"/>
          <w:smallCaps w:val="false"/>
          <w:sz w:val="20"/>
        </w:rPr>
        <w:t xml:space="preserve"> June 1, 2023, </w:t>
      </w:r>
      <w:r>
        <w:rPr>
          <w:rFonts w:ascii="Times New Roman" w:hAnsi="Times New Roman"/>
          <w:caps w:val="false"/>
          <w:smallCaps w:val="false"/>
          <w:sz w:val="20"/>
        </w:rPr>
        <w:t xml:space="preserve">the Company would have had, on an unaudited proforma basis, additional net revenue of approximately $13,700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approximately $57,000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and its net loss and comprehensive net loss would have increased by approximately $5,500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$21,200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reflect the realization of any expected ongoing synergies relating to the integration of the Craft Acquisition 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10.</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Goodwill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shows the carrying amount of goodwill as of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and as of </w:t>
      </w:r>
      <w:r>
        <w:rPr>
          <w:rStyle w:val="Emphasis"/>
          <w:rFonts w:ascii="Times New Roman" w:hAnsi="Times New Roman"/>
          <w:caps w:val="false"/>
          <w:smallCaps w:val="false"/>
          <w:sz w:val="20"/>
        </w:rPr>
        <w:t>May 31, 2024:</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2600"/>
        <w:gridCol w:w="60"/>
        <w:gridCol w:w="125"/>
        <w:gridCol w:w="755"/>
        <w:gridCol w:w="80"/>
        <w:gridCol w:w="60"/>
        <w:gridCol w:w="125"/>
        <w:gridCol w:w="905"/>
        <w:gridCol w:w="80"/>
        <w:gridCol w:w="60"/>
        <w:gridCol w:w="125"/>
        <w:gridCol w:w="650"/>
        <w:gridCol w:w="80"/>
        <w:gridCol w:w="60"/>
        <w:gridCol w:w="191"/>
        <w:gridCol w:w="834"/>
        <w:gridCol w:w="80"/>
        <w:gridCol w:w="60"/>
        <w:gridCol w:w="125"/>
        <w:gridCol w:w="905"/>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30" w:type="dxa"/>
            <w:gridSpan w:val="1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Reporting Units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Beverage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Cannabis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Wellness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2,843,399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600"/>
        <w:gridCol w:w="60"/>
        <w:gridCol w:w="125"/>
        <w:gridCol w:w="695"/>
        <w:gridCol w:w="60"/>
        <w:gridCol w:w="60"/>
        <w:gridCol w:w="125"/>
        <w:gridCol w:w="845"/>
        <w:gridCol w:w="80"/>
        <w:gridCol w:w="60"/>
        <w:gridCol w:w="125"/>
        <w:gridCol w:w="650"/>
        <w:gridCol w:w="80"/>
        <w:gridCol w:w="60"/>
        <w:gridCol w:w="210"/>
        <w:gridCol w:w="815"/>
        <w:gridCol w:w="80"/>
        <w:gridCol w:w="60"/>
        <w:gridCol w:w="125"/>
        <w:gridCol w:w="845"/>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0" w:type="dxa"/>
            <w:gridSpan w:val="1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Reporting Units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Cannabis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Wellness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2,843,399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7,916</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2,008,884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preceding quarter ended </w:t>
      </w:r>
      <w:r>
        <w:rPr>
          <w:rStyle w:val="Emphasis"/>
          <w:rFonts w:ascii="Times New Roman" w:hAnsi="Times New Roman"/>
          <w:caps w:val="false"/>
          <w:smallCaps w:val="false"/>
          <w:sz w:val="20"/>
        </w:rPr>
        <w:t xml:space="preserve">February 28, 2025, </w:t>
      </w:r>
      <w:r>
        <w:rPr>
          <w:rFonts w:ascii="Times New Roman" w:hAnsi="Times New Roman"/>
          <w:caps w:val="false"/>
          <w:smallCaps w:val="false"/>
          <w:sz w:val="20"/>
        </w:rPr>
        <w:t>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that the fair value of our reporting units were less than their carrying amounts as of </w:t>
      </w:r>
      <w:r>
        <w:rPr>
          <w:rStyle w:val="Emphasis"/>
          <w:rFonts w:ascii="Times New Roman" w:hAnsi="Times New Roman"/>
          <w:caps w:val="false"/>
          <w:smallCaps w:val="false"/>
          <w:sz w:val="20"/>
        </w:rPr>
        <w:t xml:space="preserve"> February 28, 2025. </w:t>
      </w:r>
      <w:r>
        <w:rPr>
          <w:rFonts w:ascii="Times New Roman" w:hAnsi="Times New Roman"/>
          <w:caps w:val="false"/>
          <w:smallCaps w:val="false"/>
          <w:sz w:val="20"/>
        </w:rPr>
        <w:t xml:space="preserve">Accordingly, the Company utilized the income approach, which uses future discounted cash flows, to determine the fair value of each reporting unit. As a result, the Company recorded non-cash impairment charges of $570,000 of cannabis goodwill, $100,000 of beverage goodwill, $25,000 of wellness goodwill and $4,235 of distribution goodwill for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February 28, 2025. </w:t>
      </w:r>
      <w:r>
        <w:rPr>
          <w:rFonts w:ascii="Times New Roman" w:hAnsi="Times New Roman"/>
          <w:caps w:val="false"/>
          <w:smallCaps w:val="false"/>
          <w:sz w:val="20"/>
        </w:rPr>
        <w:t>In the Company's cannabis goodwill assessment, the Company used a discount rate of 12.00%, a terminal growth rate of 5%, and an average revenue growth rate of 34% over 5 years, based on an 88% and 40% average probability of anticipated EU and U.S. cannabis legalization, respectively and/or changes in drug policy in various countries within the next </w:t>
      </w:r>
      <w:r>
        <w:rPr>
          <w:rStyle w:val="Emphasis"/>
          <w:rFonts w:ascii="Times New Roman" w:hAnsi="Times New Roman"/>
          <w:caps w:val="false"/>
          <w:smallCaps w:val="false"/>
          <w:sz w:val="20"/>
        </w:rPr>
        <w:t>5</w:t>
      </w:r>
      <w:r>
        <w:rPr>
          <w:rFonts w:ascii="Times New Roman" w:hAnsi="Times New Roman"/>
          <w:caps w:val="false"/>
          <w:smallCaps w:val="false"/>
          <w:sz w:val="20"/>
        </w:rPr>
        <w:t> years. In the Company's beverage goodwill assessment, the Company used a discount rate of 9.25%, a terminal growth rate of 2%, and an average revenue growth rate of 12% over 5 years.  In the Company's wellness goodwill assessment, the Company used a discount rate of 10.50%, a terminal growth rate of 2%, and an average revenue growth rate of 7% over 5 years. In the Company's distribution goodwill assessment, the Company recorded $4,235 of impairments which brought the remaining distribution goodwill balance to $nil.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then performed the annual impairment test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and determined that through a combination of factors including a further decline in the Company's market capitalization, a change in non-discretionary market inputs in the Company's discount rate, and changes to the aforementioned probabilities resulting from continued delays in legalization of cannabis within the United States and internationally, culminating in an unfavorable impact on the estimated future cash flows, and ultimately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our reporting units were less than their carrying amounts as of </w:t>
      </w:r>
      <w:r>
        <w:rPr>
          <w:rStyle w:val="Emphasis"/>
          <w:rFonts w:ascii="Times New Roman" w:hAnsi="Times New Roman"/>
          <w:caps w:val="false"/>
          <w:smallCaps w:val="false"/>
          <w:sz w:val="20"/>
        </w:rPr>
        <w:t>May 31, 2025. </w:t>
      </w:r>
      <w:r>
        <w:rPr>
          <w:rFonts w:ascii="Times New Roman" w:hAnsi="Times New Roman"/>
          <w:caps w:val="false"/>
          <w:smallCaps w:val="false"/>
          <w:sz w:val="20"/>
        </w:rPr>
        <w:t xml:space="preserve">Accordingly, the Company utilized the income approach, which uses future discounted cash flows, to determine the fair value of each reporting unit. As a result, the Company recorded additional non-cash impairment charges of $500,000 of cannabis goodwill, $20,815 of beverage goodwill and $28,173 of wellness goodwill during the quarter ended </w:t>
      </w:r>
      <w:r>
        <w:rPr>
          <w:rStyle w:val="Emphasis"/>
          <w:rFonts w:ascii="Times New Roman" w:hAnsi="Times New Roman"/>
          <w:caps w:val="false"/>
          <w:smallCaps w:val="false"/>
          <w:sz w:val="20"/>
        </w:rPr>
        <w:t>May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Company's cannabis goodwill assessment, the Company used a discount rate of 14.50%, a terminal growth rate of 5%, and an average revenue growth rate of 34% over 5 years, based on an 65% and 25% average probability of anticipated EU and U.S. cannabis legalization, respectively and/or changes in drug policy in various countries within the next </w:t>
      </w:r>
      <w:r>
        <w:rPr>
          <w:rStyle w:val="Emphasis"/>
          <w:rFonts w:ascii="Times New Roman" w:hAnsi="Times New Roman"/>
          <w:caps w:val="false"/>
          <w:smallCaps w:val="false"/>
          <w:sz w:val="20"/>
        </w:rPr>
        <w:t>5</w:t>
      </w:r>
      <w:r>
        <w:rPr>
          <w:rFonts w:ascii="Times New Roman" w:hAnsi="Times New Roman"/>
          <w:caps w:val="false"/>
          <w:smallCaps w:val="false"/>
          <w:sz w:val="20"/>
        </w:rPr>
        <w:t> years. A </w:t>
      </w:r>
      <w:r>
        <w:rPr>
          <w:rStyle w:val="Emphasis"/>
          <w:rFonts w:ascii="Times New Roman" w:hAnsi="Times New Roman"/>
          <w:caps w:val="false"/>
          <w:smallCaps w:val="false"/>
          <w:sz w:val="20"/>
        </w:rPr>
        <w:t>1%</w:t>
      </w:r>
      <w:r>
        <w:rPr>
          <w:rFonts w:ascii="Times New Roman" w:hAnsi="Times New Roman"/>
          <w:caps w:val="false"/>
          <w:smallCaps w:val="false"/>
          <w:sz w:val="20"/>
        </w:rPr>
        <w:t> increase in the discount rate would result in an additional $133,800 in impairment, a </w:t>
      </w:r>
      <w:r>
        <w:rPr>
          <w:rStyle w:val="Emphasis"/>
          <w:rFonts w:ascii="Times New Roman" w:hAnsi="Times New Roman"/>
          <w:caps w:val="false"/>
          <w:smallCaps w:val="false"/>
          <w:sz w:val="20"/>
        </w:rPr>
        <w:t>1%</w:t>
      </w:r>
      <w:r>
        <w:rPr>
          <w:rFonts w:ascii="Times New Roman" w:hAnsi="Times New Roman"/>
          <w:caps w:val="false"/>
          <w:smallCaps w:val="false"/>
          <w:sz w:val="20"/>
        </w:rPr>
        <w:t> decrease in the terminal growth rate would result in an additional $93,500 in impairment, a </w:t>
      </w:r>
      <w:r>
        <w:rPr>
          <w:rStyle w:val="Emphasis"/>
          <w:rFonts w:ascii="Times New Roman" w:hAnsi="Times New Roman"/>
          <w:caps w:val="false"/>
          <w:smallCaps w:val="false"/>
          <w:sz w:val="20"/>
        </w:rPr>
        <w:t>5%</w:t>
      </w:r>
      <w:r>
        <w:rPr>
          <w:rFonts w:ascii="Times New Roman" w:hAnsi="Times New Roman"/>
          <w:caps w:val="false"/>
          <w:smallCaps w:val="false"/>
          <w:sz w:val="20"/>
        </w:rPr>
        <w:t> decrease in the average growth rate would result in an additional $23,400 in impairment, a </w:t>
      </w:r>
      <w:r>
        <w:rPr>
          <w:rStyle w:val="Emphasis"/>
          <w:rFonts w:ascii="Times New Roman" w:hAnsi="Times New Roman"/>
          <w:caps w:val="false"/>
          <w:smallCaps w:val="false"/>
          <w:sz w:val="20"/>
        </w:rPr>
        <w:t>5%</w:t>
      </w:r>
      <w:r>
        <w:rPr>
          <w:rFonts w:ascii="Times New Roman" w:hAnsi="Times New Roman"/>
          <w:caps w:val="false"/>
          <w:smallCaps w:val="false"/>
          <w:sz w:val="20"/>
        </w:rPr>
        <w:t> decrease in the probability of EU cannabis legalization would result in an additional $44,000 in impairment and a </w:t>
      </w:r>
      <w:r>
        <w:rPr>
          <w:rStyle w:val="Emphasis"/>
          <w:rFonts w:ascii="Times New Roman" w:hAnsi="Times New Roman"/>
          <w:caps w:val="false"/>
          <w:smallCaps w:val="false"/>
          <w:sz w:val="20"/>
        </w:rPr>
        <w:t>5%</w:t>
      </w:r>
      <w:r>
        <w:rPr>
          <w:rFonts w:ascii="Times New Roman" w:hAnsi="Times New Roman"/>
          <w:caps w:val="false"/>
          <w:smallCaps w:val="false"/>
          <w:sz w:val="20"/>
        </w:rPr>
        <w:t> decrease in the probability of US cannabis legalization would result in an additional $17,100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result in a material impairment expense recognized in future reporting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beverage goodwill assessment, the Company used a discount rate of 10.00%, a terminal growth rate of 2%, and an average revenue growth rate of 2% over 5 years, which brought the remaining beverage goodwill balance to $nil.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wellness goodwill assessment, the Company used a discount rate of 12.25%, a terminal growth rate of 2%, and an average revenue growth rate of 7% over 5 years, which brought the remaining beverage goodwill balance to $nil. </w:t>
      </w:r>
    </w:p>
    <w:p>
      <w:pPr>
        <w:pStyle w:val="TextBody"/>
        <w:bidi w:val="0"/>
        <w:spacing w:before="0" w:after="0"/>
        <w:ind w:left="0" w:right="0" w:firstLine="72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 Company recognized $nil impairment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 ended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the Company recognized the non-cash impairment charges of $603,500 of cannabis goodwill and $15,000 of wellness goodwill. This impairment charge was related to the increased borrowing rates and the decline of the company’s market capitalization. The non-cash charge had </w:t>
      </w:r>
      <w:r>
        <w:rPr>
          <w:rStyle w:val="Emphasis"/>
          <w:rFonts w:ascii="Times New Roman" w:hAnsi="Times New Roman"/>
          <w:caps w:val="false"/>
          <w:smallCaps w:val="false"/>
          <w:sz w:val="20"/>
        </w:rPr>
        <w:t>no</w:t>
      </w:r>
      <w:r>
        <w:rPr>
          <w:rFonts w:ascii="Times New Roman" w:hAnsi="Times New Roman"/>
          <w:caps w:val="false"/>
          <w:smallCaps w:val="false"/>
          <w:sz w:val="20"/>
        </w:rPr>
        <w:t> impact on the Company’s compliance with debt covenants, its cash flows or available liquidity. In the Company's cannabis goodwill assessment, the Company used a discount rate of 13.50%, a terminal growth rate of 5%, and an average revenue growth rate of 40% over 5 years as a result of anticipated federal legalization in various countries.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755" w:type="dxa"/>
        <w:jc w:val="left"/>
        <w:tblInd w:w="0" w:type="dxa"/>
        <w:tblLayout w:type="fixed"/>
        <w:tblCellMar>
          <w:top w:w="0" w:type="dxa"/>
          <w:left w:w="0" w:type="dxa"/>
          <w:bottom w:w="0" w:type="dxa"/>
          <w:right w:w="0" w:type="dxa"/>
        </w:tblCellMar>
      </w:tblPr>
      <w:tblGrid>
        <w:gridCol w:w="275"/>
        <w:gridCol w:w="248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11.</w:t>
            </w:r>
          </w:p>
        </w:tc>
        <w:tc>
          <w:tcPr>
            <w:tcW w:w="24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Convertible notes receivable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Convertible notes receivable is comprised of the following investments:</w:t>
      </w:r>
    </w:p>
    <w:p>
      <w:pPr>
        <w:pStyle w:val="TextBody"/>
        <w:bidi w:val="0"/>
        <w:spacing w:before="0" w:after="0"/>
        <w:ind w:left="0" w:right="0" w:firstLine="720"/>
        <w:jc w:val="both"/>
        <w:rPr>
          <w:caps w:val="false"/>
          <w:smallCaps w:val="false"/>
        </w:rPr>
      </w:pPr>
      <w:r>
        <w:rPr>
          <w:caps w:val="false"/>
          <w:smallCaps w:val="false"/>
        </w:rPr>
        <w:t> </w:t>
      </w:r>
    </w:p>
    <w:tbl>
      <w:tblPr>
        <w:tblW w:w="6109" w:type="dxa"/>
        <w:jc w:val="left"/>
        <w:tblInd w:w="0" w:type="dxa"/>
        <w:tblLayout w:type="fixed"/>
        <w:tblCellMar>
          <w:top w:w="0" w:type="dxa"/>
          <w:left w:w="0" w:type="dxa"/>
          <w:bottom w:w="0" w:type="dxa"/>
          <w:right w:w="0" w:type="dxa"/>
        </w:tblCellMar>
      </w:tblPr>
      <w:tblGrid>
        <w:gridCol w:w="4460"/>
        <w:gridCol w:w="60"/>
        <w:gridCol w:w="225"/>
        <w:gridCol w:w="469"/>
        <w:gridCol w:w="60"/>
        <w:gridCol w:w="60"/>
        <w:gridCol w:w="125"/>
        <w:gridCol w:w="590"/>
        <w:gridCol w:w="60"/>
      </w:tblGrid>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HEXO Convertible Note</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MedMen Convertible Note</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32,000</w:t>
            </w:r>
          </w:p>
        </w:tc>
        <w:tc>
          <w:tcPr>
            <w:tcW w:w="60" w:type="dxa"/>
            <w:tcBorders/>
            <w:shd w:fill="FFFFFF" w:val="clear"/>
            <w:vAlign w:val="center"/>
          </w:tcPr>
          <w:p>
            <w:pPr>
              <w:pStyle w:val="TableContents"/>
              <w:bidi w:val="0"/>
              <w:spacing w:before="0" w:after="0"/>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convertible notes receivable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Deduct - current portion</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convertible notes receivable, non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MedMen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31, 2021, </w:t>
      </w:r>
      <w:r>
        <w:rPr>
          <w:rFonts w:ascii="Times New Roman" w:hAnsi="Times New Roman"/>
          <w:caps w:val="false"/>
          <w:smallCaps w:val="false"/>
          <w:sz w:val="20"/>
        </w:rPr>
        <w:t>the Company issued 9,817,061 shares valued at $117,804 to acquire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with any accrued interest being added to the outstanding principal amount. The outstanding principal amount, together with accrued interest is to be paid on </w:t>
      </w:r>
      <w:r>
        <w:rPr>
          <w:rStyle w:val="Emphasis"/>
          <w:rFonts w:ascii="Times New Roman" w:hAnsi="Times New Roman"/>
          <w:caps w:val="false"/>
          <w:smallCaps w:val="false"/>
          <w:sz w:val="20"/>
        </w:rPr>
        <w:t xml:space="preserve"> August 17, 2028, </w:t>
      </w:r>
      <w:r>
        <w:rPr>
          <w:rFonts w:ascii="Times New Roman" w:hAnsi="Times New Roman"/>
          <w:caps w:val="false"/>
          <w:smallCaps w:val="false"/>
          <w:sz w:val="20"/>
        </w:rPr>
        <w:t>the maturity date of the MedMen Convertible Note. SH Acquisition was also granted “top-up” rights enabling it (and its limited partners) to maintain its percentage ownership (on an “as-converted” basis) in the event that MedMen issues equity securities. SH Acquisition’s ability to convert the MedMen Convertible Note and exercise the Warrants is dependent upon U.S. federal legalization of cannabis or Tilray’s waiver of such requirement as well as any additional regulatory approvals.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the Company recognized an other-than-temporary change in fair value, which resulted in a non-cash expense of $20,000 compared to $42,681 for the fiscal year ended </w:t>
      </w:r>
      <w:r>
        <w:rPr>
          <w:rStyle w:val="Emphasis"/>
          <w:rFonts w:ascii="Times New Roman" w:hAnsi="Times New Roman"/>
          <w:caps w:val="false"/>
          <w:smallCaps w:val="false"/>
          <w:sz w:val="20"/>
        </w:rPr>
        <w:t xml:space="preserve"> May 31, 2024.</w:t>
      </w:r>
      <w:r>
        <w:rPr>
          <w:rFonts w:ascii="Times New Roman" w:hAnsi="Times New Roman"/>
          <w:caps w:val="false"/>
          <w:smallCaps w:val="false"/>
          <w:sz w:val="20"/>
        </w:rPr>
        <w:t xml:space="preserve"> The MedMen Convertible Note was valued based upon the fair value of the collateral assets net of disposal costs and has been reduced to reflect recent developments in restructuring efforts.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As  previously disclosed, MedMen and certain of its subsidiaries commenced insolvency actions in </w:t>
      </w:r>
      <w:r>
        <w:rPr>
          <w:rStyle w:val="Emphasis"/>
          <w:rFonts w:ascii="Times New Roman" w:hAnsi="Times New Roman"/>
          <w:caps w:val="false"/>
          <w:smallCaps w:val="false"/>
          <w:sz w:val="20"/>
        </w:rPr>
        <w:t xml:space="preserve"> April 2024.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16, 2025, </w:t>
      </w:r>
      <w:r>
        <w:rPr>
          <w:rFonts w:ascii="Times New Roman" w:hAnsi="Times New Roman"/>
          <w:caps w:val="false"/>
          <w:smallCaps w:val="false"/>
          <w:sz w:val="20"/>
        </w:rPr>
        <w:t xml:space="preserve">MedMen exited receivership and substantially all of its remaining assets were transferred to a new entity owned by MedMen’s secured creditors, including SH Acquisition. In connection with the foregoing, the Company disposed of its MedMen Convertible Note in exchange for an option to acquire a 68% membership interest in SH Acquisition for $1.00 upon U.S. federal cannabis legalization. See Note </w:t>
      </w:r>
      <w:r>
        <w:rPr>
          <w:rStyle w:val="Emphasis"/>
          <w:rFonts w:ascii="Times New Roman" w:hAnsi="Times New Roman"/>
          <w:caps w:val="false"/>
          <w:smallCaps w:val="false"/>
          <w:sz w:val="20"/>
        </w:rPr>
        <w:t>12</w:t>
      </w:r>
      <w:r>
        <w:rPr>
          <w:rFonts w:ascii="Times New Roman" w:hAnsi="Times New Roman"/>
          <w:caps w:val="false"/>
          <w:smallCaps w:val="false"/>
          <w:sz w:val="20"/>
        </w:rPr>
        <w:t> (Long-term investments). As a result, the Company </w:t>
      </w:r>
      <w:r>
        <w:rPr>
          <w:rStyle w:val="Emphasis"/>
          <w:rFonts w:ascii="Times New Roman" w:hAnsi="Times New Roman"/>
          <w:caps w:val="false"/>
          <w:smallCaps w:val="false"/>
          <w:sz w:val="20"/>
        </w:rPr>
        <w:t>no</w:t>
      </w:r>
      <w:r>
        <w:rPr>
          <w:rFonts w:ascii="Times New Roman" w:hAnsi="Times New Roman"/>
          <w:caps w:val="false"/>
          <w:smallCaps w:val="false"/>
          <w:sz w:val="20"/>
        </w:rPr>
        <w:t> longer controls SH Acquisition and thus </w:t>
      </w:r>
      <w:r>
        <w:rPr>
          <w:rStyle w:val="Emphasis"/>
          <w:rFonts w:ascii="Times New Roman" w:hAnsi="Times New Roman"/>
          <w:caps w:val="false"/>
          <w:smallCaps w:val="false"/>
          <w:sz w:val="20"/>
        </w:rPr>
        <w:t>no</w:t>
      </w:r>
      <w:r>
        <w:rPr>
          <w:rFonts w:ascii="Times New Roman" w:hAnsi="Times New Roman"/>
          <w:caps w:val="false"/>
          <w:smallCaps w:val="false"/>
          <w:sz w:val="20"/>
        </w:rPr>
        <w:t> longer consolidates this entity for accounting purposes and as a result the Company recognized $1,661 of other-than-temporary change in fair value as part of this disposal. See Note </w:t>
      </w:r>
      <w:r>
        <w:rPr>
          <w:rStyle w:val="Emphasis"/>
          <w:rFonts w:ascii="Times New Roman" w:hAnsi="Times New Roman"/>
          <w:caps w:val="false"/>
          <w:smallCaps w:val="false"/>
          <w:sz w:val="20"/>
        </w:rPr>
        <w:t>21</w:t>
      </w:r>
      <w:r>
        <w:rPr>
          <w:rFonts w:ascii="Times New Roman" w:hAnsi="Times New Roman"/>
          <w:caps w:val="false"/>
          <w:smallCaps w:val="false"/>
          <w:sz w:val="20"/>
        </w:rPr>
        <w:t xml:space="preserve">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derive any revenue or cash from MedMen's operations, and fully complies with all limitations imposed by applicable U.S. law and regulations in connection with its ownership of the MedMen Convertible Note and/or its option to acquire SH Acquisition. In addition, since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the Company has not recognized any interest income on the MedMen Convertible Note, nor did the Company recognize any interest income for the fiscal year ended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which would have increased its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12.</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Long-term investments are comprised of the following items:</w:t>
      </w:r>
    </w:p>
    <w:p>
      <w:pPr>
        <w:pStyle w:val="TextBody"/>
        <w:bidi w:val="0"/>
        <w:spacing w:before="0" w:after="0"/>
        <w:ind w:left="0" w:right="0" w:hanging="0"/>
        <w:jc w:val="left"/>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4130"/>
        <w:gridCol w:w="60"/>
        <w:gridCol w:w="125"/>
        <w:gridCol w:w="590"/>
        <w:gridCol w:w="60"/>
        <w:gridCol w:w="60"/>
        <w:gridCol w:w="142"/>
        <w:gridCol w:w="552"/>
        <w:gridCol w:w="60"/>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under measurement alternative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60" w:type="dxa"/>
            <w:tcBorders/>
            <w:shd w:fill="FFFFFF" w:val="clear"/>
            <w:vAlign w:val="center"/>
          </w:tcPr>
          <w:p>
            <w:pPr>
              <w:pStyle w:val="TableContents"/>
              <w:bidi w:val="0"/>
              <w:spacing w:before="0" w:after="0"/>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Company’s equity investments at fair value consist of publicly traded shares, equity interest in non-traded companies and warrants held by the Company. As of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included within equity investment under measurement alternative is an option to acquire a 68% membership interest in SH Acquisition for $1.00 upon U.S. federal cannabis legalization valued at $8,160. See Note </w:t>
      </w:r>
      <w:r>
        <w:rPr>
          <w:rStyle w:val="Emphasis"/>
          <w:rFonts w:ascii="Times New Roman" w:hAnsi="Times New Roman"/>
          <w:caps w:val="false"/>
          <w:smallCaps w:val="false"/>
          <w:sz w:val="20"/>
        </w:rPr>
        <w:t>29</w:t>
      </w:r>
      <w:r>
        <w:rPr>
          <w:rFonts w:ascii="Times New Roman" w:hAnsi="Times New Roman"/>
          <w:caps w:val="false"/>
          <w:smallCaps w:val="false"/>
          <w:sz w:val="20"/>
        </w:rPr>
        <w:t> (Financial risk management and financial instruments). The Company’s equity investments under measurement alternative include equity investments without readily determinable fair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the Company received proceeds of $324 on the sale of investments, we acquired $8,160 of equity investment under measurement alternative and recognized $5,500 of losses due to the change in fair value of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years ended </w:t>
      </w:r>
      <w:r>
        <w:rPr>
          <w:rStyle w:val="Emphasis"/>
          <w:rFonts w:ascii="Times New Roman" w:hAnsi="Times New Roman"/>
          <w:caps w:val="false"/>
          <w:smallCaps w:val="false"/>
          <w:sz w:val="20"/>
        </w:rPr>
        <w:t>May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recognized fair value changes of $217 and $2,366, respectively. See Note </w:t>
      </w:r>
      <w:r>
        <w:rPr>
          <w:rStyle w:val="Emphasis"/>
          <w:rFonts w:ascii="Times New Roman" w:hAnsi="Times New Roman"/>
          <w:caps w:val="false"/>
          <w:smallCaps w:val="false"/>
          <w:sz w:val="20"/>
        </w:rPr>
        <w:t>29</w:t>
      </w:r>
      <w:r>
        <w:rPr>
          <w:rFonts w:ascii="Times New Roman" w:hAnsi="Times New Roman"/>
          <w:caps w:val="false"/>
          <w:smallCaps w:val="false"/>
          <w:sz w:val="20"/>
        </w:rPr>
        <w:t xml:space="preserve"> (Financial risk management and financial instruments) for additional details.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670" w:type="dxa"/>
        <w:jc w:val="left"/>
        <w:tblInd w:w="0" w:type="dxa"/>
        <w:tblLayout w:type="fixed"/>
        <w:tblCellMar>
          <w:top w:w="0" w:type="dxa"/>
          <w:left w:w="0" w:type="dxa"/>
          <w:bottom w:w="0" w:type="dxa"/>
          <w:right w:w="0" w:type="dxa"/>
        </w:tblCellMar>
      </w:tblPr>
      <w:tblGrid>
        <w:gridCol w:w="275"/>
        <w:gridCol w:w="339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13.</w:t>
            </w:r>
          </w:p>
        </w:tc>
        <w:tc>
          <w:tcPr>
            <w:tcW w:w="33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 and deferred 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Loss before income taxes includes the following components:</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265"/>
        <w:gridCol w:w="60"/>
        <w:gridCol w:w="125"/>
        <w:gridCol w:w="905"/>
        <w:gridCol w:w="80"/>
        <w:gridCol w:w="60"/>
        <w:gridCol w:w="125"/>
        <w:gridCol w:w="755"/>
        <w:gridCol w:w="80"/>
        <w:gridCol w:w="60"/>
        <w:gridCol w:w="125"/>
        <w:gridCol w:w="905"/>
        <w:gridCol w:w="80"/>
      </w:tblGrid>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(506,984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(277,811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(912,717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(2,302,373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(1,450,181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(recoveries) expense for income taxes consists of:</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955"/>
        <w:gridCol w:w="60"/>
        <w:gridCol w:w="125"/>
        <w:gridCol w:w="755"/>
        <w:gridCol w:w="80"/>
        <w:gridCol w:w="60"/>
        <w:gridCol w:w="125"/>
        <w:gridCol w:w="650"/>
        <w:gridCol w:w="80"/>
        <w:gridCol w:w="60"/>
        <w:gridCol w:w="125"/>
        <w:gridCol w:w="650"/>
        <w:gridCol w:w="80"/>
      </w:tblGrid>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26,290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countries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26,454</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(33,422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(24,364</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countries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(108,061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(5,216</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benefits,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reconciliation of income taxes at the statutory rate with the reported taxes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4400"/>
        <w:gridCol w:w="60"/>
        <w:gridCol w:w="125"/>
        <w:gridCol w:w="905"/>
        <w:gridCol w:w="80"/>
        <w:gridCol w:w="60"/>
        <w:gridCol w:w="125"/>
        <w:gridCol w:w="755"/>
        <w:gridCol w:w="80"/>
        <w:gridCol w:w="60"/>
        <w:gridCol w:w="125"/>
        <w:gridCol w:w="905"/>
        <w:gridCol w:w="80"/>
      </w:tblGrid>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net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(1,450,181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recovery at statutory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impact of foreign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7,062</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3,982</w:t>
            </w:r>
          </w:p>
        </w:tc>
        <w:tc>
          <w:tcPr>
            <w:tcW w:w="8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(taxable)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enacted rates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Impairment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23,150</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to provision and other prior year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6,486</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Provision, net of federal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285,698</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on convertible debenture and other differences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recovery,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components of deferred tax:</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3845"/>
        <w:gridCol w:w="60"/>
        <w:gridCol w:w="125"/>
        <w:gridCol w:w="845"/>
        <w:gridCol w:w="80"/>
        <w:gridCol w:w="60"/>
        <w:gridCol w:w="125"/>
        <w:gridCol w:w="755"/>
        <w:gridCol w:w="80"/>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loss carryforwards - 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104,377</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loss carryforwards - Canada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366,720</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loss carryforwards - Other Countries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18,518</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Capital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34,355</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350,527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229,953</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34,578</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Investments and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45,685</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 tax credits and related pool balance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23,132</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46,151</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903,469</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(968,929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(789,839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113,630</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(18,814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Debentures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Deferred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(130,870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Tax Cuts and Jobs Act (TCJA) was enacted on </w:t>
      </w:r>
      <w:r>
        <w:rPr>
          <w:rStyle w:val="Emphasis"/>
          <w:rFonts w:ascii="Times New Roman" w:hAnsi="Times New Roman"/>
          <w:caps w:val="false"/>
          <w:smallCaps w:val="false"/>
          <w:sz w:val="20"/>
        </w:rPr>
        <w:t xml:space="preserve">December 22, 2017 </w:t>
      </w:r>
      <w:r>
        <w:rPr>
          <w:rFonts w:ascii="Times New Roman" w:hAnsi="Times New Roman"/>
          <w:caps w:val="false"/>
          <w:smallCaps w:val="false"/>
          <w:sz w:val="20"/>
        </w:rPr>
        <w:t>and reduced the U.S. statutory federal corporate tax rate from 35% to 21% and introduced several new international tax provisions, including the tax on Global Intangible Low-Taxed Income (‘‘GILTI’’). The Company has made a policy decision to record GILTI tax as a current-period expense when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(“OBBBA”) was enacted, which extended and modified certain provisions of the TCJA, including bonus depreciation and interest expense limitations. As the enactment occurred after the Company’s fiscal year-end, the impact of the OBBBA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these Financial Statements. The Company is evaluating the potential impact of the new legislation on future periods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a material impact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Deferred income taxes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recorded on the basis differences for investments in consolidated subsidiaries as these basis differences are indefinitely reinvested or will reverse in a non-taxable manner. Quantification of the deferred income tax liability, if any, associated with indefinitely reinvested basis differences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practicable. Deferred income taxes have been recorded on the basis differences for investments in nonconsolidated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the Company had generated net operating loss carry-forwards in the United States of approximately $314,512, which can be carried forward indefinitely and are generally limited in use annually to 80% of the current year taxable income, starting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has generated net operating loss carry-forwards in Canada of approximately $1,544,987, which can be carried forward for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years and begin to expire in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Management believes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benefit from certain United States and foreign net operating loss carry-forwards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In recognition of this risk, the Company has provided a valuation allowance on the deferred tax assets relating to these carry-forwards. The net change in the total valuation allowance was an increase of $179,090 and $164,471 for the fiscal years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net change in the total valuation allowance was primarily a result of current year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recognizes the financial statement impact of a tax position only after determining that the relevant tax authority would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sustain the position following an audit. For tax positions meeting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the amount recognized in the Financial Statements is the largest impact that has a greater than </w:t>
      </w:r>
      <w:r>
        <w:rPr>
          <w:rStyle w:val="Emphasis"/>
          <w:rFonts w:ascii="Times New Roman" w:hAnsi="Times New Roman"/>
          <w:caps w:val="false"/>
          <w:smallCaps w:val="false"/>
          <w:sz w:val="20"/>
        </w:rPr>
        <w:t>fifty</w:t>
      </w:r>
      <w:r>
        <w:rPr>
          <w:rFonts w:ascii="Times New Roman" w:hAnsi="Times New Roman"/>
          <w:caps w:val="false"/>
          <w:smallCaps w:val="false"/>
          <w:sz w:val="20"/>
        </w:rPr>
        <w:t xml:space="preserve"> percent likelihood of being realized upon ultimate settlement with the relevant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total amount of gross unrecognized tax benefits (“GUTB”) was $nil, $nil, and $nil as of </w:t>
      </w:r>
      <w:r>
        <w:rPr>
          <w:rStyle w:val="Emphasis"/>
          <w:rFonts w:ascii="Times New Roman" w:hAnsi="Times New Roman"/>
          <w:caps w:val="false"/>
          <w:smallCaps w:val="false"/>
          <w:sz w:val="20"/>
        </w:rPr>
        <w:t>May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There is a reasonable possibility that the Company’s unrecognized tax benefits will change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due to audit settlements or the expiration of statute of limitations, but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change to be material to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recognizes interest and, if applicable, penalties for any uncertain tax positions. Interest and penalties are recorded as a component of income tax expenses. In the fiscal years ended </w:t>
      </w:r>
      <w:r>
        <w:rPr>
          <w:rStyle w:val="Emphasis"/>
          <w:rFonts w:ascii="Times New Roman" w:hAnsi="Times New Roman"/>
          <w:caps w:val="false"/>
          <w:smallCaps w:val="false"/>
          <w:sz w:val="20"/>
        </w:rPr>
        <w:t>May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recorded approximately $nil, $nil and $nil, respectively, of interest and penalty expenses related to uncertain tax positions. As of </w:t>
      </w:r>
      <w:r>
        <w:rPr>
          <w:rStyle w:val="Emphasis"/>
          <w:rFonts w:ascii="Times New Roman" w:hAnsi="Times New Roman"/>
          <w:caps w:val="false"/>
          <w:smallCaps w:val="false"/>
          <w:sz w:val="20"/>
        </w:rPr>
        <w:t>May 31, 2025</w:t>
      </w:r>
      <w:r>
        <w:rPr>
          <w:rFonts w:ascii="Times New Roman" w:hAnsi="Times New Roman"/>
          <w:caps w:val="false"/>
          <w:smallCaps w:val="false"/>
          <w:sz w:val="20"/>
        </w:rPr>
        <w:t>, 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had a cumulative balance of accrued interest and penalties on unrecognized tax positions of $nil and $nil,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and its subsidiaries are subject to United States federal income tax as well as the income tax of multiple state and foreign jurisdictions. Major jurisdictions where there are wholly owned subsidiaries of Tilray Brands, Inc. which require income tax filings include Canada, Portugal, Germany, and Australia. The earliest periods open for review by local taxing authorities are fiscal years 2021 for Canada, 2021 for Portugal, 2020 for Germany, 2021 for Australia, and 2022 for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14.</w:t>
            </w:r>
          </w:p>
        </w:tc>
        <w:tc>
          <w:tcPr>
            <w:tcW w:w="15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Bank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Aphria Inc., a subsidiary of the Company, has an operating line of credit in the amount of C$1,000, which bears interest at the lender’s prime rate plus 75 basis points.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the Company has not drawn on the line of credit. The operating line of credit is secured by a security interest on certain real property located at </w:t>
      </w:r>
      <w:r>
        <w:rPr>
          <w:rStyle w:val="Emphasis"/>
          <w:rFonts w:ascii="Times New Roman" w:hAnsi="Times New Roman"/>
          <w:caps w:val="false"/>
          <w:smallCaps w:val="false"/>
          <w:sz w:val="20"/>
        </w:rPr>
        <w:t>265</w:t>
      </w:r>
      <w:r>
        <w:rPr>
          <w:rFonts w:ascii="Times New Roman" w:hAnsi="Times New Roman"/>
          <w:caps w:val="false"/>
          <w:smallCaps w:val="false"/>
          <w:sz w:val="20"/>
        </w:rPr>
        <w:t> Talbot St. West, Leamington, Ontario.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CC Pharma GmbH, a subsidiary of the Company, has two operating lines of credit for €7,000 and €500 each, which bear interest at Euro Short-Term Rate (“ESTR”) plus 2.50% and Euro Interbank Offered Rate (“EURIBOR”) plus 4.00%, respectively.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a total of €6,355 ($7,181) was drawn down from the available credit of €7,500. The operating line of credit for €7,000 is secured by an interest in the inventory of CC Pharma GmbH as well as the Densborn facility and underlying real property. The operating line of credit for €500 is unsecured.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American Beverage Crafts Group Inc. (“ABC Group”), formerly known as Four Twenty Corporation, a subsidiary of the Company, has a revolving credit facility of $25,000 (as of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 revolving credit facility was $30,000), which bears interest at SOFR plus an applicable margin.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the Company has drawn $nil on the revolving line of credit. The revolving credit facility is secured by ABC Group's assets and the assets of the wellness segment and includes a corporate guarantee by a subsidiary of the Company. See Note </w:t>
      </w:r>
      <w:r>
        <w:rPr>
          <w:rStyle w:val="Emphasis"/>
          <w:rFonts w:ascii="Times New Roman" w:hAnsi="Times New Roman"/>
          <w:caps w:val="false"/>
          <w:smallCaps w:val="false"/>
          <w:sz w:val="20"/>
        </w:rPr>
        <w:t>31</w:t>
      </w:r>
      <w:r>
        <w:rPr>
          <w:rFonts w:ascii="Times New Roman" w:hAnsi="Times New Roman"/>
          <w:caps w:val="false"/>
          <w:smallCaps w:val="false"/>
          <w:sz w:val="20"/>
        </w:rPr>
        <w:t xml:space="preserve"> (Subsequent events) for additional transactions after the period.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700" w:type="dxa"/>
        <w:jc w:val="left"/>
        <w:tblInd w:w="0" w:type="dxa"/>
        <w:tblLayout w:type="fixed"/>
        <w:tblCellMar>
          <w:top w:w="0" w:type="dxa"/>
          <w:left w:w="0" w:type="dxa"/>
          <w:bottom w:w="0" w:type="dxa"/>
          <w:right w:w="0" w:type="dxa"/>
        </w:tblCellMar>
      </w:tblPr>
      <w:tblGrid>
        <w:gridCol w:w="275"/>
        <w:gridCol w:w="342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15.</w:t>
            </w:r>
          </w:p>
        </w:tc>
        <w:tc>
          <w:tcPr>
            <w:tcW w:w="34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payable and accrued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payable and accrued liabilities comprised of:</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3800"/>
        <w:gridCol w:w="60"/>
        <w:gridCol w:w="125"/>
        <w:gridCol w:w="695"/>
        <w:gridCol w:w="60"/>
        <w:gridCol w:w="60"/>
        <w:gridCol w:w="125"/>
        <w:gridCol w:w="695"/>
        <w:gridCol w:w="6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105,392</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92,424</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accrual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24,378</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employment related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6,154</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4,092</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taxes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5,300</w:t>
            </w:r>
          </w:p>
        </w:tc>
        <w:tc>
          <w:tcPr>
            <w:tcW w:w="60" w:type="dxa"/>
            <w:tcBorders/>
            <w:shd w:fill="CCEEFF" w:val="clear"/>
            <w:vAlign w:val="center"/>
          </w:tcPr>
          <w:p>
            <w:pPr>
              <w:pStyle w:val="TableContents"/>
              <w:bidi w:val="0"/>
              <w:spacing w:before="0" w:after="0"/>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241,957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16.</w:t>
            </w:r>
          </w:p>
        </w:tc>
        <w:tc>
          <w:tcPr>
            <w:tcW w:w="13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Long-term debt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net carrying amount of long-term debt instruments: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C$53,000 - Canadian prime plus an applicable margin, 3-year term, with a 10-year amortization, repayable in equal quarterly payments due in February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39,420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C$25,000 - Canadian prime plus 1.00%, compounded monthly, 5-year term, with a 15-year amortization, repayable in equal monthly installments of C$181 including interest, due in July 2033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10,212</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C$25,000 - Canadian prime plus 1.00%, compounded monthly, 5-year term, with a 15-year amortization, repayable in equal monthly installments of C$196 including interest, due in July 2033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12,422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C$1,250 - Canadian prime plus 1.50%, 5-year term, with a 10-year amortization, repayable in equal monthly installments of C$12 including interest, due in August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C$3,750 - Canadian prime plus 1.50%, 5-year term, with a 20-year amortization, repayable in equal monthly installments of C$23 including interest, due in August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€1,500 ‐ at 2.00%, 5‐year term, repayable in quarterly installments of €94 plus interest, due in April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€3,500 ‐ at 4.59%, 5‐year term, repayable in monthly installments of €52 plus interest, due in August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3,151</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$22,635 - EURIBOR rate plus 1.5%, 10-year term, repayable in monthly installments of $57 to $69, due in October 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$90,000 - SOFR plus an applicable margin, 5-year term, repayable in quarterly installments of $875 to $2,250 due in June 2028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80,438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86,626</w:t>
            </w:r>
          </w:p>
        </w:tc>
        <w:tc>
          <w:tcPr>
            <w:tcW w:w="80" w:type="dxa"/>
            <w:tcBorders/>
            <w:shd w:fill="CCEEFF" w:val="clear"/>
            <w:vAlign w:val="center"/>
          </w:tcPr>
          <w:p>
            <w:pPr>
              <w:pStyle w:val="TableContents"/>
              <w:bidi w:val="0"/>
              <w:spacing w:before="0" w:after="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174,666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Unamortized financing fees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(808</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amount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173,858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principal portion included in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(14,767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(15,506</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noncurrent portion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158,352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entered into a secured credit agreement on </w:t>
      </w:r>
      <w:r>
        <w:rPr>
          <w:rStyle w:val="Emphasis"/>
          <w:rFonts w:ascii="Times New Roman" w:hAnsi="Times New Roman"/>
          <w:caps w:val="false"/>
          <w:smallCaps w:val="false"/>
          <w:sz w:val="20"/>
        </w:rPr>
        <w:t xml:space="preserve"> November 28, 2022, </w:t>
      </w:r>
      <w:r>
        <w:rPr>
          <w:rFonts w:ascii="Times New Roman" w:hAnsi="Times New Roman"/>
          <w:caps w:val="false"/>
          <w:smallCaps w:val="false"/>
          <w:sz w:val="20"/>
        </w:rPr>
        <w:t>for a credit facility through its 51% owned subsidiary Aphria Diamond Inc. (“Aphria Diamond”). The principal amount of loans outstanding is secured by the property at </w:t>
      </w:r>
      <w:r>
        <w:rPr>
          <w:rStyle w:val="Emphasis"/>
          <w:rFonts w:ascii="Times New Roman" w:hAnsi="Times New Roman"/>
          <w:caps w:val="false"/>
          <w:smallCaps w:val="false"/>
          <w:sz w:val="20"/>
        </w:rPr>
        <w:t>620</w:t>
      </w:r>
      <w:r>
        <w:rPr>
          <w:rFonts w:ascii="Times New Roman" w:hAnsi="Times New Roman"/>
          <w:caps w:val="false"/>
          <w:smallCaps w:val="false"/>
          <w:sz w:val="20"/>
        </w:rPr>
        <w:t> Country Road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Leamington, Ontario, which is owned by Aphria Diamond and a guarantee from Aphria Inc. During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the Company refinanced this debt by entering into a new Credit Agreement. The Credit Agreement provides for a term loan equal to CAD $53,000 with a maturity date of </w:t>
      </w:r>
      <w:r>
        <w:rPr>
          <w:rStyle w:val="Emphasis"/>
          <w:rFonts w:ascii="Times New Roman" w:hAnsi="Times New Roman"/>
          <w:caps w:val="false"/>
          <w:smallCaps w:val="false"/>
          <w:sz w:val="20"/>
        </w:rPr>
        <w:t xml:space="preserve"> February 21, 2028.  </w:t>
      </w:r>
      <w:r>
        <w:rPr>
          <w:rFonts w:ascii="Times New Roman" w:hAnsi="Times New Roman"/>
          <w:caps w:val="false"/>
          <w:smallCaps w:val="false"/>
          <w:sz w:val="20"/>
        </w:rPr>
        <w:t>The Company used CAD $48,171 of the proceeds from the Credit Agreement to repay in full all outstanding obligations under the prior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C$25,000 was entered into on </w:t>
      </w:r>
      <w:r>
        <w:rPr>
          <w:rStyle w:val="Emphasis"/>
          <w:rFonts w:ascii="Times New Roman" w:hAnsi="Times New Roman"/>
          <w:caps w:val="false"/>
          <w:smallCaps w:val="false"/>
          <w:sz w:val="20"/>
        </w:rPr>
        <w:t xml:space="preserve">July 27, 2018 </w:t>
      </w:r>
      <w:r>
        <w:rPr>
          <w:rFonts w:ascii="Times New Roman" w:hAnsi="Times New Roman"/>
          <w:caps w:val="false"/>
          <w:smallCaps w:val="false"/>
          <w:sz w:val="20"/>
        </w:rPr>
        <w:t xml:space="preserve">and is secured by the property at </w:t>
      </w:r>
      <w:r>
        <w:rPr>
          <w:rStyle w:val="Emphasis"/>
          <w:rFonts w:ascii="Times New Roman" w:hAnsi="Times New Roman"/>
          <w:caps w:val="false"/>
          <w:smallCaps w:val="false"/>
          <w:sz w:val="20"/>
        </w:rPr>
        <w:t>223,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265,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269,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271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275</w:t>
      </w:r>
      <w:r>
        <w:rPr>
          <w:rFonts w:ascii="Times New Roman" w:hAnsi="Times New Roman"/>
          <w:caps w:val="false"/>
          <w:smallCaps w:val="false"/>
          <w:sz w:val="20"/>
        </w:rPr>
        <w:t xml:space="preserve"> Talbot Street West, Leamington Ontario,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position on a general security agreement, and an assignment of fire insurance to the lender.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C$25,000 was entered into on </w:t>
      </w:r>
      <w:r>
        <w:rPr>
          <w:rStyle w:val="Emphasis"/>
          <w:rFonts w:ascii="Times New Roman" w:hAnsi="Times New Roman"/>
          <w:caps w:val="false"/>
          <w:smallCaps w:val="false"/>
          <w:sz w:val="20"/>
        </w:rPr>
        <w:t xml:space="preserve">May 9, 2017 </w:t>
      </w:r>
      <w:r>
        <w:rPr>
          <w:rFonts w:ascii="Times New Roman" w:hAnsi="Times New Roman"/>
          <w:caps w:val="false"/>
          <w:smallCaps w:val="false"/>
          <w:sz w:val="20"/>
        </w:rPr>
        <w:t xml:space="preserve">and is secured by the property at </w:t>
      </w:r>
      <w:r>
        <w:rPr>
          <w:rStyle w:val="Emphasis"/>
          <w:rFonts w:ascii="Times New Roman" w:hAnsi="Times New Roman"/>
          <w:caps w:val="false"/>
          <w:smallCaps w:val="false"/>
          <w:sz w:val="20"/>
        </w:rPr>
        <w:t>265</w:t>
      </w:r>
      <w:r>
        <w:rPr>
          <w:rFonts w:ascii="Times New Roman" w:hAnsi="Times New Roman"/>
          <w:caps w:val="false"/>
          <w:smallCaps w:val="false"/>
          <w:sz w:val="20"/>
        </w:rPr>
        <w:t xml:space="preserve"> Talbot Street West, Leamington Ontario,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position on a general security agreement, and an assignment of fire insurance to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C$1,250 and mortgage payable of C$3,750 were entered into on </w:t>
      </w:r>
      <w:r>
        <w:rPr>
          <w:rStyle w:val="Emphasis"/>
          <w:rFonts w:ascii="Times New Roman" w:hAnsi="Times New Roman"/>
          <w:caps w:val="false"/>
          <w:smallCaps w:val="false"/>
          <w:sz w:val="20"/>
        </w:rPr>
        <w:t xml:space="preserve">July 22, 2016 </w:t>
      </w:r>
      <w:r>
        <w:rPr>
          <w:rFonts w:ascii="Times New Roman" w:hAnsi="Times New Roman"/>
          <w:caps w:val="false"/>
          <w:smallCaps w:val="false"/>
          <w:sz w:val="20"/>
        </w:rPr>
        <w:t xml:space="preserve">and are secured by the property at </w:t>
      </w:r>
      <w:r>
        <w:rPr>
          <w:rStyle w:val="Emphasis"/>
          <w:rFonts w:ascii="Times New Roman" w:hAnsi="Times New Roman"/>
          <w:caps w:val="false"/>
          <w:smallCaps w:val="false"/>
          <w:sz w:val="20"/>
        </w:rPr>
        <w:t>265</w:t>
      </w:r>
      <w:r>
        <w:rPr>
          <w:rFonts w:ascii="Times New Roman" w:hAnsi="Times New Roman"/>
          <w:caps w:val="false"/>
          <w:smallCaps w:val="false"/>
          <w:sz w:val="20"/>
        </w:rPr>
        <w:t xml:space="preserve"> Talbot Street West, Leamington, Ontario and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position on a general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entered into term loans in </w:t>
      </w:r>
      <w:r>
        <w:rPr>
          <w:rStyle w:val="Emphasis"/>
          <w:rFonts w:ascii="Times New Roman" w:hAnsi="Times New Roman"/>
          <w:caps w:val="false"/>
          <w:smallCaps w:val="false"/>
          <w:sz w:val="20"/>
        </w:rPr>
        <w:t>May 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for €1,500 and €3,500 through wholly owned subsidiary CC Pharma. These term loans are secured against the distribution inventory held by CC Pharma and by the land where the facility is located and the building.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2021, </w:t>
      </w:r>
      <w:r>
        <w:rPr>
          <w:rFonts w:ascii="Times New Roman" w:hAnsi="Times New Roman"/>
          <w:caps w:val="false"/>
          <w:smallCaps w:val="false"/>
          <w:sz w:val="20"/>
        </w:rPr>
        <w:t>the Company acquired all the membership interests in Cheese Grits, LLC, a Georgia limited liability company that owns the SweetWater Brewing Company brewery and taproom in Atlanta, Georgia, which facility was previously leased to the Company. Cheese Grits, LLC, was owned by certain former equity holders of SweetWater and current employees. As part of this purchase, the Company, through subsidiary Cheese Grits, LLC, acquired the mortgage payable which is secured against the Sweetwater brewery and taproom.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$90,000 was fully drawn on </w:t>
      </w:r>
      <w:r>
        <w:rPr>
          <w:rStyle w:val="Emphasis"/>
          <w:rFonts w:ascii="Times New Roman" w:hAnsi="Times New Roman"/>
          <w:caps w:val="false"/>
          <w:smallCaps w:val="false"/>
          <w:sz w:val="20"/>
        </w:rPr>
        <w:t>September 29, 2023 </w:t>
      </w:r>
      <w:r>
        <w:rPr>
          <w:rFonts w:ascii="Times New Roman" w:hAnsi="Times New Roman"/>
          <w:caps w:val="false"/>
          <w:smallCaps w:val="false"/>
          <w:sz w:val="20"/>
        </w:rPr>
        <w:t>to fund part of the purchase price for Craft Acquisition I. Under the terms of the ABC Group Secured Credit Agreement, the Company pledged all of ABC Group and the Wellness segment’s and its subsidiaries’ assets and the related equity interests, and Tilray Brands, Inc. provided a full guarantee of the borrowing obligations under the ABC Group Secured Credit Agreement, as well as requiring the lenders approval to transfer assets to Tilray Brands,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maintains certain financial covenants or minimum balances in certain cash operating accounts, and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the Company was in compliance with all the long-term debt covenants.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31</w:t>
      </w:r>
      <w:r>
        <w:rPr>
          <w:rFonts w:ascii="Times New Roman" w:hAnsi="Times New Roman"/>
          <w:caps w:val="false"/>
          <w:smallCaps w:val="false"/>
          <w:sz w:val="20"/>
        </w:rPr>
        <w:t xml:space="preserve"> (Subsequent events) for additional transactions after the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2980" w:type="dxa"/>
        <w:jc w:val="left"/>
        <w:tblInd w:w="0" w:type="dxa"/>
        <w:tblLayout w:type="fixed"/>
        <w:tblCellMar>
          <w:top w:w="0" w:type="dxa"/>
          <w:left w:w="0" w:type="dxa"/>
          <w:bottom w:w="0" w:type="dxa"/>
          <w:right w:w="0" w:type="dxa"/>
        </w:tblCellMar>
      </w:tblPr>
      <w:tblGrid>
        <w:gridCol w:w="275"/>
        <w:gridCol w:w="270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17.</w:t>
            </w:r>
          </w:p>
        </w:tc>
        <w:tc>
          <w:tcPr>
            <w:tcW w:w="27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Convertible debentures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net carrying amount of the convertible debentures:</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4715"/>
        <w:gridCol w:w="60"/>
        <w:gridCol w:w="125"/>
        <w:gridCol w:w="590"/>
        <w:gridCol w:w="60"/>
        <w:gridCol w:w="60"/>
        <w:gridCol w:w="125"/>
        <w:gridCol w:w="695"/>
        <w:gridCol w:w="60"/>
      </w:tblGrid>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5.20% Convertible Notes ("TLRY 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129,583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5.25% Convertible Notes ("APHA 24")</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330</w:t>
            </w:r>
          </w:p>
        </w:tc>
        <w:tc>
          <w:tcPr>
            <w:tcW w:w="60" w:type="dxa"/>
            <w:tcBorders/>
            <w:shd w:fill="FFFFFF" w:val="clear"/>
            <w:vAlign w:val="center"/>
          </w:tcPr>
          <w:p>
            <w:pPr>
              <w:pStyle w:val="TableContents"/>
              <w:bidi w:val="0"/>
              <w:spacing w:before="0" w:after="0"/>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129,913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Deduct - 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330</w:t>
            </w:r>
          </w:p>
        </w:tc>
        <w:tc>
          <w:tcPr>
            <w:tcW w:w="60" w:type="dxa"/>
            <w:tcBorders/>
            <w:shd w:fill="FFFFFF" w:val="clear"/>
            <w:vAlign w:val="center"/>
          </w:tcPr>
          <w:p>
            <w:pPr>
              <w:pStyle w:val="TableContents"/>
              <w:bidi w:val="0"/>
              <w:spacing w:before="0" w:after="0"/>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convertible debentures payable, non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0" w:right="0" w:hanging="0"/>
        <w:jc w:val="left"/>
        <w:rPr/>
      </w:pPr>
      <w:r>
        <w:rPr>
          <w:rFonts w:ascii="Times New Roman" w:hAnsi="Times New Roman"/>
          <w:i/>
          <w:caps w:val="false"/>
          <w:smallCaps w:val="false"/>
          <w:sz w:val="20"/>
        </w:rPr>
        <w:t xml:space="preserve">TLRY </w:t>
      </w:r>
      <w:r>
        <w:rPr>
          <w:rStyle w:val="Emphasis"/>
          <w:rFonts w:ascii="Times New Roman" w:hAnsi="Times New Roman"/>
          <w:i/>
          <w:caps w:val="false"/>
          <w:smallCaps w:val="false"/>
          <w:sz w:val="20"/>
        </w:rPr>
        <w:t>27</w:t>
      </w:r>
    </w:p>
    <w:p>
      <w:pPr>
        <w:pStyle w:val="TextBody"/>
        <w:bidi w:val="0"/>
        <w:spacing w:before="0" w:after="0"/>
        <w:ind w:left="0" w:right="0" w:firstLine="72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2405"/>
        <w:gridCol w:w="60"/>
        <w:gridCol w:w="125"/>
        <w:gridCol w:w="695"/>
        <w:gridCol w:w="80"/>
        <w:gridCol w:w="60"/>
        <w:gridCol w:w="125"/>
        <w:gridCol w:w="695"/>
        <w:gridCol w:w="8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5.20% Contractual debenture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172,500</w:t>
            </w:r>
          </w:p>
        </w:tc>
        <w:tc>
          <w:tcPr>
            <w:tcW w:w="8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settlement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discount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(42,917</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129,583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TLRY </w:t>
      </w:r>
      <w:r>
        <w:rPr>
          <w:rStyle w:val="Emphasis"/>
          <w:rFonts w:ascii="Times New Roman" w:hAnsi="Times New Roman"/>
          <w:caps w:val="false"/>
          <w:smallCaps w:val="false"/>
          <w:sz w:val="20"/>
        </w:rPr>
        <w:t>27</w:t>
      </w:r>
      <w:r>
        <w:rPr>
          <w:rFonts w:ascii="Times New Roman" w:hAnsi="Times New Roman"/>
          <w:caps w:val="false"/>
          <w:smallCaps w:val="false"/>
          <w:sz w:val="20"/>
        </w:rPr>
        <w:t> convertible debentures were issued on  </w:t>
      </w:r>
      <w:r>
        <w:rPr>
          <w:rStyle w:val="Emphasis"/>
          <w:rFonts w:ascii="Times New Roman" w:hAnsi="Times New Roman"/>
          <w:caps w:val="false"/>
          <w:smallCaps w:val="false"/>
          <w:sz w:val="20"/>
        </w:rPr>
        <w:t xml:space="preserve"> May 30, 2023 </w:t>
      </w:r>
      <w:r>
        <w:rPr>
          <w:rFonts w:ascii="Times New Roman" w:hAnsi="Times New Roman"/>
          <w:caps w:val="false"/>
          <w:smallCaps w:val="false"/>
          <w:sz w:val="20"/>
        </w:rPr>
        <w:t>and on </w:t>
      </w:r>
      <w:r>
        <w:rPr>
          <w:rStyle w:val="Emphasis"/>
          <w:rFonts w:ascii="Times New Roman" w:hAnsi="Times New Roman"/>
          <w:caps w:val="false"/>
          <w:smallCaps w:val="false"/>
          <w:sz w:val="20"/>
        </w:rPr>
        <w:t xml:space="preserve"> June 9, 2023, </w:t>
      </w:r>
      <w:r>
        <w:rPr>
          <w:rFonts w:ascii="Times New Roman" w:hAnsi="Times New Roman"/>
          <w:caps w:val="false"/>
          <w:smallCaps w:val="false"/>
          <w:sz w:val="20"/>
        </w:rPr>
        <w:t>by way of overallotment, in the principal amount of $172,500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bear interest at a rate of 5.20% per annum, payable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and mature on  </w:t>
      </w:r>
      <w:r>
        <w:rPr>
          <w:rStyle w:val="Emphasis"/>
          <w:rFonts w:ascii="Times New Roman" w:hAnsi="Times New Roman"/>
          <w:caps w:val="false"/>
          <w:smallCaps w:val="false"/>
          <w:sz w:val="20"/>
        </w:rPr>
        <w:t xml:space="preserve"> June 15, 2027, </w:t>
      </w:r>
      <w:r>
        <w:rPr>
          <w:rFonts w:ascii="Times New Roman" w:hAnsi="Times New Roman"/>
          <w:caps w:val="false"/>
          <w:smallCaps w:val="false"/>
          <w:sz w:val="20"/>
        </w:rPr>
        <w:t>unless earlier converted.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are Tilray’s general unsecured obligations and rank senior in right of payment to all of Tilray’s indebtedness that is expressly subordinated in right of payment to the notes; equal in right of payment with any of Tilray’s unsecured indebtedness that is </w:t>
      </w:r>
      <w:r>
        <w:rPr>
          <w:rStyle w:val="Emphasis"/>
          <w:rFonts w:ascii="Times New Roman" w:hAnsi="Times New Roman"/>
          <w:caps w:val="false"/>
          <w:smallCaps w:val="false"/>
          <w:sz w:val="20"/>
        </w:rPr>
        <w:t>not</w:t>
      </w:r>
      <w:r>
        <w:rPr>
          <w:rFonts w:ascii="Times New Roman" w:hAnsi="Times New Roman"/>
          <w:caps w:val="false"/>
          <w:smallCaps w:val="false"/>
          <w:sz w:val="20"/>
        </w:rPr>
        <w:t> so subordinated,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have the right to convert their TLRY </w:t>
      </w:r>
      <w:r>
        <w:rPr>
          <w:rStyle w:val="Emphasis"/>
          <w:rFonts w:ascii="Times New Roman" w:hAnsi="Times New Roman"/>
          <w:caps w:val="false"/>
          <w:smallCaps w:val="false"/>
          <w:sz w:val="20"/>
        </w:rPr>
        <w:t>27</w:t>
      </w:r>
      <w:r>
        <w:rPr>
          <w:rFonts w:ascii="Times New Roman" w:hAnsi="Times New Roman"/>
          <w:caps w:val="false"/>
          <w:smallCaps w:val="false"/>
          <w:sz w:val="20"/>
        </w:rPr>
        <w:t> Notes into shares of Tilray’s Common Stock at their option, at any time,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w:t>
      </w:r>
      <w:r>
        <w:rPr>
          <w:rStyle w:val="Emphasis"/>
          <w:rFonts w:ascii="Times New Roman" w:hAnsi="Times New Roman"/>
          <w:caps w:val="false"/>
          <w:smallCaps w:val="false"/>
          <w:sz w:val="20"/>
        </w:rPr>
        <w:t xml:space="preserve"> June 15, 2027. </w:t>
      </w:r>
      <w:r>
        <w:rPr>
          <w:rFonts w:ascii="Times New Roman" w:hAnsi="Times New Roman"/>
          <w:caps w:val="false"/>
          <w:smallCaps w:val="false"/>
          <w:sz w:val="20"/>
        </w:rPr>
        <w:t>The initial conversion rate is 376.6478 shares per $1,000 principal amount of TLRY </w:t>
      </w:r>
      <w:r>
        <w:rPr>
          <w:rStyle w:val="Emphasis"/>
          <w:rFonts w:ascii="Times New Roman" w:hAnsi="Times New Roman"/>
          <w:caps w:val="false"/>
          <w:smallCaps w:val="false"/>
          <w:sz w:val="20"/>
        </w:rPr>
        <w:t>27</w:t>
      </w:r>
      <w:r>
        <w:rPr>
          <w:rFonts w:ascii="Times New Roman" w:hAnsi="Times New Roman"/>
          <w:caps w:val="false"/>
          <w:smallCaps w:val="false"/>
          <w:sz w:val="20"/>
        </w:rPr>
        <w:t> Notes, which represents a conversion price of approximately $2.66 per share. The conversion rate and conversion price will be subject to adjustment upon the occurrence of certain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will be redeemable, in whole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part, at Tilray’s option at any time on or after </w:t>
      </w:r>
      <w:r>
        <w:rPr>
          <w:rStyle w:val="Emphasis"/>
          <w:rFonts w:ascii="Times New Roman" w:hAnsi="Times New Roman"/>
          <w:caps w:val="false"/>
          <w:smallCaps w:val="false"/>
          <w:sz w:val="20"/>
        </w:rPr>
        <w:t>June 20, 2025 </w:t>
      </w:r>
      <w:r>
        <w:rPr>
          <w:rFonts w:ascii="Times New Roman" w:hAnsi="Times New Roman"/>
          <w:caps w:val="false"/>
          <w:smallCaps w:val="false"/>
          <w:sz w:val="20"/>
        </w:rPr>
        <w:t>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Tilray to repurchase their TLRY </w:t>
      </w:r>
      <w:r>
        <w:rPr>
          <w:rStyle w:val="Emphasis"/>
          <w:rFonts w:ascii="Times New Roman" w:hAnsi="Times New Roman"/>
          <w:caps w:val="false"/>
          <w:smallCaps w:val="false"/>
          <w:sz w:val="20"/>
        </w:rPr>
        <w:t>27</w:t>
      </w:r>
      <w:r>
        <w:rPr>
          <w:rFonts w:ascii="Times New Roman" w:hAnsi="Times New Roman"/>
          <w:caps w:val="false"/>
          <w:smallCaps w:val="false"/>
          <w:sz w:val="20"/>
        </w:rPr>
        <w:t> Notes for cash. The repurchase price will be equal to the principal amount of the notes to be repurchased, plus accrued and unpaid interest, if any, to, but excluding, the applicable repurchase date. In connection with the Company’s offering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used by purchasers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receive any proceeds from the sale of the Borrowed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the Company exchanged an aggregate $67,500 of its TLRY </w:t>
      </w:r>
      <w:r>
        <w:rPr>
          <w:rStyle w:val="Emphasis"/>
          <w:rFonts w:ascii="Times New Roman" w:hAnsi="Times New Roman"/>
          <w:caps w:val="false"/>
          <w:smallCaps w:val="false"/>
          <w:sz w:val="20"/>
        </w:rPr>
        <w:t>27</w:t>
      </w:r>
      <w:r>
        <w:rPr>
          <w:rFonts w:ascii="Times New Roman" w:hAnsi="Times New Roman"/>
          <w:caps w:val="false"/>
          <w:smallCaps w:val="false"/>
          <w:sz w:val="20"/>
        </w:rPr>
        <w:t> Notes for cancellation, by issuing 71,755,054 shares of Common Stock and paying $9,335 in cash to settle accrued interest. Upon exchanging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 portion of the settlement consideration was allocated to the equity component of the instrument and was recognized as a $19,028 reduction of additional paid-in capital in the Consolidated Statements of Stockholders’ Equity. Additionally, this repurchase resulted in a gain of $5,792 which was recorded in other non-operating (losses) gains, net as shown in Note </w:t>
      </w:r>
      <w:r>
        <w:rPr>
          <w:rStyle w:val="Emphasis"/>
          <w:rFonts w:ascii="Times New Roman" w:hAnsi="Times New Roman"/>
          <w:caps w:val="false"/>
          <w:smallCaps w:val="false"/>
          <w:sz w:val="20"/>
        </w:rPr>
        <w:t>27</w:t>
      </w:r>
      <w:r>
        <w:rPr>
          <w:rFonts w:ascii="Times New Roman" w:hAnsi="Times New Roman"/>
          <w:caps w:val="false"/>
          <w:smallCaps w:val="false"/>
          <w:sz w:val="20"/>
        </w:rPr>
        <w:t> (Non-operating income (expense)). Following consummation of the exchange, the number of outstanding Borrowed Shares of Common Stock was reduced by 15,065,217 shares which were then returned as Treasury Stock. As of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a total of 24,343,783 and 38,500,000 shares remained outstanding under the share lending arrangement,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fiscal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the Company recognized interest expense of $7,775 and accretion of amortized discount interest of $10,863. For the same periods in the prior year Company recognized interest expense of $8,970 and accretion of amortized discount interest of $11,516.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31, 2025, </w:t>
      </w:r>
      <w:r>
        <w:rPr>
          <w:rFonts w:ascii="Times New Roman" w:hAnsi="Times New Roman"/>
          <w:caps w:val="false"/>
          <w:smallCaps w:val="false"/>
          <w:sz w:val="20"/>
        </w:rPr>
        <w:t>there was $105,000 principal outstanding compared to $172,500 principal outstanding as of </w:t>
      </w:r>
      <w:r>
        <w:rPr>
          <w:rStyle w:val="Emphasis"/>
          <w:rFonts w:ascii="Times New Roman" w:hAnsi="Times New Roman"/>
          <w:caps w:val="false"/>
          <w:smallCaps w:val="false"/>
          <w:sz w:val="20"/>
        </w:rPr>
        <w:t xml:space="preserve"> May 31, 2024</w:t>
      </w:r>
      <w:r>
        <w:rPr>
          <w:rFonts w:ascii="Times New Roman" w:hAnsi="Times New Roman"/>
          <w:caps w:val="false"/>
          <w:smallCaps w:val="false"/>
          <w:sz w:val="20"/>
        </w:rPr>
        <w:t> under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See Note </w:t>
      </w:r>
      <w:r>
        <w:rPr>
          <w:rStyle w:val="Emphasis"/>
          <w:rFonts w:ascii="Times New Roman" w:hAnsi="Times New Roman"/>
          <w:caps w:val="false"/>
          <w:smallCaps w:val="false"/>
          <w:sz w:val="20"/>
        </w:rPr>
        <w:t>31</w:t>
      </w:r>
      <w:r>
        <w:rPr>
          <w:rFonts w:ascii="Times New Roman" w:hAnsi="Times New Roman"/>
          <w:caps w:val="false"/>
          <w:smallCaps w:val="false"/>
          <w:sz w:val="20"/>
        </w:rPr>
        <w:t xml:space="preserve"> (Subsequent events) for additional transactions.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97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80" w:right="0" w:hanging="0"/>
        <w:jc w:val="left"/>
        <w:rPr/>
      </w:pPr>
      <w:r>
        <w:rPr>
          <w:rFonts w:ascii="Times New Roman" w:hAnsi="Times New Roman"/>
          <w:i/>
          <w:caps w:val="false"/>
          <w:smallCaps w:val="false"/>
          <w:sz w:val="20"/>
        </w:rPr>
        <w:t xml:space="preserve">APHA </w:t>
      </w:r>
      <w:r>
        <w:rPr>
          <w:rStyle w:val="Emphasis"/>
          <w:rFonts w:ascii="Times New Roman" w:hAnsi="Times New Roman"/>
          <w:i/>
          <w:caps w:val="false"/>
          <w:smallCaps w:val="false"/>
          <w:sz w:val="20"/>
        </w:rPr>
        <w:t>24</w:t>
      </w:r>
    </w:p>
    <w:p>
      <w:pPr>
        <w:pStyle w:val="TextBody"/>
        <w:bidi w:val="0"/>
        <w:spacing w:before="0" w:after="0"/>
        <w:ind w:left="0" w:right="0" w:hanging="0"/>
        <w:jc w:val="left"/>
        <w:rPr>
          <w:caps w:val="false"/>
          <w:smallCaps w:val="false"/>
        </w:rPr>
      </w:pPr>
      <w:r>
        <w:rPr>
          <w:caps w:val="false"/>
          <w:smallCaps w:val="false"/>
        </w:rPr>
        <w:t> </w:t>
      </w:r>
    </w:p>
    <w:tbl>
      <w:tblPr>
        <w:tblW w:w="4239" w:type="dxa"/>
        <w:jc w:val="left"/>
        <w:tblInd w:w="0" w:type="dxa"/>
        <w:tblLayout w:type="fixed"/>
        <w:tblCellMar>
          <w:top w:w="0" w:type="dxa"/>
          <w:left w:w="0" w:type="dxa"/>
          <w:bottom w:w="0" w:type="dxa"/>
          <w:right w:w="0" w:type="dxa"/>
        </w:tblCellMar>
      </w:tblPr>
      <w:tblGrid>
        <w:gridCol w:w="2405"/>
        <w:gridCol w:w="60"/>
        <w:gridCol w:w="244"/>
        <w:gridCol w:w="450"/>
        <w:gridCol w:w="60"/>
        <w:gridCol w:w="60"/>
        <w:gridCol w:w="125"/>
        <w:gridCol w:w="755"/>
        <w:gridCol w:w="8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5.25% Contractual debenture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350,000</w:t>
            </w:r>
          </w:p>
        </w:tc>
        <w:tc>
          <w:tcPr>
            <w:tcW w:w="8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Debt settlement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(349,670</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adjustment</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APHA </w:t>
      </w:r>
      <w:r>
        <w:rPr>
          <w:rStyle w:val="Emphasis"/>
          <w:rFonts w:ascii="Times New Roman" w:hAnsi="Times New Roman"/>
          <w:caps w:val="false"/>
          <w:smallCaps w:val="false"/>
          <w:sz w:val="20"/>
        </w:rPr>
        <w:t>24</w:t>
      </w:r>
      <w:r>
        <w:rPr>
          <w:rFonts w:ascii="Times New Roman" w:hAnsi="Times New Roman"/>
          <w:caps w:val="false"/>
          <w:smallCaps w:val="false"/>
          <w:sz w:val="20"/>
        </w:rPr>
        <w:t> convertible debentures were entered into in </w:t>
      </w:r>
      <w:r>
        <w:rPr>
          <w:rStyle w:val="Emphasis"/>
          <w:rFonts w:ascii="Times New Roman" w:hAnsi="Times New Roman"/>
          <w:caps w:val="false"/>
          <w:smallCaps w:val="false"/>
          <w:sz w:val="20"/>
        </w:rPr>
        <w:t xml:space="preserve"> April 2019, </w:t>
      </w:r>
      <w:r>
        <w:rPr>
          <w:rFonts w:ascii="Times New Roman" w:hAnsi="Times New Roman"/>
          <w:caps w:val="false"/>
          <w:smallCaps w:val="false"/>
          <w:sz w:val="20"/>
        </w:rPr>
        <w:t>in the principal amount of $350,000, bore interest at a rate of 5.25% per annum, and were payable semi-annually in arrears on </w:t>
      </w:r>
      <w:r>
        <w:rPr>
          <w:rStyle w:val="Emphasis"/>
          <w:rFonts w:ascii="Times New Roman" w:hAnsi="Times New Roman"/>
          <w:caps w:val="false"/>
          <w:smallCaps w:val="false"/>
          <w:sz w:val="20"/>
        </w:rPr>
        <w:t xml:space="preserve"> June 1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 </w:t>
      </w:r>
      <w:r>
        <w:rPr>
          <w:rFonts w:ascii="Times New Roman" w:hAnsi="Times New Roman"/>
          <w:caps w:val="false"/>
          <w:smallCaps w:val="false"/>
          <w:sz w:val="20"/>
        </w:rPr>
        <w:t>of each year, and matured on </w:t>
      </w:r>
      <w:r>
        <w:rPr>
          <w:rStyle w:val="Emphasis"/>
          <w:rFonts w:ascii="Times New Roman" w:hAnsi="Times New Roman"/>
          <w:caps w:val="false"/>
          <w:smallCaps w:val="false"/>
          <w:sz w:val="20"/>
        </w:rPr>
        <w:t xml:space="preserve"> June 1, 2024 (</w:t>
      </w:r>
      <w:r>
        <w:rPr>
          <w:rFonts w:ascii="Times New Roman" w:hAnsi="Times New Roman"/>
          <w:caps w:val="false"/>
          <w:smallCaps w:val="false"/>
          <w:sz w:val="20"/>
        </w:rPr>
        <w:t>the “APHA </w:t>
      </w:r>
      <w:r>
        <w:rPr>
          <w:rStyle w:val="Emphasis"/>
          <w:rFonts w:ascii="Times New Roman" w:hAnsi="Times New Roman"/>
          <w:caps w:val="false"/>
          <w:smallCaps w:val="false"/>
          <w:sz w:val="20"/>
        </w:rPr>
        <w:t>24</w:t>
      </w:r>
      <w:r>
        <w:rPr>
          <w:rFonts w:ascii="Times New Roman" w:hAnsi="Times New Roman"/>
          <w:caps w:val="false"/>
          <w:smallCaps w:val="false"/>
          <w:sz w:val="20"/>
        </w:rPr>
        <w:t> Notes”). On </w:t>
      </w:r>
      <w:r>
        <w:rPr>
          <w:rStyle w:val="Emphasis"/>
          <w:rFonts w:ascii="Times New Roman" w:hAnsi="Times New Roman"/>
          <w:caps w:val="false"/>
          <w:smallCaps w:val="false"/>
          <w:sz w:val="20"/>
        </w:rPr>
        <w:t xml:space="preserve"> June 1, 2024, </w:t>
      </w:r>
      <w:r>
        <w:rPr>
          <w:rFonts w:ascii="Times New Roman" w:hAnsi="Times New Roman"/>
          <w:caps w:val="false"/>
          <w:smallCaps w:val="false"/>
          <w:sz w:val="20"/>
        </w:rPr>
        <w:t>the Company repaid the remaining principal of the APHA </w:t>
      </w:r>
      <w:r>
        <w:rPr>
          <w:rStyle w:val="Emphasis"/>
          <w:rFonts w:ascii="Times New Roman" w:hAnsi="Times New Roman"/>
          <w:caps w:val="false"/>
          <w:smallCaps w:val="false"/>
          <w:sz w:val="20"/>
        </w:rPr>
        <w:t>24</w:t>
      </w:r>
      <w:r>
        <w:rPr>
          <w:rFonts w:ascii="Times New Roman" w:hAnsi="Times New Roman"/>
          <w:caps w:val="false"/>
          <w:smallCaps w:val="false"/>
          <w:sz w:val="20"/>
        </w:rPr>
        <w:t> Notes in cash upon maturity.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18.</w:t>
            </w:r>
          </w:p>
        </w:tc>
        <w:tc>
          <w:tcPr>
            <w:tcW w:w="15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Warrant Liability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there were 6,209,000 warrants outstanding, with an original exercise price of $5.95 per warrant, expiring </w:t>
      </w:r>
      <w:r>
        <w:rPr>
          <w:rStyle w:val="Emphasis"/>
          <w:rFonts w:ascii="Times New Roman" w:hAnsi="Times New Roman"/>
          <w:caps w:val="false"/>
          <w:smallCaps w:val="false"/>
          <w:sz w:val="20"/>
        </w:rPr>
        <w:t xml:space="preserve">September 17, 2025. </w:t>
      </w:r>
      <w:r>
        <w:rPr>
          <w:rFonts w:ascii="Times New Roman" w:hAnsi="Times New Roman"/>
          <w:caps w:val="false"/>
          <w:smallCaps w:val="false"/>
          <w:sz w:val="20"/>
        </w:rPr>
        <w:t>Each warrant is exercisable for one common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the Company issued shares which triggered the anti-dilution price protection feature lowering the exercise price to $0.42. These warrants are classified as liabilities as they are to be settled in registered shares, and the registration statement is required to be active, unless such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an applicable exemption from registration requirements. The holders, at their sole discretion,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affect a cashless exercise, and be issued exempt securities in accordance with Section </w:t>
      </w:r>
      <w:r>
        <w:rPr>
          <w:rStyle w:val="Emphasis"/>
          <w:rFonts w:ascii="Times New Roman" w:hAnsi="Times New Roman"/>
          <w:caps w:val="false"/>
          <w:smallCaps w:val="false"/>
          <w:sz w:val="20"/>
        </w:rPr>
        <w:t>3</w:t>
      </w:r>
      <w:r>
        <w:rPr>
          <w:rFonts w:ascii="Times New Roman" w:hAnsi="Times New Roman"/>
          <w:caps w:val="false"/>
          <w:smallCaps w:val="false"/>
          <w:sz w:val="20"/>
        </w:rPr>
        <w:t>(a)(</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Act. In the event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maintain an effective registration statement,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pay a daily cash penalty equal to 1% of the number of shares of common stock due to be issued multiplied by any trading price of the common stock between the exercise date and the share delivery date, as selected by the holder. Alternatively,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deliver registered common stock purchased by the Company in the open market.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be required to pay cash if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sufficient authorized shares to deliver to the holders upon exercise.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 Company estimated the fair value of the warrant liability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at $0.18 per warrant using the Black Scholes pricing model (Level </w:t>
      </w:r>
      <w:r>
        <w:rPr>
          <w:rStyle w:val="Emphasis"/>
          <w:rFonts w:ascii="Times New Roman" w:hAnsi="Times New Roman"/>
          <w:caps w:val="false"/>
          <w:smallCaps w:val="false"/>
          <w:sz w:val="20"/>
        </w:rPr>
        <w:t>3</w:t>
      </w:r>
      <w:r>
        <w:rPr>
          <w:rFonts w:ascii="Times New Roman" w:hAnsi="Times New Roman"/>
          <w:caps w:val="false"/>
          <w:smallCaps w:val="false"/>
          <w:sz w:val="20"/>
        </w:rPr>
        <w:t>) with the following assumptions: Risk-free interest rate of 2.61%, expected volatility of 50%, expected term of 0.3 years, strike price of $0.42 and fair value of common stock of $0.59.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Expected volatility is based on both historical and implied volatility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19.</w:t>
            </w:r>
          </w:p>
        </w:tc>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Stockholders</w:t>
            </w:r>
            <w:r>
              <w:rPr>
                <w:rFonts w:ascii="Times New Roman" w:hAnsi="Times New Roman"/>
                <w:caps w:val="false"/>
                <w:smallCaps w:val="false"/>
                <w:sz w:val="20"/>
              </w:rPr>
              <w:t>’ </w:t>
            </w:r>
            <w:r>
              <w:rPr>
                <w:rFonts w:ascii="Times New Roman" w:hAnsi="Times New Roman"/>
                <w:b/>
                <w:caps w:val="false"/>
                <w:smallCaps w:val="false"/>
                <w:sz w:val="20"/>
              </w:rPr>
              <w:t xml:space="preserve">equity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Pursuant to its Fifth Amended and Restated Certificate of Incorporation, the total number of shares that the Company is authorized to issue is 1,426,000,000 shares, of which 1,416,000,000 shares are Common Stock (the “Common Stock”), and 10,000,000 shares of which are Preferred Stock (the “Preferred Stock”). As of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the Company had issued and outstanding 1,060,678,745 shares of Common Stock, 2,004,218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the Company issued the following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3" w:type="dxa"/>
            <w:tcBorders/>
            <w:vAlign w:val="center"/>
          </w:tcPr>
          <w:p>
            <w:pPr>
              <w:pStyle w:val="TableContents"/>
              <w:bidi w:val="0"/>
              <w:spacing w:before="0" w:after="283"/>
              <w:jc w:val="both"/>
              <w:rPr/>
            </w:pPr>
            <w:r>
              <w:rPr/>
              <w:t>135,938,741 shares and 4,688,280 Treasury Stock under its At-the-Market (“ATM”) program for gross proceeds of $163,413. The Company paid $2,225 in commissions and other fees associated with these issuances for net proceeds of $161,188.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4" w:type="dxa"/>
            <w:tcBorders/>
            <w:vAlign w:val="center"/>
          </w:tcPr>
          <w:p>
            <w:pPr>
              <w:pStyle w:val="TableContents"/>
              <w:bidi w:val="0"/>
              <w:spacing w:before="0" w:after="283"/>
              <w:jc w:val="both"/>
              <w:rPr/>
            </w:pPr>
            <w:r>
              <w:rPr/>
              <w:t>71,755,054 shares and 7,253,625 Treasury Stock were issued to exchange the aggregate principal of $67,500 of its TLRY </w:t>
            </w:r>
            <w:r>
              <w:rPr>
                <w:rStyle w:val="Emphasis"/>
              </w:rPr>
              <w:t>27</w:t>
            </w:r>
            <w:r>
              <w:rPr/>
              <w:t> Notes for cancellation. Upon exchanging the TLRY </w:t>
            </w:r>
            <w:r>
              <w:rPr>
                <w:rStyle w:val="Emphasis"/>
              </w:rPr>
              <w:t>27</w:t>
            </w:r>
            <w:r>
              <w:rPr/>
              <w:t> Notes, a portion of the settlement consideration was allocated to the equity component of the instrument and was recognized as a $19,028 reduction of additional paid-in capital. Following consummation of the exchange, the number of outstanding Borrowed Shares of Common Stock was reduced by approximately 15,065,217 shares which were then returned as Treasury Stock, see Note </w:t>
            </w:r>
            <w:r>
              <w:rPr>
                <w:rStyle w:val="Emphasis"/>
              </w:rPr>
              <w:t>13</w:t>
            </w:r>
            <w:r>
              <w:rPr/>
              <w:t> (Convertible debentures payable). The net effect on the Treasury Stock in relation to this transaction was 7,811,592.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5" w:type="dxa"/>
            <w:tcBorders/>
            <w:vAlign w:val="center"/>
          </w:tcPr>
          <w:p>
            <w:pPr>
              <w:pStyle w:val="TableContents"/>
              <w:bidi w:val="0"/>
              <w:spacing w:before="0" w:after="283"/>
              <w:jc w:val="both"/>
              <w:rPr/>
            </w:pPr>
            <w:r>
              <w:rPr/>
              <w:t>13,217,588 shares of Common Stock to settle dividends payable to the non-controlling shareholders of Aphria Diamond in the amount of $23,824.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62" w:type="dxa"/>
            <w:tcBorders/>
            <w:vAlign w:val="center"/>
          </w:tcPr>
          <w:p>
            <w:pPr>
              <w:pStyle w:val="TableContents"/>
              <w:bidi w:val="0"/>
              <w:spacing w:before="0" w:after="283"/>
              <w:jc w:val="both"/>
              <w:rPr/>
            </w:pPr>
            <w:r>
              <w:rPr/>
              <w:t>7,841,989 shares in connection with the exercise of previously awarded stock-based compensation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aggregate, during the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15,065,217 shares were returned in connection with the share lending agreement related to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which were recorded as Treasury stock, of which 13,060,999 were re-issued in connection with our ATM and in the exchange for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w:t>
      </w:r>
    </w:p>
    <w:p>
      <w:pPr>
        <w:pStyle w:val="TextBody"/>
        <w:bidi w:val="0"/>
        <w:spacing w:before="0" w:after="0"/>
        <w:ind w:left="0" w:right="0" w:hanging="0"/>
        <w:jc w:val="righ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stock-based compensation plans as disclosed in our Annual Financial Statements.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the total stock-based compensation was $ 24,289. For the fiscal years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the total stock-based compensation was $31,769 and $39,595,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the Company granted 13,505,127 time-based RSUs, and nil performance-based RSUs.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the Company granted 13,680,556 time-based RSUs and 7,566,146 performance-based RSUs. The 7,566,146 performance-based RSUs, issued during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contain certain performance conditions that will only be set at a future date, and, therefore, for accounting purposes, the grant date has </w:t>
      </w:r>
      <w:r>
        <w:rPr>
          <w:rStyle w:val="Emphasis"/>
          <w:rFonts w:ascii="Times New Roman" w:hAnsi="Times New Roman"/>
          <w:caps w:val="false"/>
          <w:smallCaps w:val="false"/>
          <w:sz w:val="20"/>
        </w:rPr>
        <w:t>not</w:t>
      </w:r>
      <w:r>
        <w:rPr>
          <w:rFonts w:ascii="Times New Roman" w:hAnsi="Times New Roman"/>
          <w:caps w:val="false"/>
          <w:smallCaps w:val="false"/>
          <w:sz w:val="20"/>
        </w:rPr>
        <w:t> been met. The Company operates multiple stock-based award plans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Tilray </w:t>
      </w: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and Original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(EIP) authorizes the award of stock options, restricted stock units (“RSUs”) and stock appreciation rights (“SARs”) to employees, including officers, non-employee directors and consultants and the employees and consultants of our affiliates. Shares subject to awards granted under the EIP that expire or terminate without being exercised in full, or that are paid out in cash rather than in shares,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number of shares available for issuance under the EIP. Additionally, shares become available for future grant under the EIP if they were issued under the EIP and if the Company repurchases them or they are forfeited. This includes shares used to pay the exercise price of an award or to satisfy the tax withholding obligations related to an award. The maximum number of shares of common stock subject to stock awards granted under the EIP or otherwise during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calendar year to any non-employee director, taken together with any cash fees paid by the Company to such non-employee director during such calendar year for service on the Board of Directors,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five hundred thousand dollars in total value, calculating the value of any such stock awards based on the grant date fair value of such stock awards for financial reporting purposes, or, with respect to the calendar year in which a nonemployee director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appointed or elected to our Board of Directors, one million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 options represent the right to purchase shares of our common stock on the date of exercise at a stated exercise price. The exercise price of a stock option generally must be at least equal to the fair market value of our shares of common stock on the date of grant. The Company’s compensation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for stock options to be exercised only as they vest or to be immediately exercisable with any shares issued on exercise being subject to the Company’s right of repurchase that lapses as the shares vest. The maximum term of stock options granted under the EIP is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RSUs represent a right to receive common stock or their cash equivalent for each RSU that vests, which vesting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based on time or achievement of performance conditions. Unless otherwise determined by our compensation committee at the time of grant, vesting will cease on the date the participant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provides services to the Company and unvested shares will be forfeited. If an RSU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forfeited, then on the date specified in the RSUs, the Company will deliver to the holder a number of whole shares of common stock, cash or a combination of shares of our common stock and cash. Additionally, dividend equivalents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SARs provide for a payment, or payments, in cash or shares of common stock to the holder based upon the difference between the fair market value of shares of our common stock on the date of exercise and the stated exercise price. The maximum term of SARs granted under the EIP is ten years. No SARs were issued to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EIP permits the grant of performance-based stock and cash awards. The performance goals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based on Company-wide performance or performance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business units, divisions, affiliates or business segments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absolute or relative to the performance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comparable companies or the performance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conjunction with the reverse acquisition with Aphria Inc on </w:t>
      </w:r>
      <w:r>
        <w:rPr>
          <w:rStyle w:val="Emphasis"/>
          <w:rFonts w:ascii="Times New Roman" w:hAnsi="Times New Roman"/>
          <w:caps w:val="false"/>
          <w:smallCaps w:val="false"/>
          <w:sz w:val="20"/>
        </w:rPr>
        <w:t xml:space="preserve">April 30, 2021, </w:t>
      </w:r>
      <w:r>
        <w:rPr>
          <w:rFonts w:ascii="Times New Roman" w:hAnsi="Times New Roman"/>
          <w:caps w:val="false"/>
          <w:smallCaps w:val="false"/>
          <w:sz w:val="20"/>
        </w:rPr>
        <w:t xml:space="preserve">9,806,851 shares of common stock had been reserved for issuance under the EIP. The number of shares of common stock reserved for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EIP will automatically increase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calendar year, for a period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than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starting on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 xml:space="preserve">January 1, 2027, </w:t>
      </w:r>
      <w:r>
        <w:rPr>
          <w:rFonts w:ascii="Times New Roman" w:hAnsi="Times New Roman"/>
          <w:caps w:val="false"/>
          <w:smallCaps w:val="false"/>
          <w:sz w:val="20"/>
        </w:rPr>
        <w:t xml:space="preserve">in an amount equal to 4% of the total number of shares of our common stock outstanding on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of the prior calendar year, or a lesser number of shares determined by our Board of Directors. The shares reserved include only the outstanding shares related to stock options and RSUs and excludes stock options outstanding under the Original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employees and other service providers of the Company participate in the equity-based compensation plan of Privateer Holdings, Inc (the “Original Plan”) under the terms and valuation method detailed below. 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 stock options were granted under the EIP during the fiscal years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Stock-based activity under the EIP and Original Plan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7482" w:type="dxa"/>
        <w:jc w:val="left"/>
        <w:tblInd w:w="0" w:type="dxa"/>
        <w:tblLayout w:type="fixed"/>
        <w:tblCellMar>
          <w:top w:w="0" w:type="dxa"/>
          <w:left w:w="0" w:type="dxa"/>
          <w:bottom w:w="0" w:type="dxa"/>
          <w:right w:w="0" w:type="dxa"/>
        </w:tblCellMar>
      </w:tblPr>
      <w:tblGrid>
        <w:gridCol w:w="3005"/>
        <w:gridCol w:w="60"/>
        <w:gridCol w:w="60"/>
        <w:gridCol w:w="845"/>
        <w:gridCol w:w="80"/>
        <w:gridCol w:w="60"/>
        <w:gridCol w:w="179"/>
        <w:gridCol w:w="695"/>
        <w:gridCol w:w="60"/>
        <w:gridCol w:w="60"/>
        <w:gridCol w:w="175"/>
        <w:gridCol w:w="819"/>
        <w:gridCol w:w="60"/>
        <w:gridCol w:w="60"/>
        <w:gridCol w:w="389"/>
        <w:gridCol w:w="815"/>
        <w:gridCol w:w="60"/>
      </w:tblGrid>
      <w:tr>
        <w:trPr/>
        <w:tc>
          <w:tcPr>
            <w:tcW w:w="3005"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EIP Time-based stock option activity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2,797,787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(11,758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jc w:val="left"/>
              <w:rPr/>
            </w:pPr>
            <w:r>
              <w:rPr/>
              <w:t> </w:t>
            </w:r>
          </w:p>
        </w:tc>
      </w:tr>
      <w:tr>
        <w:trPr/>
        <w:tc>
          <w:tcPr>
            <w:tcW w:w="300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May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067" w:type="dxa"/>
        <w:jc w:val="left"/>
        <w:tblInd w:w="0" w:type="dxa"/>
        <w:tblLayout w:type="fixed"/>
        <w:tblCellMar>
          <w:top w:w="0" w:type="dxa"/>
          <w:left w:w="0" w:type="dxa"/>
          <w:bottom w:w="0" w:type="dxa"/>
          <w:right w:w="0" w:type="dxa"/>
        </w:tblCellMar>
      </w:tblPr>
      <w:tblGrid>
        <w:gridCol w:w="3785"/>
        <w:gridCol w:w="60"/>
        <w:gridCol w:w="60"/>
        <w:gridCol w:w="650"/>
        <w:gridCol w:w="80"/>
        <w:gridCol w:w="60"/>
        <w:gridCol w:w="215"/>
        <w:gridCol w:w="659"/>
        <w:gridCol w:w="60"/>
        <w:gridCol w:w="60"/>
        <w:gridCol w:w="175"/>
        <w:gridCol w:w="819"/>
        <w:gridCol w:w="60"/>
        <w:gridCol w:w="60"/>
        <w:gridCol w:w="297"/>
        <w:gridCol w:w="907"/>
        <w:gridCol w:w="60"/>
      </w:tblGrid>
      <w:tr>
        <w:trPr/>
        <w:tc>
          <w:tcPr>
            <w:tcW w:w="3785"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Original plan time-based stock option activity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(36,206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688" w:type="dxa"/>
        <w:jc w:val="left"/>
        <w:tblInd w:w="0" w:type="dxa"/>
        <w:tblLayout w:type="fixed"/>
        <w:tblCellMar>
          <w:top w:w="0" w:type="dxa"/>
          <w:left w:w="0" w:type="dxa"/>
          <w:bottom w:w="0" w:type="dxa"/>
          <w:right w:w="0" w:type="dxa"/>
        </w:tblCellMar>
      </w:tblPr>
      <w:tblGrid>
        <w:gridCol w:w="4010"/>
        <w:gridCol w:w="60"/>
        <w:gridCol w:w="60"/>
        <w:gridCol w:w="1010"/>
        <w:gridCol w:w="80"/>
        <w:gridCol w:w="60"/>
        <w:gridCol w:w="219"/>
        <w:gridCol w:w="671"/>
        <w:gridCol w:w="60"/>
        <w:gridCol w:w="60"/>
        <w:gridCol w:w="135"/>
        <w:gridCol w:w="859"/>
        <w:gridCol w:w="60"/>
        <w:gridCol w:w="60"/>
        <w:gridCol w:w="209"/>
        <w:gridCol w:w="995"/>
        <w:gridCol w:w="80"/>
      </w:tblGrid>
      <w:tr>
        <w:trPr/>
        <w:tc>
          <w:tcPr>
            <w:tcW w:w="4010"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Time-based and Performance-based RSU activity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Time-based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26,134,852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47,043</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13,774,358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5,779</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(10,027,649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(2,082,103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(93,750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27,705,708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Predecessor Plan - Aphria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Aphria had established the Aphria Omnibus Incentive Plan (the “Aphria Predecessor Plan”). Following stockholder approval of the EIP,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awards have been granted under the Aphria Predecessor Plan. In connection with the reverse acquisition Aphria stock options, Aphria RSUs and DSUs issued under the Predecessor Plan were exchanged for options, RSUs under the EIP. As a result of the modification, all grantees were affected, and the Company recognized </w:t>
      </w:r>
      <w:r>
        <w:rPr>
          <w:rStyle w:val="Emphasis"/>
          <w:rFonts w:ascii="Times New Roman" w:hAnsi="Times New Roman"/>
          <w:caps w:val="false"/>
          <w:smallCaps w:val="false"/>
          <w:sz w:val="20"/>
        </w:rPr>
        <w:t>nil</w:t>
      </w:r>
      <w:r>
        <w:rPr>
          <w:rFonts w:ascii="Times New Roman" w:hAnsi="Times New Roman"/>
          <w:caps w:val="false"/>
          <w:smallCaps w:val="false"/>
          <w:sz w:val="20"/>
        </w:rPr>
        <w:t xml:space="preserve"> incremental compensation cost.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No stock options were granted under the Aphria Predecessor Plan during the fiscal years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there were 45,223 awards outstanding and which are vested and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 option, RSU and DSU activity for the Company under the Predecessor Plan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u w:val="single"/>
        </w:rPr>
      </w:pPr>
      <w:r>
        <w:rPr>
          <w:rFonts w:ascii="Times New Roman" w:hAnsi="Times New Roman"/>
          <w:i/>
          <w:caps w:val="false"/>
          <w:smallCaps w:val="false"/>
          <w:sz w:val="20"/>
          <w:u w:val="single"/>
        </w:rPr>
        <w:t>Time-based stock option activity</w:t>
      </w:r>
    </w:p>
    <w:p>
      <w:pPr>
        <w:pStyle w:val="TextBody"/>
        <w:bidi w:val="0"/>
        <w:spacing w:before="0" w:after="0"/>
        <w:ind w:left="0" w:right="0" w:hanging="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170"/>
        <w:gridCol w:w="60"/>
        <w:gridCol w:w="65"/>
        <w:gridCol w:w="824"/>
        <w:gridCol w:w="80"/>
        <w:gridCol w:w="60"/>
        <w:gridCol w:w="201"/>
        <w:gridCol w:w="614"/>
        <w:gridCol w:w="60"/>
        <w:gridCol w:w="60"/>
        <w:gridCol w:w="264"/>
        <w:gridCol w:w="551"/>
        <w:gridCol w:w="60"/>
        <w:gridCol w:w="60"/>
        <w:gridCol w:w="135"/>
        <w:gridCol w:w="859"/>
        <w:gridCol w:w="60"/>
        <w:gridCol w:w="60"/>
        <w:gridCol w:w="166"/>
        <w:gridCol w:w="724"/>
        <w:gridCol w:w="60"/>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 during the year</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rStyle w:val="Emphasis"/>
                <w:rFonts w:ascii="Times New Roman" w:hAnsi="Times New Roman"/>
                <w:sz w:val="20"/>
              </w:rPr>
              <w:t>N/A</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 during the year</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rStyle w:val="Emphasis"/>
                <w:rFonts w:ascii="Times New Roman" w:hAnsi="Times New Roman"/>
                <w:sz w:val="20"/>
              </w:rPr>
              <w:t>N/A</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 during the year</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rStyle w:val="Emphasis"/>
                <w:rFonts w:ascii="Times New Roman" w:hAnsi="Times New Roman"/>
                <w:sz w:val="20"/>
              </w:rPr>
              <w:t>N/A</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 during the year</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(388,989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N/A</w:t>
            </w:r>
          </w:p>
        </w:tc>
        <w:tc>
          <w:tcPr>
            <w:tcW w:w="60" w:type="dxa"/>
            <w:tcBorders/>
            <w:shd w:fill="CCEEFF" w:val="clear"/>
            <w:vAlign w:val="center"/>
          </w:tcPr>
          <w:p>
            <w:pPr>
              <w:pStyle w:val="TableContents"/>
              <w:bidi w:val="0"/>
              <w:spacing w:before="0" w:after="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end of the year</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exercisable, end of the year</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u w:val="single"/>
        </w:rPr>
      </w:pPr>
      <w:r>
        <w:rPr>
          <w:rFonts w:ascii="Times New Roman" w:hAnsi="Times New Roman"/>
          <w:i/>
          <w:caps w:val="false"/>
          <w:smallCaps w:val="false"/>
          <w:sz w:val="20"/>
          <w:u w:val="single"/>
        </w:rPr>
        <w:t>Time-based and Performance-based RSU activity</w:t>
      </w:r>
    </w:p>
    <w:p>
      <w:pPr>
        <w:pStyle w:val="TextBody"/>
        <w:bidi w:val="0"/>
        <w:spacing w:before="0" w:after="0"/>
        <w:ind w:left="0" w:right="0" w:hanging="0"/>
        <w:jc w:val="left"/>
        <w:rPr>
          <w:caps w:val="false"/>
          <w:smallCaps w:val="false"/>
        </w:rPr>
      </w:pPr>
      <w:r>
        <w:rPr>
          <w:caps w:val="false"/>
          <w:smallCaps w:val="false"/>
        </w:rPr>
        <w:t> </w:t>
      </w:r>
    </w:p>
    <w:tbl>
      <w:tblPr>
        <w:tblW w:w="4879" w:type="dxa"/>
        <w:jc w:val="left"/>
        <w:tblInd w:w="0" w:type="dxa"/>
        <w:tblLayout w:type="fixed"/>
        <w:tblCellMar>
          <w:top w:w="0" w:type="dxa"/>
          <w:left w:w="0" w:type="dxa"/>
          <w:bottom w:w="0" w:type="dxa"/>
          <w:right w:w="0" w:type="dxa"/>
        </w:tblCellMar>
      </w:tblPr>
      <w:tblGrid>
        <w:gridCol w:w="2780"/>
        <w:gridCol w:w="60"/>
        <w:gridCol w:w="81"/>
        <w:gridCol w:w="943"/>
        <w:gridCol w:w="80"/>
        <w:gridCol w:w="60"/>
        <w:gridCol w:w="167"/>
        <w:gridCol w:w="648"/>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 2025</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Time- based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 per</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 during the year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during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(33,276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0.46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 during the year</w:t>
            </w:r>
          </w:p>
        </w:tc>
        <w:tc>
          <w:tcPr>
            <w:tcW w:w="60" w:type="dxa"/>
            <w:tcBorders/>
            <w:shd w:fill="FFFFFF" w:val="clear"/>
            <w:vAlign w:val="center"/>
          </w:tcPr>
          <w:p>
            <w:pPr>
              <w:pStyle w:val="TableContents"/>
              <w:bidi w:val="0"/>
              <w:spacing w:before="0" w:after="0"/>
              <w:ind w:left="0" w:right="0" w:hanging="0"/>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Predecessor Plan - HEXO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Prior to the acquisition of HEXO Corp, HEXO had established the Formal Plan and Omnibus Incentive Plan (the “HEXO Predecessor Plan”). In connection with the acquisition, HEXO stock options issued under these plans were exchanged at a rate of 0.4352 for 1,267,793 options under the Tilray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EIP. As a result of the modification, all grantees were affected, and the Company recognized nil incremental compensation cost. Following stockholder approval of the EIP,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awards have been granted under the Predecessor Plan. As of </w:t>
      </w:r>
      <w:r>
        <w:rPr>
          <w:rStyle w:val="Emphasis"/>
          <w:rFonts w:ascii="Times New Roman" w:hAnsi="Times New Roman"/>
          <w:caps w:val="false"/>
          <w:smallCaps w:val="false"/>
          <w:sz w:val="20"/>
        </w:rPr>
        <w:t>May 31, 2025, </w:t>
      </w:r>
      <w:r>
        <w:rPr>
          <w:rFonts w:ascii="Times New Roman" w:hAnsi="Times New Roman"/>
          <w:caps w:val="false"/>
          <w:smallCaps w:val="false"/>
          <w:sz w:val="20"/>
        </w:rPr>
        <w:t>187,173 awards are outstanding and 177,426 are vested and exercisable.</w:t>
      </w:r>
    </w:p>
    <w:p>
      <w:pPr>
        <w:pStyle w:val="TextBody"/>
        <w:bidi w:val="0"/>
        <w:spacing w:before="0" w:after="0"/>
        <w:ind w:left="0" w:right="0" w:firstLine="720"/>
        <w:jc w:val="left"/>
        <w:rPr>
          <w:caps w:val="false"/>
          <w:smallCaps w:val="false"/>
        </w:rPr>
      </w:pPr>
      <w:r>
        <w:rPr>
          <w:caps w:val="false"/>
          <w:smallCaps w:val="false"/>
        </w:rPr>
        <w:t> </w:t>
      </w:r>
    </w:p>
    <w:tbl>
      <w:tblPr>
        <w:tblW w:w="8209" w:type="dxa"/>
        <w:jc w:val="left"/>
        <w:tblInd w:w="0" w:type="dxa"/>
        <w:tblLayout w:type="fixed"/>
        <w:tblCellMar>
          <w:top w:w="0" w:type="dxa"/>
          <w:left w:w="0" w:type="dxa"/>
          <w:bottom w:w="0" w:type="dxa"/>
          <w:right w:w="0" w:type="dxa"/>
        </w:tblCellMar>
      </w:tblPr>
      <w:tblGrid>
        <w:gridCol w:w="3170"/>
        <w:gridCol w:w="60"/>
        <w:gridCol w:w="60"/>
        <w:gridCol w:w="845"/>
        <w:gridCol w:w="80"/>
        <w:gridCol w:w="60"/>
        <w:gridCol w:w="142"/>
        <w:gridCol w:w="673"/>
        <w:gridCol w:w="60"/>
        <w:gridCol w:w="60"/>
        <w:gridCol w:w="264"/>
        <w:gridCol w:w="551"/>
        <w:gridCol w:w="60"/>
        <w:gridCol w:w="60"/>
        <w:gridCol w:w="243"/>
        <w:gridCol w:w="751"/>
        <w:gridCol w:w="60"/>
        <w:gridCol w:w="60"/>
        <w:gridCol w:w="288"/>
        <w:gridCol w:w="602"/>
        <w:gridCol w:w="60"/>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19" w:type="dxa"/>
            <w:gridSpan w:val="18"/>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 2025</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Converted upon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during the year</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(957,045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580" w:type="dxa"/>
        <w:jc w:val="left"/>
        <w:tblInd w:w="0" w:type="dxa"/>
        <w:tblLayout w:type="fixed"/>
        <w:tblCellMar>
          <w:top w:w="0" w:type="dxa"/>
          <w:left w:w="0" w:type="dxa"/>
          <w:bottom w:w="0" w:type="dxa"/>
          <w:right w:w="0" w:type="dxa"/>
        </w:tblCellMar>
      </w:tblPr>
      <w:tblGrid>
        <w:gridCol w:w="275"/>
        <w:gridCol w:w="330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20.</w:t>
            </w:r>
          </w:p>
        </w:tc>
        <w:tc>
          <w:tcPr>
            <w:tcW w:w="33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Accumulated other comprehensive loss includes the following components: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980" w:type="dxa"/>
        <w:jc w:val="left"/>
        <w:tblInd w:w="0" w:type="dxa"/>
        <w:tblLayout w:type="fixed"/>
        <w:tblCellMar>
          <w:top w:w="0" w:type="dxa"/>
          <w:left w:w="0" w:type="dxa"/>
          <w:bottom w:w="0" w:type="dxa"/>
          <w:right w:w="0" w:type="dxa"/>
        </w:tblCellMar>
      </w:tblPr>
      <w:tblGrid>
        <w:gridCol w:w="2900"/>
        <w:gridCol w:w="60"/>
        <w:gridCol w:w="132"/>
        <w:gridCol w:w="803"/>
        <w:gridCol w:w="80"/>
        <w:gridCol w:w="60"/>
        <w:gridCol w:w="152"/>
        <w:gridCol w:w="798"/>
        <w:gridCol w:w="80"/>
        <w:gridCol w:w="60"/>
        <w:gridCol w:w="125"/>
        <w:gridCol w:w="650"/>
        <w:gridCol w:w="8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Foreign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loss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convertible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translation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notes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receivables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Balance May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sz w:val="20"/>
              </w:rPr>
            </w:pPr>
            <w:r>
              <w:rPr>
                <w:sz w:val="20"/>
              </w:rPr>
              <w:t>$</w:t>
            </w:r>
          </w:p>
        </w:tc>
        <w:tc>
          <w:tcPr>
            <w:tcW w:w="803" w:type="dxa"/>
            <w:tcBorders/>
            <w:shd w:fill="CCEEFF" w:val="clear"/>
            <w:vAlign w:val="center"/>
          </w:tcPr>
          <w:p>
            <w:pPr>
              <w:pStyle w:val="TableContents"/>
              <w:bidi w:val="0"/>
              <w:spacing w:before="0" w:after="283"/>
              <w:ind w:left="0" w:right="0" w:hanging="0"/>
              <w:jc w:val="right"/>
              <w:rPr>
                <w:sz w:val="20"/>
              </w:rPr>
            </w:pPr>
            <w:r>
              <w:rPr>
                <w:sz w:val="20"/>
              </w:rPr>
              <w:t>54,413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sz w:val="20"/>
              </w:rPr>
            </w:pPr>
            <w:r>
              <w:rPr>
                <w:sz w:val="20"/>
              </w:rPr>
              <w:t>$</w:t>
            </w:r>
          </w:p>
        </w:tc>
        <w:tc>
          <w:tcPr>
            <w:tcW w:w="798" w:type="dxa"/>
            <w:tcBorders/>
            <w:shd w:fill="CCEEFF" w:val="clear"/>
            <w:vAlign w:val="center"/>
          </w:tcPr>
          <w:p>
            <w:pPr>
              <w:pStyle w:val="TableContents"/>
              <w:bidi w:val="0"/>
              <w:spacing w:before="0" w:after="283"/>
              <w:ind w:left="0" w:right="0" w:hanging="0"/>
              <w:jc w:val="right"/>
              <w:rPr>
                <w:sz w:val="20"/>
              </w:rPr>
            </w:pPr>
            <w:r>
              <w:rPr>
                <w:sz w:val="20"/>
              </w:rPr>
              <w:t>(75,177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50" w:type="dxa"/>
            <w:tcBorders/>
            <w:shd w:fill="CCEEFF" w:val="clear"/>
            <w:vAlign w:val="center"/>
          </w:tcPr>
          <w:p>
            <w:pPr>
              <w:pStyle w:val="TableContents"/>
              <w:bidi w:val="0"/>
              <w:spacing w:before="0" w:after="283"/>
              <w:ind w:left="0" w:right="0" w:hanging="0"/>
              <w:jc w:val="right"/>
              <w:rPr>
                <w:sz w:val="20"/>
              </w:rPr>
            </w:pPr>
            <w:r>
              <w:rPr>
                <w:sz w:val="20"/>
              </w:rPr>
              <w:t>(20,764</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(101,023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75,177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(25,846</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May 31, 2023</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20"/>
              </w:rPr>
            </w:pPr>
            <w:r>
              <w:rPr>
                <w:sz w:val="20"/>
              </w:rPr>
              <w:t>$</w:t>
            </w:r>
          </w:p>
        </w:tc>
        <w:tc>
          <w:tcPr>
            <w:tcW w:w="803" w:type="dxa"/>
            <w:tcBorders/>
            <w:shd w:fill="CCEEFF" w:val="clear"/>
            <w:vAlign w:val="center"/>
          </w:tcPr>
          <w:p>
            <w:pPr>
              <w:pStyle w:val="TableContents"/>
              <w:bidi w:val="0"/>
              <w:spacing w:before="0" w:after="283"/>
              <w:jc w:val="right"/>
              <w:rPr>
                <w:sz w:val="20"/>
              </w:rPr>
            </w:pPr>
            <w:r>
              <w:rPr>
                <w:sz w:val="20"/>
              </w:rPr>
              <w:t>(46,610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7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(46,610</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comprehensive (loss) reversal</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3,111</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Balance May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sz w:val="20"/>
              </w:rPr>
            </w:pPr>
            <w:r>
              <w:rPr>
                <w:sz w:val="20"/>
              </w:rPr>
              <w:t>$</w:t>
            </w:r>
          </w:p>
        </w:tc>
        <w:tc>
          <w:tcPr>
            <w:tcW w:w="803" w:type="dxa"/>
            <w:tcBorders/>
            <w:shd w:fill="CCEEFF" w:val="clear"/>
            <w:vAlign w:val="center"/>
          </w:tcPr>
          <w:p>
            <w:pPr>
              <w:pStyle w:val="TableContents"/>
              <w:bidi w:val="0"/>
              <w:spacing w:before="0" w:after="283"/>
              <w:ind w:left="0" w:right="0" w:hanging="0"/>
              <w:jc w:val="right"/>
              <w:rPr>
                <w:color w:val="000000"/>
                <w:sz w:val="20"/>
              </w:rPr>
            </w:pPr>
            <w:r>
              <w:rPr>
                <w:color w:val="000000"/>
                <w:sz w:val="20"/>
              </w:rPr>
              <w:t>(43,499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sz w:val="20"/>
              </w:rPr>
            </w:pPr>
            <w:r>
              <w:rPr>
                <w:sz w:val="20"/>
              </w:rPr>
              <w:t>$</w:t>
            </w:r>
          </w:p>
        </w:tc>
        <w:tc>
          <w:tcPr>
            <w:tcW w:w="798" w:type="dxa"/>
            <w:tcBorders/>
            <w:shd w:fill="CCEEFF" w:val="clear"/>
            <w:vAlign w:val="center"/>
          </w:tcPr>
          <w:p>
            <w:pPr>
              <w:pStyle w:val="TableContents"/>
              <w:bidi w:val="0"/>
              <w:spacing w:before="0" w:after="283"/>
              <w:ind w:left="0" w:right="0" w:hanging="0"/>
              <w:jc w:val="right"/>
              <w:rPr>
                <w:color w:val="000000"/>
              </w:rPr>
            </w:pPr>
            <w:r>
              <w:rPr>
                <w:color w:val="00000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650" w:type="dxa"/>
            <w:tcBorders/>
            <w:shd w:fill="CCEEFF" w:val="clear"/>
            <w:vAlign w:val="center"/>
          </w:tcPr>
          <w:p>
            <w:pPr>
              <w:pStyle w:val="TableContents"/>
              <w:bidi w:val="0"/>
              <w:spacing w:before="0" w:after="283"/>
              <w:ind w:left="0" w:right="0" w:hanging="0"/>
              <w:jc w:val="right"/>
              <w:rPr>
                <w:color w:val="000000"/>
                <w:sz w:val="20"/>
              </w:rPr>
            </w:pPr>
            <w:r>
              <w:rPr>
                <w:color w:val="000000"/>
                <w:sz w:val="20"/>
              </w:rPr>
              <w:t>(43,499</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comprehensive (loss) reversal</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436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436</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Balance May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(43,063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(43,063</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21.</w:t>
            </w:r>
          </w:p>
        </w:tc>
        <w:tc>
          <w:tcPr>
            <w:tcW w:w="21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Non-controlling interests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summarize the information relating to the Company’s majority-owned subsidiaries, Aphria Diamond (51%) and ColCanna S.A.S. (90%) before intercompany eliminations.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7, 2025, </w:t>
      </w:r>
      <w:r>
        <w:rPr>
          <w:rFonts w:ascii="Times New Roman" w:hAnsi="Times New Roman"/>
          <w:caps w:val="false"/>
          <w:smallCaps w:val="false"/>
          <w:sz w:val="20"/>
        </w:rPr>
        <w:t xml:space="preserve">the Company dissolved its 75% ownership interest in CC Pharma Nordic ApS., and as a result,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controls CC Pharma Nordic ApS. and thus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consolidates this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16, 2025, </w:t>
      </w:r>
      <w:r>
        <w:rPr>
          <w:rFonts w:ascii="Times New Roman" w:hAnsi="Times New Roman"/>
          <w:caps w:val="false"/>
          <w:smallCaps w:val="false"/>
          <w:sz w:val="20"/>
        </w:rPr>
        <w:t xml:space="preserve">MedMen exited receivership and substantially all of its remaining assets were transferred to a new entity owned by MedMen’s secured creditors, including SH Acquisition. In connection with this restructuring, the Company disposed of its MedMen Convertible Note in exchange for on option to acquire a 68% membership interest in SH Acquisition for $1.00 upon U.S. federal cannabis legalization. See Note </w:t>
      </w:r>
      <w:r>
        <w:rPr>
          <w:rStyle w:val="Emphasis"/>
          <w:rFonts w:ascii="Times New Roman" w:hAnsi="Times New Roman"/>
          <w:caps w:val="false"/>
          <w:smallCaps w:val="false"/>
          <w:sz w:val="20"/>
        </w:rPr>
        <w:t>11</w:t>
      </w:r>
      <w:r>
        <w:rPr>
          <w:rFonts w:ascii="Times New Roman" w:hAnsi="Times New Roman"/>
          <w:caps w:val="false"/>
          <w:smallCaps w:val="false"/>
          <w:sz w:val="20"/>
        </w:rPr>
        <w:t> (Convertible notes receivable). As a result, the Company </w:t>
      </w:r>
      <w:r>
        <w:rPr>
          <w:rStyle w:val="Emphasis"/>
          <w:rFonts w:ascii="Times New Roman" w:hAnsi="Times New Roman"/>
          <w:caps w:val="false"/>
          <w:smallCaps w:val="false"/>
          <w:sz w:val="20"/>
        </w:rPr>
        <w:t>no</w:t>
      </w:r>
      <w:r>
        <w:rPr>
          <w:rFonts w:ascii="Times New Roman" w:hAnsi="Times New Roman"/>
          <w:caps w:val="false"/>
          <w:smallCaps w:val="false"/>
          <w:sz w:val="20"/>
        </w:rPr>
        <w:t> longer controls SH Acquisition and thus </w:t>
      </w:r>
      <w:r>
        <w:rPr>
          <w:rStyle w:val="Emphasis"/>
          <w:rFonts w:ascii="Times New Roman" w:hAnsi="Times New Roman"/>
          <w:caps w:val="false"/>
          <w:smallCaps w:val="false"/>
          <w:sz w:val="20"/>
        </w:rPr>
        <w:t>no</w:t>
      </w:r>
      <w:r>
        <w:rPr>
          <w:rFonts w:ascii="Times New Roman" w:hAnsi="Times New Roman"/>
          <w:caps w:val="false"/>
          <w:smallCaps w:val="false"/>
          <w:sz w:val="20"/>
        </w:rPr>
        <w:t> longer consolidates this entity.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Summarized balance sheet information of the entities in which there is a non-controlling interest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1820"/>
        <w:gridCol w:w="60"/>
        <w:gridCol w:w="318"/>
        <w:gridCol w:w="662"/>
        <w:gridCol w:w="60"/>
        <w:gridCol w:w="60"/>
        <w:gridCol w:w="321"/>
        <w:gridCol w:w="673"/>
        <w:gridCol w:w="60"/>
        <w:gridCol w:w="60"/>
        <w:gridCol w:w="125"/>
        <w:gridCol w:w="755"/>
        <w:gridCol w:w="80"/>
        <w:gridCol w:w="60"/>
        <w:gridCol w:w="163"/>
        <w:gridCol w:w="712"/>
        <w:gridCol w:w="80"/>
        <w:gridCol w:w="60"/>
        <w:gridCol w:w="125"/>
        <w:gridCol w:w="755"/>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CC Pharma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Aphria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ColCanna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Nordic ApS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Diamond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83,410</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assets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118,025</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(126,986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(133,939</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(31,720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(33,162</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Summarized balance sheet information of the entities in which there is a non-controlling interest as of </w:t>
      </w:r>
      <w:r>
        <w:rPr>
          <w:rStyle w:val="Emphasis"/>
          <w:rFonts w:ascii="Times New Roman" w:hAnsi="Times New Roman"/>
          <w:caps w:val="false"/>
          <w:smallCaps w:val="false"/>
          <w:sz w:val="20"/>
        </w:rPr>
        <w:t xml:space="preserve"> May 31,</w:t>
      </w:r>
      <w:r>
        <w:rPr>
          <w:rFonts w:ascii="Times New Roman" w:hAnsi="Times New Roman"/>
          <w:caps w:val="false"/>
          <w:smallCaps w:val="false"/>
          <w:sz w:val="20"/>
        </w:rPr>
        <w:t> </w:t>
      </w:r>
      <w:r>
        <w:rPr>
          <w:rStyle w:val="Emphasis"/>
          <w:rFonts w:ascii="Times New Roman" w:hAnsi="Times New Roman"/>
          <w:caps w:val="false"/>
          <w:smallCaps w:val="false"/>
          <w:sz w:val="20"/>
        </w:rPr>
        <w:t>2024:</w:t>
      </w:r>
    </w:p>
    <w:p>
      <w:pPr>
        <w:pStyle w:val="TextBody"/>
        <w:bidi w:val="0"/>
        <w:spacing w:before="0" w:after="0"/>
        <w:ind w:left="0" w:right="0" w:firstLine="660"/>
        <w:jc w:val="both"/>
        <w:rPr>
          <w:caps w:val="false"/>
          <w:smallCaps w:val="false"/>
        </w:rPr>
      </w:pPr>
      <w:r>
        <w:rPr>
          <w:caps w:val="false"/>
          <w:smallCaps w:val="false"/>
        </w:rPr>
        <w:t> </w:t>
      </w:r>
    </w:p>
    <w:tbl>
      <w:tblPr>
        <w:tblW w:w="7109" w:type="dxa"/>
        <w:jc w:val="left"/>
        <w:tblInd w:w="0" w:type="dxa"/>
        <w:tblLayout w:type="fixed"/>
        <w:tblCellMar>
          <w:top w:w="0" w:type="dxa"/>
          <w:left w:w="0" w:type="dxa"/>
          <w:bottom w:w="0" w:type="dxa"/>
          <w:right w:w="0" w:type="dxa"/>
        </w:tblCellMar>
      </w:tblPr>
      <w:tblGrid>
        <w:gridCol w:w="1820"/>
        <w:gridCol w:w="60"/>
        <w:gridCol w:w="171"/>
        <w:gridCol w:w="809"/>
        <w:gridCol w:w="60"/>
        <w:gridCol w:w="60"/>
        <w:gridCol w:w="321"/>
        <w:gridCol w:w="673"/>
        <w:gridCol w:w="80"/>
        <w:gridCol w:w="60"/>
        <w:gridCol w:w="125"/>
        <w:gridCol w:w="755"/>
        <w:gridCol w:w="80"/>
        <w:gridCol w:w="60"/>
        <w:gridCol w:w="163"/>
        <w:gridCol w:w="712"/>
        <w:gridCol w:w="80"/>
        <w:gridCol w:w="60"/>
        <w:gridCol w:w="125"/>
        <w:gridCol w:w="755"/>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CC Pharma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Aphria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ColCanna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Nordic ApS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Diamond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95,735</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160,312</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(130,945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Summarized income statement information of the entities in which there is a non-controlling interest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w:t>
      </w:r>
    </w:p>
    <w:p>
      <w:pPr>
        <w:pStyle w:val="TextBody"/>
        <w:bidi w:val="0"/>
        <w:spacing w:before="0" w:after="0"/>
        <w:ind w:left="0" w:right="0" w:firstLine="660"/>
        <w:jc w:val="both"/>
        <w:rPr>
          <w:caps w:val="false"/>
          <w:smallCaps w:val="false"/>
        </w:rPr>
      </w:pPr>
      <w:r>
        <w:rPr>
          <w:caps w:val="false"/>
          <w:smallCaps w:val="false"/>
        </w:rPr>
        <w:t> </w:t>
      </w:r>
    </w:p>
    <w:tbl>
      <w:tblPr>
        <w:tblW w:w="9749" w:type="dxa"/>
        <w:jc w:val="left"/>
        <w:tblInd w:w="0" w:type="dxa"/>
        <w:tblLayout w:type="fixed"/>
        <w:tblCellMar>
          <w:top w:w="0" w:type="dxa"/>
          <w:left w:w="0" w:type="dxa"/>
          <w:bottom w:w="0" w:type="dxa"/>
          <w:right w:w="0" w:type="dxa"/>
        </w:tblCellMar>
      </w:tblPr>
      <w:tblGrid>
        <w:gridCol w:w="4280"/>
        <w:gridCol w:w="60"/>
        <w:gridCol w:w="158"/>
        <w:gridCol w:w="822"/>
        <w:gridCol w:w="185"/>
        <w:gridCol w:w="60"/>
        <w:gridCol w:w="298"/>
        <w:gridCol w:w="696"/>
        <w:gridCol w:w="185"/>
        <w:gridCol w:w="60"/>
        <w:gridCol w:w="137"/>
        <w:gridCol w:w="648"/>
        <w:gridCol w:w="185"/>
        <w:gridCol w:w="60"/>
        <w:gridCol w:w="210"/>
        <w:gridCol w:w="665"/>
        <w:gridCol w:w="185"/>
        <w:gridCol w:w="60"/>
        <w:gridCol w:w="125"/>
        <w:gridCol w:w="590"/>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CC Pharma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Nordic ApS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6"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78,414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78,414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54,274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74,575</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3,790</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NA</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 income attributable to NCI</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5,376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income attributable to NCI</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Summarized income statement information of the entities in which there is a non-controlling interest for the fiscal year ended </w:t>
      </w:r>
      <w:r>
        <w:rPr>
          <w:rStyle w:val="Emphasis"/>
          <w:rFonts w:ascii="Times New Roman" w:hAnsi="Times New Roman"/>
          <w:caps w:val="false"/>
          <w:smallCaps w:val="false"/>
          <w:sz w:val="20"/>
        </w:rPr>
        <w:t>May 31,</w:t>
      </w:r>
      <w:r>
        <w:rPr>
          <w:rFonts w:ascii="Times New Roman" w:hAnsi="Times New Roman"/>
          <w:caps w:val="false"/>
          <w:smallCaps w:val="false"/>
          <w:sz w:val="20"/>
        </w:rPr>
        <w:t> </w:t>
      </w:r>
      <w:r>
        <w:rPr>
          <w:rStyle w:val="Emphasis"/>
          <w:rFonts w:ascii="Times New Roman" w:hAnsi="Times New Roman"/>
          <w:caps w:val="false"/>
          <w:smallCaps w:val="false"/>
          <w:sz w:val="20"/>
        </w:rPr>
        <w:t>2024:</w:t>
      </w:r>
    </w:p>
    <w:p>
      <w:pPr>
        <w:pStyle w:val="TextBody"/>
        <w:bidi w:val="0"/>
        <w:spacing w:before="0" w:after="0"/>
        <w:ind w:left="0" w:right="0" w:firstLine="660"/>
        <w:jc w:val="both"/>
        <w:rPr>
          <w:caps w:val="false"/>
          <w:smallCaps w:val="false"/>
        </w:rPr>
      </w:pPr>
      <w:r>
        <w:rPr>
          <w:caps w:val="false"/>
          <w:smallCaps w:val="false"/>
        </w:rPr>
        <w:t> </w:t>
      </w:r>
    </w:p>
    <w:tbl>
      <w:tblPr>
        <w:tblW w:w="9889" w:type="dxa"/>
        <w:jc w:val="left"/>
        <w:tblInd w:w="0" w:type="dxa"/>
        <w:tblLayout w:type="fixed"/>
        <w:tblCellMar>
          <w:top w:w="0" w:type="dxa"/>
          <w:left w:w="0" w:type="dxa"/>
          <w:bottom w:w="0" w:type="dxa"/>
          <w:right w:w="0" w:type="dxa"/>
        </w:tblCellMar>
      </w:tblPr>
      <w:tblGrid>
        <w:gridCol w:w="4280"/>
        <w:gridCol w:w="60"/>
        <w:gridCol w:w="158"/>
        <w:gridCol w:w="822"/>
        <w:gridCol w:w="185"/>
        <w:gridCol w:w="60"/>
        <w:gridCol w:w="184"/>
        <w:gridCol w:w="810"/>
        <w:gridCol w:w="185"/>
        <w:gridCol w:w="60"/>
        <w:gridCol w:w="125"/>
        <w:gridCol w:w="695"/>
        <w:gridCol w:w="185"/>
        <w:gridCol w:w="60"/>
        <w:gridCol w:w="210"/>
        <w:gridCol w:w="665"/>
        <w:gridCol w:w="185"/>
        <w:gridCol w:w="60"/>
        <w:gridCol w:w="125"/>
        <w:gridCol w:w="695"/>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CC Pharma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Nordic ApS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103,331</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82,349</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20,982</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20,810</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NA</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 income attributable to NCI</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(13,658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30,658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17,251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income attributable to NCI</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5,336</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(13,658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Summarized income statement information of the entities in which there is a non-controlling interest for the fiscal year ended </w:t>
      </w:r>
      <w:r>
        <w:rPr>
          <w:rStyle w:val="Emphasis"/>
          <w:rFonts w:ascii="Times New Roman" w:hAnsi="Times New Roman"/>
          <w:caps w:val="false"/>
          <w:smallCaps w:val="false"/>
          <w:sz w:val="20"/>
        </w:rPr>
        <w:t>May 31,</w:t>
      </w:r>
      <w:r>
        <w:rPr>
          <w:rFonts w:ascii="Times New Roman" w:hAnsi="Times New Roman"/>
          <w:caps w:val="false"/>
          <w:smallCaps w:val="false"/>
          <w:sz w:val="20"/>
        </w:rPr>
        <w:t> </w:t>
      </w:r>
      <w:r>
        <w:rPr>
          <w:rStyle w:val="Emphasis"/>
          <w:rFonts w:ascii="Times New Roman" w:hAnsi="Times New Roman"/>
          <w:caps w:val="false"/>
          <w:smallCaps w:val="false"/>
          <w:sz w:val="20"/>
        </w:rPr>
        <w:t>2023:</w:t>
      </w:r>
    </w:p>
    <w:p>
      <w:pPr>
        <w:pStyle w:val="TextBody"/>
        <w:bidi w:val="0"/>
        <w:spacing w:before="0" w:after="0"/>
        <w:ind w:left="0" w:right="0" w:firstLine="720"/>
        <w:jc w:val="left"/>
        <w:rPr>
          <w:caps w:val="false"/>
          <w:smallCaps w:val="false"/>
        </w:rPr>
      </w:pPr>
      <w:r>
        <w:rPr>
          <w:caps w:val="false"/>
          <w:smallCaps w:val="false"/>
        </w:rPr>
        <w:t> </w:t>
      </w:r>
    </w:p>
    <w:tbl>
      <w:tblPr>
        <w:tblW w:w="9889" w:type="dxa"/>
        <w:jc w:val="left"/>
        <w:tblInd w:w="0" w:type="dxa"/>
        <w:tblLayout w:type="fixed"/>
        <w:tblCellMar>
          <w:top w:w="0" w:type="dxa"/>
          <w:left w:w="0" w:type="dxa"/>
          <w:bottom w:w="0" w:type="dxa"/>
          <w:right w:w="0" w:type="dxa"/>
        </w:tblCellMar>
      </w:tblPr>
      <w:tblGrid>
        <w:gridCol w:w="4280"/>
        <w:gridCol w:w="60"/>
        <w:gridCol w:w="139"/>
        <w:gridCol w:w="841"/>
        <w:gridCol w:w="185"/>
        <w:gridCol w:w="60"/>
        <w:gridCol w:w="238"/>
        <w:gridCol w:w="756"/>
        <w:gridCol w:w="185"/>
        <w:gridCol w:w="60"/>
        <w:gridCol w:w="125"/>
        <w:gridCol w:w="695"/>
        <w:gridCol w:w="185"/>
        <w:gridCol w:w="60"/>
        <w:gridCol w:w="141"/>
        <w:gridCol w:w="734"/>
        <w:gridCol w:w="185"/>
        <w:gridCol w:w="60"/>
        <w:gridCol w:w="125"/>
        <w:gridCol w:w="695"/>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CC Pharma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Acquisition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Nordic ApS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161,580</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250,798</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35,153</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NA</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income attributable to NCI</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15,725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income attributable to NCI</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1300" w:type="dxa"/>
        <w:jc w:val="left"/>
        <w:tblInd w:w="0" w:type="dxa"/>
        <w:tblLayout w:type="fixed"/>
        <w:tblCellMar>
          <w:top w:w="0" w:type="dxa"/>
          <w:left w:w="0" w:type="dxa"/>
          <w:bottom w:w="0" w:type="dxa"/>
          <w:right w:w="0" w:type="dxa"/>
        </w:tblCellMar>
      </w:tblPr>
      <w:tblGrid>
        <w:gridCol w:w="275"/>
        <w:gridCol w:w="102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22.</w:t>
            </w:r>
          </w:p>
        </w:tc>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is comprised of:</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05"/>
        <w:gridCol w:w="60"/>
        <w:gridCol w:w="125"/>
        <w:gridCol w:w="695"/>
        <w:gridCol w:w="80"/>
        <w:gridCol w:w="60"/>
        <w:gridCol w:w="125"/>
        <w:gridCol w:w="695"/>
        <w:gridCol w:w="80"/>
        <w:gridCol w:w="60"/>
        <w:gridCol w:w="125"/>
        <w:gridCol w:w="695"/>
        <w:gridCol w:w="80"/>
      </w:tblGrid>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100,679</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excise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95,093</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284,314</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excise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258,770</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52,831</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627,124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revenue from Canadian adult-use cannabis is $1,460 of advisory services revenue for the fiscal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 xml:space="preserve">compared to $1,500 and $40,377 of advisory services from the HEXO commercial transaction agreements for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23.</w:t>
            </w:r>
          </w:p>
        </w:tc>
        <w:tc>
          <w:tcPr>
            <w:tcW w:w="1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goods 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goods sold is comprised of:</w:t>
      </w:r>
    </w:p>
    <w:p>
      <w:pPr>
        <w:pStyle w:val="TextBody"/>
        <w:bidi w:val="0"/>
        <w:spacing w:before="0" w:after="0"/>
        <w:ind w:left="0" w:right="0" w:hanging="0"/>
        <w:jc w:val="left"/>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1460"/>
        <w:gridCol w:w="60"/>
        <w:gridCol w:w="125"/>
        <w:gridCol w:w="695"/>
        <w:gridCol w:w="60"/>
        <w:gridCol w:w="60"/>
        <w:gridCol w:w="125"/>
        <w:gridCol w:w="695"/>
        <w:gridCol w:w="60"/>
        <w:gridCol w:w="60"/>
        <w:gridCol w:w="125"/>
        <w:gridCol w:w="695"/>
        <w:gridCol w:w="60"/>
      </w:tblGrid>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48,770</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162,755</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231,309</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37,330</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415" w:type="dxa"/>
        <w:jc w:val="left"/>
        <w:tblInd w:w="0" w:type="dxa"/>
        <w:tblLayout w:type="fixed"/>
        <w:tblCellMar>
          <w:top w:w="0" w:type="dxa"/>
          <w:left w:w="0" w:type="dxa"/>
          <w:bottom w:w="0" w:type="dxa"/>
          <w:right w:w="0" w:type="dxa"/>
        </w:tblCellMar>
      </w:tblPr>
      <w:tblGrid>
        <w:gridCol w:w="275"/>
        <w:gridCol w:w="314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24.</w:t>
            </w:r>
          </w:p>
        </w:tc>
        <w:tc>
          <w:tcPr>
            <w:tcW w:w="3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are comprised of the following items:</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825"/>
        <w:gridCol w:w="60"/>
        <w:gridCol w:w="125"/>
        <w:gridCol w:w="695"/>
        <w:gridCol w:w="60"/>
        <w:gridCol w:w="60"/>
        <w:gridCol w:w="125"/>
        <w:gridCol w:w="695"/>
        <w:gridCol w:w="80"/>
        <w:gridCol w:w="60"/>
        <w:gridCol w:w="125"/>
        <w:gridCol w:w="695"/>
        <w:gridCol w:w="8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70,883</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and general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27,845</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39,595</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12,033</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7,166</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sale of 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accommodation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4,530</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3,155</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165,159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(Gain) loss on sale of capital assets for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was a loss of $1,787 related to the sale of the Avanti facility, which was closed as part of our restructuring efforts, compared to gains of $4,198 which is comprised of $3,957 during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from the sale of Truss Beverage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10" w:type="dxa"/>
        <w:jc w:val="left"/>
        <w:tblInd w:w="0" w:type="dxa"/>
        <w:tblLayout w:type="fixed"/>
        <w:tblCellMar>
          <w:top w:w="0" w:type="dxa"/>
          <w:left w:w="0" w:type="dxa"/>
          <w:bottom w:w="0" w:type="dxa"/>
          <w:right w:w="0" w:type="dxa"/>
        </w:tblCellMar>
      </w:tblPr>
      <w:tblGrid>
        <w:gridCol w:w="275"/>
        <w:gridCol w:w="12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25.</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 xml:space="preserve">In connection with the execution of our acquisition strategy and strategic transactions, the Company has incurred restructuring and exit costs associated with the integration efforts of these transactions. In connection with these efforts, the Company incurred $34,283, $15,581 and $9,245 of restructuring costs for the fiscal years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All restructuring plans are approved at the executive level, and their associated expenses are recognized in the period in which the plan is committed.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Within the Cannabis segment, our restructuring costs predominantly related to the HEXO acquisition, which were completed within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from the acquisition in </w:t>
      </w:r>
      <w:r>
        <w:rPr>
          <w:rStyle w:val="Emphasis"/>
          <w:rFonts w:ascii="Times New Roman" w:hAnsi="Times New Roman"/>
          <w:caps w:val="false"/>
          <w:smallCaps w:val="false"/>
          <w:sz w:val="20"/>
        </w:rPr>
        <w:t>June 2023. </w:t>
      </w:r>
      <w:r>
        <w:rPr>
          <w:rFonts w:ascii="Times New Roman" w:hAnsi="Times New Roman"/>
          <w:caps w:val="false"/>
          <w:smallCaps w:val="false"/>
          <w:sz w:val="20"/>
        </w:rPr>
        <w:t>In the fiscal year ended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we recognized $10,404 of expenses related to employee termination severance and benefits and other costs related to the conversion of the HEXO Quebec cultivation facility from cannabis to produce, the optimization of our Redecan facilities, and $987 of restructuring charges related to the remaining costs of exiting the Truss Beverage Co. (“Truss”) facility following its sale to a </w:t>
      </w:r>
      <w:r>
        <w:rPr>
          <w:rStyle w:val="Emphasis"/>
          <w:rFonts w:ascii="Times New Roman" w:hAnsi="Times New Roman"/>
          <w:caps w:val="false"/>
          <w:smallCaps w:val="false"/>
          <w:sz w:val="20"/>
        </w:rPr>
        <w:t>third</w:t>
      </w:r>
      <w:r>
        <w:rPr>
          <w:rFonts w:ascii="Times New Roman" w:hAnsi="Times New Roman"/>
          <w:caps w:val="false"/>
          <w:smallCaps w:val="false"/>
          <w:sz w:val="20"/>
        </w:rPr>
        <w:t> party in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 xml:space="preserve">Additionally, the Company recognized $1,133 of costs associated with the winding down of our Avanti facility, which was exited and sold during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The Company also recognized $2,054 of exit cost in connection with the termination of its contract with its distribution partner in the Quebec adult-use cannabis market and the insourcing of the function. Lastly, the Company recognized $786 of restructuring charges related to our decision to exit the New Zealand medical cannabis market announced during the fiscal year ended </w:t>
      </w:r>
      <w:r>
        <w:rPr>
          <w:rStyle w:val="Emphasis"/>
          <w:rFonts w:ascii="Times New Roman" w:hAnsi="Times New Roman"/>
          <w:caps w:val="false"/>
          <w:smallCaps w:val="false"/>
          <w:sz w:val="20"/>
        </w:rPr>
        <w:t xml:space="preserve"> May 31, 2025.</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 xml:space="preserve">Within the Beverage segment during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the Company recognized $1,623 of expenses related to employee termination severance and benefits and $4,209 of costs associated with the consolidation of production sites through the integration of the Craft Acquisition I and the Craft Acquisition II. Additionally, the Company recognized $8,500 of restructuring charges related to the closure of Hop Valley which was accrued,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paid. Lastly, the Company recognized $1,550 of restructuring charges related to terminating a legacy storage agreement from Craft Acquisition I.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 xml:space="preserve">Within the Distribution segment during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the Company recognized $510 of restructuring charges related to the divestiture of its retail pharmacy location in Argentina.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pPr>
      <w:r>
        <w:rPr>
          <w:rFonts w:ascii="Times New Roman" w:hAnsi="Times New Roman"/>
          <w:caps w:val="false"/>
          <w:smallCaps w:val="false"/>
          <w:sz w:val="20"/>
        </w:rPr>
        <w:t xml:space="preserve">Lastly, for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the Company recognized $2,527 of costs associated with the investment held in Superhero Acquisition Corp. as a result of MedMen’s ongoing restructuring and liquidation undertakings.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sz w:val="20"/>
              </w:rPr>
              <w:t>26.</w:t>
            </w:r>
          </w:p>
        </w:tc>
        <w:tc>
          <w:tcPr>
            <w:tcW w:w="176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Interest expense, net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net is comprised of:</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1325"/>
        <w:gridCol w:w="60"/>
        <w:gridCol w:w="125"/>
        <w:gridCol w:w="650"/>
        <w:gridCol w:w="80"/>
        <w:gridCol w:w="60"/>
        <w:gridCol w:w="125"/>
        <w:gridCol w:w="650"/>
        <w:gridCol w:w="80"/>
        <w:gridCol w:w="60"/>
        <w:gridCol w:w="125"/>
        <w:gridCol w:w="650"/>
        <w:gridCol w:w="80"/>
      </w:tblGrid>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5"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33,025</w:t>
            </w:r>
          </w:p>
        </w:tc>
        <w:tc>
          <w:tcPr>
            <w:tcW w:w="8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27.</w:t>
            </w:r>
          </w:p>
        </w:tc>
        <w:tc>
          <w:tcPr>
            <w:tcW w:w="27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Non-operating (expense)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Non-operating (expense) income is comprised of:</w:t>
      </w:r>
    </w:p>
    <w:p>
      <w:pPr>
        <w:pStyle w:val="TextBody"/>
        <w:bidi w:val="0"/>
        <w:spacing w:before="0" w:after="0"/>
        <w:ind w:left="16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4400"/>
        <w:gridCol w:w="60"/>
        <w:gridCol w:w="125"/>
        <w:gridCol w:w="590"/>
        <w:gridCol w:w="80"/>
        <w:gridCol w:w="60"/>
        <w:gridCol w:w="125"/>
        <w:gridCol w:w="650"/>
        <w:gridCol w:w="80"/>
        <w:gridCol w:w="60"/>
        <w:gridCol w:w="125"/>
        <w:gridCol w:w="650"/>
        <w:gridCol w:w="80"/>
      </w:tblGrid>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5"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debenture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12,438</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non-operating (losses) gains,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other non-operating (losses) gains, net for the fiscal year ended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were gains of $4,034 which were mainly comprised of a $5,792 gain resulting from the exchange transaction of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 as described in Note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(Convertible debentures payable), offset by a $975 loss resulting from the downside protection from the Double Diamond Holdings dividend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other non-operating (losses) gains, net for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were losses of $12,367 which is comprised of $2,313 from the downside protection related to the share issuance in connection with the HTI note, $2,458 of amounts to settle outstanding notes with non-controlling interest shareholders, $4,638 for a decrease in value of an equity investee, Cannfections, and a $3,063 loss on measurement at the lower of carrying amount and fair value less costs to sell of Broken Coast's former Duncan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28.</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Purchase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payments on long-term debt (refer to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Long-term debt), convertible notes (refer to Note </w:t>
      </w:r>
      <w:r>
        <w:rPr>
          <w:rStyle w:val="Emphasis"/>
          <w:rFonts w:ascii="Times New Roman" w:hAnsi="Times New Roman"/>
          <w:caps w:val="false"/>
          <w:smallCaps w:val="false"/>
          <w:sz w:val="20"/>
        </w:rPr>
        <w:t>17</w:t>
      </w:r>
      <w:r>
        <w:rPr>
          <w:rFonts w:ascii="Times New Roman" w:hAnsi="Times New Roman"/>
          <w:caps w:val="false"/>
          <w:smallCaps w:val="false"/>
          <w:sz w:val="20"/>
        </w:rPr>
        <w:t> Convertible Debentures), material purchase commitments and construction commitments as follows:</w:t>
      </w:r>
    </w:p>
    <w:p>
      <w:pPr>
        <w:pStyle w:val="TextBody"/>
        <w:bidi w:val="0"/>
        <w:spacing w:before="0" w:after="0"/>
        <w:ind w:left="0" w:right="0" w:hanging="0"/>
        <w:jc w:val="left"/>
        <w:rPr>
          <w:caps w:val="false"/>
          <w:smallCaps w:val="false"/>
        </w:rPr>
      </w:pPr>
      <w:r>
        <w:rPr>
          <w:caps w:val="false"/>
          <w:smallCaps w:val="false"/>
        </w:rPr>
        <w:t> </w:t>
      </w:r>
    </w:p>
    <w:tbl>
      <w:tblPr>
        <w:tblW w:w="7905" w:type="dxa"/>
        <w:jc w:val="left"/>
        <w:tblInd w:w="0" w:type="dxa"/>
        <w:tblLayout w:type="fixed"/>
        <w:tblCellMar>
          <w:top w:w="0" w:type="dxa"/>
          <w:left w:w="0" w:type="dxa"/>
          <w:bottom w:w="0" w:type="dxa"/>
          <w:right w:w="0" w:type="dxa"/>
        </w:tblCellMar>
      </w:tblPr>
      <w:tblGrid>
        <w:gridCol w:w="2615"/>
        <w:gridCol w:w="60"/>
        <w:gridCol w:w="125"/>
        <w:gridCol w:w="695"/>
        <w:gridCol w:w="60"/>
        <w:gridCol w:w="60"/>
        <w:gridCol w:w="125"/>
        <w:gridCol w:w="590"/>
        <w:gridCol w:w="60"/>
        <w:gridCol w:w="60"/>
        <w:gridCol w:w="125"/>
        <w:gridCol w:w="590"/>
        <w:gridCol w:w="60"/>
        <w:gridCol w:w="60"/>
        <w:gridCol w:w="125"/>
        <w:gridCol w:w="695"/>
        <w:gridCol w:w="60"/>
        <w:gridCol w:w="60"/>
        <w:gridCol w:w="125"/>
        <w:gridCol w:w="485"/>
        <w:gridCol w:w="60"/>
        <w:gridCol w:w="60"/>
        <w:gridCol w:w="155"/>
        <w:gridCol w:w="735"/>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 repayment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29,797</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Material 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commitments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347,833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202,828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29,797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or decreased to reflect any relevant developments on a quarterly basis. Where a loss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or the amount of loss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estimable,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adverse effect on our consolidated financial position, consolidated results of operations, or consolidated cash flows. However, it is possible that the ultimate resolution of these matters, if unfavorable,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 to our consolidated financial position, consolidated results of operations, or consolidated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Class Action Suits and Stockholder Derivative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Settlement and Dismissal of Aphria Securities Class Action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2019, </w:t>
      </w:r>
      <w:r>
        <w:rPr>
          <w:rFonts w:ascii="Times New Roman" w:hAnsi="Times New Roman"/>
          <w:caps w:val="false"/>
          <w:smallCaps w:val="false"/>
          <w:sz w:val="20"/>
        </w:rPr>
        <w:t>a putative securities class action was commenced in the Ontario Superior Court of Justice against Tilray’s wholly-owned subsidiary, Aphria, Inc. (“Aphria”), and certain of its former officers and directors (the “Aphria Canadian Class Action”). The Aphria Canadian Class Action was subsequently amended in </w:t>
      </w:r>
      <w:r>
        <w:rPr>
          <w:rStyle w:val="Emphasis"/>
          <w:rFonts w:ascii="Times New Roman" w:hAnsi="Times New Roman"/>
          <w:caps w:val="false"/>
          <w:smallCaps w:val="false"/>
          <w:sz w:val="20"/>
        </w:rPr>
        <w:t xml:space="preserve"> September 2022 </w:t>
      </w:r>
      <w:r>
        <w:rPr>
          <w:rFonts w:ascii="Times New Roman" w:hAnsi="Times New Roman"/>
          <w:caps w:val="false"/>
          <w:smallCaps w:val="false"/>
          <w:sz w:val="20"/>
        </w:rPr>
        <w:t>to proceed only against Aphria and </w:t>
      </w:r>
      <w:r>
        <w:rPr>
          <w:rStyle w:val="Emphasis"/>
          <w:rFonts w:ascii="Times New Roman" w:hAnsi="Times New Roman"/>
          <w:caps w:val="false"/>
          <w:smallCaps w:val="false"/>
          <w:sz w:val="20"/>
        </w:rPr>
        <w:t>two</w:t>
      </w:r>
      <w:r>
        <w:rPr>
          <w:rFonts w:ascii="Times New Roman" w:hAnsi="Times New Roman"/>
          <w:caps w:val="false"/>
          <w:smallCaps w:val="false"/>
          <w:sz w:val="20"/>
        </w:rPr>
        <w:t> of its former officers and directors as named defendants.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class plaintiff sought damages in the amount of CAD $875,000 pursuant to Ontario securities legislation on behalf of all class members who acquired Aphria’s common shares between </w:t>
      </w:r>
      <w:r>
        <w:rPr>
          <w:rStyle w:val="Emphasis"/>
          <w:rFonts w:ascii="Times New Roman" w:hAnsi="Times New Roman"/>
          <w:caps w:val="false"/>
          <w:smallCaps w:val="false"/>
          <w:sz w:val="20"/>
        </w:rPr>
        <w:t xml:space="preserve"> January 29, 2018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 2018. </w:t>
      </w:r>
      <w:r>
        <w:rPr>
          <w:rFonts w:ascii="Times New Roman" w:hAnsi="Times New Roman"/>
          <w:caps w:val="false"/>
          <w:smallCaps w:val="false"/>
          <w:sz w:val="20"/>
        </w:rPr>
        <w:t>The Aphria Canadian Class Action stemmed from Aphria’s acquisition of Nuuvera Inc. and LATAM Holdings Inc. in </w:t>
      </w:r>
      <w:r>
        <w:rPr>
          <w:rStyle w:val="Emphasis"/>
          <w:rFonts w:ascii="Times New Roman" w:hAnsi="Times New Roman"/>
          <w:caps w:val="false"/>
          <w:smallCaps w:val="false"/>
          <w:sz w:val="20"/>
        </w:rPr>
        <w:t xml:space="preserve"> March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September 2018, </w:t>
      </w:r>
      <w:r>
        <w:rPr>
          <w:rFonts w:ascii="Times New Roman" w:hAnsi="Times New Roman"/>
          <w:caps w:val="false"/>
          <w:smallCaps w:val="false"/>
          <w:sz w:val="20"/>
        </w:rPr>
        <w:t>respectively, alleging that the value of the acquired assets was misrepresented as being significantly higher than their actual worth, and that insiders at Aphria personally benefitted from the acquisitions at the expense of investors. Aphria and the individual defendants denied the allegations made in the Aphria Canadian Class Action and vigorously defended against them. Trial was scheduled to begin in </w:t>
      </w:r>
      <w:r>
        <w:rPr>
          <w:rStyle w:val="Emphasis"/>
          <w:rFonts w:ascii="Times New Roman" w:hAnsi="Times New Roman"/>
          <w:caps w:val="false"/>
          <w:smallCaps w:val="false"/>
          <w:sz w:val="20"/>
        </w:rPr>
        <w:t xml:space="preserve"> January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5, 2025, </w:t>
      </w:r>
      <w:r>
        <w:rPr>
          <w:rFonts w:ascii="Times New Roman" w:hAnsi="Times New Roman"/>
          <w:caps w:val="false"/>
          <w:smallCaps w:val="false"/>
          <w:sz w:val="20"/>
        </w:rPr>
        <w:t>Aphria and the individual defendants successfully reached an agreement with the class plaintiff to settle the Aphria Canadian Class Action.  The settlement agreement provided for the complete dismissal of the Aphria Canadian Class Action, with prejudice, in exchange for an aggregate payment from all defendants equal to CAD $30,000, or approximately US $21,000, (the “Aphria Settlement Amount”). The settlement agreement also provided for the dismissal, with prejudice, of the </w:t>
      </w:r>
      <w:r>
        <w:rPr>
          <w:rStyle w:val="Emphasis"/>
          <w:rFonts w:ascii="Times New Roman" w:hAnsi="Times New Roman"/>
          <w:caps w:val="false"/>
          <w:smallCaps w:val="false"/>
          <w:sz w:val="20"/>
        </w:rPr>
        <w:t>four</w:t>
      </w:r>
      <w:r>
        <w:rPr>
          <w:rFonts w:ascii="Times New Roman" w:hAnsi="Times New Roman"/>
          <w:caps w:val="false"/>
          <w:smallCaps w:val="false"/>
          <w:sz w:val="20"/>
        </w:rPr>
        <w:t> individual Canadian lawsuits pursuing the same allegations of wrongdoing against Aphria and former and current officers and directors. The settlement does </w:t>
      </w:r>
      <w:r>
        <w:rPr>
          <w:rStyle w:val="Emphasis"/>
          <w:rFonts w:ascii="Times New Roman" w:hAnsi="Times New Roman"/>
          <w:caps w:val="false"/>
          <w:smallCaps w:val="false"/>
          <w:sz w:val="20"/>
        </w:rPr>
        <w:t>not</w:t>
      </w:r>
      <w:r>
        <w:rPr>
          <w:rFonts w:ascii="Times New Roman" w:hAnsi="Times New Roman"/>
          <w:caps w:val="false"/>
          <w:smallCaps w:val="false"/>
          <w:sz w:val="20"/>
        </w:rPr>
        <w:t> constitute an admission of liability or wrongdoing by Aphria or the other defendants. The settlement agreement was approved by the Court on </w:t>
      </w:r>
      <w:r>
        <w:rPr>
          <w:rStyle w:val="Emphasis"/>
          <w:rFonts w:ascii="Times New Roman" w:hAnsi="Times New Roman"/>
          <w:caps w:val="false"/>
          <w:smallCaps w:val="false"/>
          <w:sz w:val="20"/>
        </w:rPr>
        <w:t xml:space="preserve"> March 27, 2025 </w:t>
      </w:r>
      <w:r>
        <w:rPr>
          <w:rFonts w:ascii="Times New Roman" w:hAnsi="Times New Roman"/>
          <w:caps w:val="false"/>
          <w:smallCaps w:val="false"/>
          <w:sz w:val="20"/>
        </w:rPr>
        <w:t xml:space="preserve">and became effective on </w:t>
      </w:r>
      <w:r>
        <w:rPr>
          <w:rStyle w:val="Emphasis"/>
          <w:rFonts w:ascii="Times New Roman" w:hAnsi="Times New Roman"/>
          <w:caps w:val="false"/>
          <w:smallCaps w:val="false"/>
          <w:sz w:val="20"/>
        </w:rPr>
        <w:t>April 28,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Aphria Settlement Amount was primarily funded by the outstanding balance under Aphria’s D&amp;O Insurance Policy and by the individual defendants. Aphria paid the remaining unpaid portion of the Settlement Amount equal to approximately CAD $8,300 (or approximately US $5,800).</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Aphria Inc. Securities Litigation (New York,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5, 2018, </w:t>
      </w:r>
      <w:r>
        <w:rPr>
          <w:rFonts w:ascii="Times New Roman" w:hAnsi="Times New Roman"/>
          <w:caps w:val="false"/>
          <w:smallCaps w:val="false"/>
          <w:sz w:val="20"/>
        </w:rPr>
        <w:t>a putative securities class action was commenced in SDNY against Aphria and certain current and former officers and directors. The action claims that the defendants misrepresented the value of </w:t>
      </w:r>
      <w:r>
        <w:rPr>
          <w:rStyle w:val="Emphasis"/>
          <w:rFonts w:ascii="Times New Roman" w:hAnsi="Times New Roman"/>
          <w:caps w:val="false"/>
          <w:smallCaps w:val="false"/>
          <w:sz w:val="20"/>
        </w:rPr>
        <w:t>three</w:t>
      </w:r>
      <w:r>
        <w:rPr>
          <w:rFonts w:ascii="Times New Roman" w:hAnsi="Times New Roman"/>
          <w:caps w:val="false"/>
          <w:smallCaps w:val="false"/>
          <w:sz w:val="20"/>
        </w:rPr>
        <w:t> cannabis-producing properties Aphria acquired in Jamaica, Colombia, and Argentina (the “LATAM Assets”). On </w:t>
      </w:r>
      <w:r>
        <w:rPr>
          <w:rStyle w:val="Emphasis"/>
          <w:rFonts w:ascii="Times New Roman" w:hAnsi="Times New Roman"/>
          <w:caps w:val="false"/>
          <w:smallCaps w:val="false"/>
          <w:sz w:val="20"/>
        </w:rPr>
        <w:t xml:space="preserve"> December 3, 2018, two</w:t>
      </w:r>
      <w:r>
        <w:rPr>
          <w:rFonts w:ascii="Times New Roman" w:hAnsi="Times New Roman"/>
          <w:caps w:val="false"/>
          <w:smallCaps w:val="false"/>
          <w:sz w:val="20"/>
        </w:rPr>
        <w:t> notorious short-sellers issued a report about the acquisitions, claiming the LATAM Assets were non-functional or non-existent, which allegedly caused Aphria’s stock price to fall. On </w:t>
      </w:r>
      <w:r>
        <w:rPr>
          <w:rStyle w:val="Emphasis"/>
          <w:rFonts w:ascii="Times New Roman" w:hAnsi="Times New Roman"/>
          <w:caps w:val="false"/>
          <w:smallCaps w:val="false"/>
          <w:sz w:val="20"/>
        </w:rPr>
        <w:t xml:space="preserve"> April 15, 2019, </w:t>
      </w:r>
      <w:r>
        <w:rPr>
          <w:rFonts w:ascii="Times New Roman" w:hAnsi="Times New Roman"/>
          <w:caps w:val="false"/>
          <w:smallCaps w:val="false"/>
          <w:sz w:val="20"/>
        </w:rPr>
        <w:t>Aphria took impairment charges on the LATAM Assets, which also allegedly caused Aphria’s stock price to decline. The putative class action claims that Aphria artificially inflated the price of its publicly-traded stock by making false statements about the LATAM Assets, and, when the purported truth was revealed by a short-seller report and write-down, the stock price declined, harming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30, 2020, </w:t>
      </w:r>
      <w:r>
        <w:rPr>
          <w:rFonts w:ascii="Times New Roman" w:hAnsi="Times New Roman"/>
          <w:caps w:val="false"/>
          <w:smallCaps w:val="false"/>
          <w:sz w:val="20"/>
        </w:rPr>
        <w:t>the Court denied the motion to dismiss the complaint as to Aphria, Vic Neufeld, and Carl Merton, and granted the motion as to Cole Cacciavillani, John Cervini, Andrew DeFrancesco, and SOL Global Investments. On </w:t>
      </w:r>
      <w:r>
        <w:rPr>
          <w:rStyle w:val="Emphasis"/>
          <w:rFonts w:ascii="Times New Roman" w:hAnsi="Times New Roman"/>
          <w:caps w:val="false"/>
          <w:smallCaps w:val="false"/>
          <w:sz w:val="20"/>
        </w:rPr>
        <w:t xml:space="preserve"> October 1, 2020, </w:t>
      </w:r>
      <w:r>
        <w:rPr>
          <w:rFonts w:ascii="Times New Roman" w:hAnsi="Times New Roman"/>
          <w:caps w:val="false"/>
          <w:smallCaps w:val="false"/>
          <w:sz w:val="20"/>
        </w:rPr>
        <w:t>Plaintiffs moved for reconsideration of the order dismissing DeFrancesco and SOL or, in the alternative, to amend their complaint. On </w:t>
      </w:r>
      <w:r>
        <w:rPr>
          <w:rStyle w:val="Emphasis"/>
          <w:rFonts w:ascii="Times New Roman" w:hAnsi="Times New Roman"/>
          <w:caps w:val="false"/>
          <w:smallCaps w:val="false"/>
          <w:sz w:val="20"/>
        </w:rPr>
        <w:t xml:space="preserve"> October 14, 2020, </w:t>
      </w:r>
      <w:r>
        <w:rPr>
          <w:rFonts w:ascii="Times New Roman" w:hAnsi="Times New Roman"/>
          <w:caps w:val="false"/>
          <w:smallCaps w:val="false"/>
          <w:sz w:val="20"/>
        </w:rPr>
        <w:t>Aphria, Neufeld, and Merton moved for reconsideration of the order denying their motion to dismiss. On </w:t>
      </w:r>
      <w:r>
        <w:rPr>
          <w:rStyle w:val="Emphasis"/>
          <w:rFonts w:ascii="Times New Roman" w:hAnsi="Times New Roman"/>
          <w:caps w:val="false"/>
          <w:smallCaps w:val="false"/>
          <w:sz w:val="20"/>
        </w:rPr>
        <w:t xml:space="preserve"> September 28, 2021, </w:t>
      </w:r>
      <w:r>
        <w:rPr>
          <w:rFonts w:ascii="Times New Roman" w:hAnsi="Times New Roman"/>
          <w:caps w:val="false"/>
          <w:smallCaps w:val="false"/>
          <w:sz w:val="20"/>
        </w:rPr>
        <w:t>the Court denied all motions for reconsideration and provided Plaintiffs with the opportunity to amend their complaint. Plaintiffs did </w:t>
      </w:r>
      <w:r>
        <w:rPr>
          <w:rStyle w:val="Emphasis"/>
          <w:rFonts w:ascii="Times New Roman" w:hAnsi="Times New Roman"/>
          <w:caps w:val="false"/>
          <w:smallCaps w:val="false"/>
          <w:sz w:val="20"/>
        </w:rPr>
        <w:t>not</w:t>
      </w:r>
      <w:r>
        <w:rPr>
          <w:rFonts w:ascii="Times New Roman" w:hAnsi="Times New Roman"/>
          <w:caps w:val="false"/>
          <w:smallCaps w:val="false"/>
          <w:sz w:val="20"/>
        </w:rPr>
        <w:t> amend, and so the dismissals of Cacciavillani, Cervini, DeFrancesco, and SOL Investments became dismissals with prejudice.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28, 2022, </w:t>
      </w:r>
      <w:r>
        <w:rPr>
          <w:rFonts w:ascii="Times New Roman" w:hAnsi="Times New Roman"/>
          <w:caps w:val="false"/>
          <w:smallCaps w:val="false"/>
          <w:sz w:val="20"/>
        </w:rPr>
        <w:t>Plaintiffs moved for class certification, and briefing on the motion was complete as of </w:t>
      </w:r>
      <w:r>
        <w:rPr>
          <w:rStyle w:val="Emphasis"/>
          <w:rFonts w:ascii="Times New Roman" w:hAnsi="Times New Roman"/>
          <w:caps w:val="false"/>
          <w:smallCaps w:val="false"/>
          <w:sz w:val="20"/>
        </w:rPr>
        <w:t xml:space="preserve"> June 28, 2022. </w:t>
      </w:r>
      <w:r>
        <w:rPr>
          <w:rFonts w:ascii="Times New Roman" w:hAnsi="Times New Roman"/>
          <w:caps w:val="false"/>
          <w:smallCaps w:val="false"/>
          <w:sz w:val="20"/>
        </w:rPr>
        <w:t>The motion was granted, and a class was certified. On </w:t>
      </w:r>
      <w:r>
        <w:rPr>
          <w:rStyle w:val="Emphasis"/>
          <w:rFonts w:ascii="Times New Roman" w:hAnsi="Times New Roman"/>
          <w:caps w:val="false"/>
          <w:smallCaps w:val="false"/>
          <w:sz w:val="20"/>
        </w:rPr>
        <w:t xml:space="preserve"> April 12, 2024, </w:t>
      </w:r>
      <w:r>
        <w:rPr>
          <w:rFonts w:ascii="Times New Roman" w:hAnsi="Times New Roman"/>
          <w:caps w:val="false"/>
          <w:smallCaps w:val="false"/>
          <w:sz w:val="20"/>
        </w:rPr>
        <w:t>the parties filed a revised schedule for the remainder of the proceeding through trial. As of the date of this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parties have completed fact discovery. There is currently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court-ordered timetable in place for the litigation. The Company and the individual defendants believe the claims are without merit and will continue to vigorously defend against them, but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assurances as to the outcome.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Dismissal of Martin Dionne suit v. HEXO Corporation and Sebastien St. Louis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a Canadian securities class action was instituted against HEXO Corp. (“HEXO”) and its former CEO, Sebastien St. Louis. The plaintiff claims that between </w:t>
      </w:r>
      <w:r>
        <w:rPr>
          <w:rStyle w:val="Emphasis"/>
          <w:rFonts w:ascii="Times New Roman" w:hAnsi="Times New Roman"/>
          <w:caps w:val="false"/>
          <w:smallCaps w:val="false"/>
          <w:sz w:val="20"/>
        </w:rPr>
        <w:t xml:space="preserve">April 11, 2018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30, 2020, </w:t>
      </w:r>
      <w:r>
        <w:rPr>
          <w:rFonts w:ascii="Times New Roman" w:hAnsi="Times New Roman"/>
          <w:caps w:val="false"/>
          <w:smallCaps w:val="false"/>
          <w:sz w:val="20"/>
        </w:rPr>
        <w:t xml:space="preserve">the defendants misrepresented material facts, in both documents and oral statements and failed to disclose material changes in a timely manner as it relates to: (a) revenue certainty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year post-legalization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supply agreement with the province of Québec); (b) additional revenue generation (acquisition of Newstrike); (c) HEXO inventory and internal controls; and (d) licensing at the Niagara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23, 2023, </w:t>
      </w:r>
      <w:r>
        <w:rPr>
          <w:rFonts w:ascii="Times New Roman" w:hAnsi="Times New Roman"/>
          <w:caps w:val="false"/>
          <w:smallCaps w:val="false"/>
          <w:sz w:val="20"/>
        </w:rPr>
        <w:t xml:space="preserve">the class action was dismissed in its entirety at the certification stage in Quebec. On </w:t>
      </w:r>
      <w:r>
        <w:rPr>
          <w:rStyle w:val="Emphasis"/>
          <w:rFonts w:ascii="Times New Roman" w:hAnsi="Times New Roman"/>
          <w:caps w:val="false"/>
          <w:smallCaps w:val="false"/>
          <w:sz w:val="20"/>
        </w:rPr>
        <w:t xml:space="preserve">March 14, 2023, </w:t>
      </w:r>
      <w:r>
        <w:rPr>
          <w:rFonts w:ascii="Times New Roman" w:hAnsi="Times New Roman"/>
          <w:caps w:val="false"/>
          <w:smallCaps w:val="false"/>
          <w:sz w:val="20"/>
        </w:rPr>
        <w:t xml:space="preserve">the plaintiff appealed this decision to the Quebec Court of Appeal. The appeal was heard on </w:t>
      </w:r>
      <w:r>
        <w:rPr>
          <w:rStyle w:val="Emphasis"/>
          <w:rFonts w:ascii="Times New Roman" w:hAnsi="Times New Roman"/>
          <w:caps w:val="false"/>
          <w:smallCaps w:val="false"/>
          <w:sz w:val="20"/>
        </w:rPr>
        <w:t xml:space="preserve">January 18, 2024 </w:t>
      </w:r>
      <w:r>
        <w:rPr>
          <w:rFonts w:ascii="Times New Roman" w:hAnsi="Times New Roman"/>
          <w:caps w:val="false"/>
          <w:smallCaps w:val="false"/>
          <w:sz w:val="20"/>
        </w:rPr>
        <w:t xml:space="preserve">and the Quebec Court of Appeal dismissed this appeal on </w:t>
      </w:r>
      <w:r>
        <w:rPr>
          <w:rStyle w:val="Emphasis"/>
          <w:rFonts w:ascii="Times New Roman" w:hAnsi="Times New Roman"/>
          <w:caps w:val="false"/>
          <w:smallCaps w:val="false"/>
          <w:sz w:val="20"/>
        </w:rPr>
        <w:t xml:space="preserve">April 16, 2025.  </w:t>
      </w:r>
      <w:r>
        <w:rPr>
          <w:rFonts w:ascii="Times New Roman" w:hAnsi="Times New Roman"/>
          <w:caps w:val="false"/>
          <w:smallCaps w:val="false"/>
          <w:sz w:val="20"/>
        </w:rPr>
        <w:t>Following successful dismissal of plaintiff’s appeal, the Company intends to pursue recovery of D&amp;O policy retention amounts following the successful outcome.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Proceedings Related to Contractual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b/>
          <w:i/>
          <w:caps w:val="false"/>
          <w:smallCaps w:val="false"/>
          <w:sz w:val="20"/>
        </w:rPr>
        <w:t xml:space="preserve">Settlement and Dismissal of </w:t>
      </w:r>
      <w:r>
        <w:rPr>
          <w:rStyle w:val="Emphasis"/>
          <w:rFonts w:ascii="Times New Roman" w:hAnsi="Times New Roman"/>
          <w:b/>
          <w:i/>
          <w:caps w:val="false"/>
          <w:smallCaps w:val="false"/>
          <w:sz w:val="20"/>
        </w:rPr>
        <w:t>420</w:t>
      </w:r>
      <w:r>
        <w:rPr>
          <w:rFonts w:ascii="Times New Roman" w:hAnsi="Times New Roman"/>
          <w:caps w:val="false"/>
          <w:smallCaps w:val="false"/>
          <w:sz w:val="20"/>
        </w:rPr>
        <w:t> </w:t>
      </w:r>
      <w:r>
        <w:rPr>
          <w:rFonts w:ascii="Times New Roman" w:hAnsi="Times New Roman"/>
          <w:b/>
          <w:i/>
          <w:caps w:val="false"/>
          <w:smallCaps w:val="false"/>
          <w:sz w:val="20"/>
        </w:rPr>
        <w:t>Investments Ltd.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21, 2020, 420</w:t>
      </w:r>
      <w:r>
        <w:rPr>
          <w:rFonts w:ascii="Times New Roman" w:hAnsi="Times New Roman"/>
          <w:caps w:val="false"/>
          <w:smallCaps w:val="false"/>
          <w:sz w:val="20"/>
        </w:rPr>
        <w:t> Investments Ltd., as Plaintiff (</w:t>
      </w:r>
      <w:r>
        <w:rPr>
          <w:rStyle w:val="Emphasis"/>
          <w:rFonts w:ascii="Times New Roman" w:hAnsi="Times New Roman"/>
          <w:caps w:val="false"/>
          <w:smallCaps w:val="false"/>
          <w:sz w:val="20"/>
        </w:rPr>
        <w:t>“420</w:t>
      </w:r>
      <w:r>
        <w:rPr>
          <w:rFonts w:ascii="Times New Roman" w:hAnsi="Times New Roman"/>
          <w:caps w:val="false"/>
          <w:smallCaps w:val="false"/>
          <w:sz w:val="20"/>
        </w:rPr>
        <w:t> Investments”), filed a lawsuit against Tilray Brands, Inc. and High Park Shops Inc. (“High Park”), as Defendants, in Calgary, Alberta in the Court of Queen’s Bench of Alberta. In </w:t>
      </w:r>
      <w:r>
        <w:rPr>
          <w:rStyle w:val="Emphasis"/>
          <w:rFonts w:ascii="Times New Roman" w:hAnsi="Times New Roman"/>
          <w:caps w:val="false"/>
          <w:smallCaps w:val="false"/>
          <w:sz w:val="20"/>
        </w:rPr>
        <w:t xml:space="preserve"> August 2019, </w:t>
      </w:r>
      <w:r>
        <w:rPr>
          <w:rFonts w:ascii="Times New Roman" w:hAnsi="Times New Roman"/>
          <w:caps w:val="false"/>
          <w:smallCaps w:val="false"/>
          <w:sz w:val="20"/>
        </w:rPr>
        <w:t>Tilray and High Park entered into an Arrangement Agreement with </w:t>
      </w:r>
      <w:r>
        <w:rPr>
          <w:rStyle w:val="Emphasis"/>
          <w:rFonts w:ascii="Times New Roman" w:hAnsi="Times New Roman"/>
          <w:caps w:val="false"/>
          <w:smallCaps w:val="false"/>
          <w:sz w:val="20"/>
        </w:rPr>
        <w:t>420</w:t>
      </w:r>
      <w:r>
        <w:rPr>
          <w:rFonts w:ascii="Times New Roman" w:hAnsi="Times New Roman"/>
          <w:caps w:val="false"/>
          <w:smallCaps w:val="false"/>
          <w:sz w:val="20"/>
        </w:rPr>
        <w:t> Investments and others (the “Agreement”). Pursuant to the Agreement, High Park was to acquire the securities of </w:t>
      </w:r>
      <w:r>
        <w:rPr>
          <w:rStyle w:val="Emphasis"/>
          <w:rFonts w:ascii="Times New Roman" w:hAnsi="Times New Roman"/>
          <w:caps w:val="false"/>
          <w:smallCaps w:val="false"/>
          <w:sz w:val="20"/>
        </w:rPr>
        <w:t>420</w:t>
      </w:r>
      <w:r>
        <w:rPr>
          <w:rFonts w:ascii="Times New Roman" w:hAnsi="Times New Roman"/>
          <w:caps w:val="false"/>
          <w:smallCaps w:val="false"/>
          <w:sz w:val="20"/>
        </w:rPr>
        <w:t> Investments. In </w:t>
      </w:r>
      <w:r>
        <w:rPr>
          <w:rStyle w:val="Emphasis"/>
          <w:rFonts w:ascii="Times New Roman" w:hAnsi="Times New Roman"/>
          <w:caps w:val="false"/>
          <w:smallCaps w:val="false"/>
          <w:sz w:val="20"/>
        </w:rPr>
        <w:t xml:space="preserve"> February 2020, </w:t>
      </w:r>
      <w:r>
        <w:rPr>
          <w:rFonts w:ascii="Times New Roman" w:hAnsi="Times New Roman"/>
          <w:caps w:val="false"/>
          <w:smallCaps w:val="false"/>
          <w:sz w:val="20"/>
        </w:rPr>
        <w:t>Tilray and High Park gave notice of termination of the Agreement.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Investments alleged that the termination was unlawful and without merit.  </w:t>
      </w:r>
      <w:r>
        <w:rPr>
          <w:rStyle w:val="Emphasis"/>
          <w:rFonts w:ascii="Times New Roman" w:hAnsi="Times New Roman"/>
          <w:caps w:val="false"/>
          <w:smallCaps w:val="false"/>
          <w:sz w:val="20"/>
        </w:rPr>
        <w:t>420</w:t>
      </w:r>
      <w:r>
        <w:rPr>
          <w:rFonts w:ascii="Times New Roman" w:hAnsi="Times New Roman"/>
          <w:caps w:val="false"/>
          <w:smallCaps w:val="false"/>
          <w:sz w:val="20"/>
        </w:rPr>
        <w:t> Investments sought damages in the stated amount of CAD $110,000, plus C$20,000 in aggravated damages. High Park subsequently counterclaimed against </w:t>
      </w:r>
      <w:r>
        <w:rPr>
          <w:rStyle w:val="Emphasis"/>
          <w:rFonts w:ascii="Times New Roman" w:hAnsi="Times New Roman"/>
          <w:caps w:val="false"/>
          <w:smallCaps w:val="false"/>
          <w:sz w:val="20"/>
        </w:rPr>
        <w:t>420</w:t>
      </w:r>
      <w:r>
        <w:rPr>
          <w:rFonts w:ascii="Times New Roman" w:hAnsi="Times New Roman"/>
          <w:caps w:val="false"/>
          <w:smallCaps w:val="false"/>
          <w:sz w:val="20"/>
        </w:rPr>
        <w:t> Investments for repayment of a CAD $7,000 bridge loan made to </w:t>
      </w:r>
      <w:r>
        <w:rPr>
          <w:rStyle w:val="Emphasis"/>
          <w:rFonts w:ascii="Times New Roman" w:hAnsi="Times New Roman"/>
          <w:caps w:val="false"/>
          <w:smallCaps w:val="false"/>
          <w:sz w:val="20"/>
        </w:rPr>
        <w:t>420</w:t>
      </w:r>
      <w:r>
        <w:rPr>
          <w:rFonts w:ascii="Times New Roman" w:hAnsi="Times New Roman"/>
          <w:caps w:val="false"/>
          <w:smallCaps w:val="false"/>
          <w:sz w:val="20"/>
        </w:rPr>
        <w:t> Investments in </w:t>
      </w:r>
      <w:r>
        <w:rPr>
          <w:rStyle w:val="Emphasis"/>
          <w:rFonts w:ascii="Times New Roman" w:hAnsi="Times New Roman"/>
          <w:caps w:val="false"/>
          <w:smallCaps w:val="false"/>
          <w:sz w:val="20"/>
        </w:rPr>
        <w:t xml:space="preserve"> August 2019.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7, 2024, </w:t>
      </w:r>
      <w:r>
        <w:rPr>
          <w:rFonts w:ascii="Times New Roman" w:hAnsi="Times New Roman"/>
          <w:caps w:val="false"/>
          <w:smallCaps w:val="false"/>
          <w:sz w:val="20"/>
        </w:rPr>
        <w:t xml:space="preserve">the court granted summary judgment in favor of High Park on its counterclaim. The summary judgment order was equal to the amount of CAD $7,000, plus pre-judgment interest in the amount of CAD $2,280. On </w:t>
      </w:r>
      <w:r>
        <w:rPr>
          <w:rStyle w:val="Emphasis"/>
          <w:rFonts w:ascii="Times New Roman" w:hAnsi="Times New Roman"/>
          <w:caps w:val="false"/>
          <w:smallCaps w:val="false"/>
          <w:sz w:val="20"/>
        </w:rPr>
        <w:t xml:space="preserve">October 16, 2024, </w:t>
      </w:r>
      <w:r>
        <w:rPr>
          <w:rFonts w:ascii="Times New Roman" w:hAnsi="Times New Roman"/>
          <w:caps w:val="false"/>
          <w:smallCaps w:val="false"/>
          <w:sz w:val="20"/>
        </w:rPr>
        <w:t>the court subsequently overturned the summary judgment decision, and High Park subsequently appealed that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29, 2024, 420</w:t>
      </w:r>
      <w:r>
        <w:rPr>
          <w:rFonts w:ascii="Times New Roman" w:hAnsi="Times New Roman"/>
          <w:caps w:val="false"/>
          <w:smallCaps w:val="false"/>
          <w:sz w:val="20"/>
        </w:rPr>
        <w:t xml:space="preserve"> Investments and others filed a Notice of Intention to Make a Proposal under subsection </w:t>
      </w:r>
      <w:r>
        <w:rPr>
          <w:rStyle w:val="Emphasis"/>
          <w:rFonts w:ascii="Times New Roman" w:hAnsi="Times New Roman"/>
          <w:caps w:val="false"/>
          <w:smallCaps w:val="false"/>
          <w:sz w:val="20"/>
        </w:rPr>
        <w:t>50.4</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of the Bankruptcy and Insolvency Act, RSC </w:t>
      </w:r>
      <w:r>
        <w:rPr>
          <w:rStyle w:val="Emphasis"/>
          <w:rFonts w:ascii="Times New Roman" w:hAnsi="Times New Roman"/>
          <w:caps w:val="false"/>
          <w:smallCaps w:val="false"/>
          <w:sz w:val="20"/>
        </w:rPr>
        <w:t>1985,</w:t>
      </w:r>
      <w:r>
        <w:rPr>
          <w:rFonts w:ascii="Times New Roman" w:hAnsi="Times New Roman"/>
          <w:caps w:val="false"/>
          <w:smallCaps w:val="false"/>
          <w:sz w:val="20"/>
        </w:rPr>
        <w:t> c. B-</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September 19, 2024, </w:t>
      </w:r>
      <w:r>
        <w:rPr>
          <w:rFonts w:ascii="Times New Roman" w:hAnsi="Times New Roman"/>
          <w:caps w:val="false"/>
          <w:smallCaps w:val="false"/>
          <w:sz w:val="20"/>
        </w:rPr>
        <w:t xml:space="preserve">the court directed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Investments to enter a strategic sales process under the </w:t>
      </w:r>
      <w:r>
        <w:rPr>
          <w:rFonts w:ascii="Times New Roman" w:hAnsi="Times New Roman"/>
          <w:i/>
          <w:caps w:val="false"/>
          <w:smallCaps w:val="false"/>
          <w:sz w:val="20"/>
        </w:rPr>
        <w:t>Companies</w:t>
      </w:r>
      <w:r>
        <w:rPr>
          <w:rFonts w:ascii="Times New Roman" w:hAnsi="Times New Roman"/>
          <w:caps w:val="false"/>
          <w:smallCaps w:val="false"/>
          <w:sz w:val="20"/>
        </w:rPr>
        <w:t xml:space="preserve">’ </w:t>
      </w:r>
      <w:r>
        <w:rPr>
          <w:rFonts w:ascii="Times New Roman" w:hAnsi="Times New Roman"/>
          <w:i/>
          <w:caps w:val="false"/>
          <w:smallCaps w:val="false"/>
          <w:sz w:val="20"/>
        </w:rPr>
        <w:t>Creditors Arrangement Act</w:t>
      </w:r>
      <w:r>
        <w:rPr>
          <w:rFonts w:ascii="Times New Roman" w:hAnsi="Times New Roman"/>
          <w:caps w:val="false"/>
          <w:smallCaps w:val="false"/>
          <w:sz w:val="20"/>
        </w:rPr>
        <w:t xml:space="preserve">, RSC </w:t>
      </w:r>
      <w:r>
        <w:rPr>
          <w:rStyle w:val="Emphasis"/>
          <w:rFonts w:ascii="Times New Roman" w:hAnsi="Times New Roman"/>
          <w:caps w:val="false"/>
          <w:smallCaps w:val="false"/>
          <w:sz w:val="20"/>
        </w:rPr>
        <w:t>1985,</w:t>
      </w:r>
      <w:r>
        <w:rPr>
          <w:rFonts w:ascii="Times New Roman" w:hAnsi="Times New Roman"/>
          <w:caps w:val="false"/>
          <w:smallCaps w:val="false"/>
          <w:sz w:val="20"/>
        </w:rPr>
        <w:t xml:space="preserve"> c-</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In the course of the insolvency proceedings, Tilray purchased the claims of certain entities for a significant discount and with an aggregate approximate value of CAD $1,400.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11, 2025, </w:t>
      </w:r>
      <w:r>
        <w:rPr>
          <w:rFonts w:ascii="Times New Roman" w:hAnsi="Times New Roman"/>
          <w:caps w:val="false"/>
          <w:smallCaps w:val="false"/>
          <w:sz w:val="20"/>
        </w:rPr>
        <w:t xml:space="preserve">the parties successfully settled the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Investments proceedings. The terms of the settlement agreement, which were approved by the court, included payment by Tilray of a net amount equal to approximately $2,700; Tilray’s waiver of any recovery on its acquired claims; and the assignment back to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investments of the CAD $7,000 bridge loan plus interest and costs.  In exchange,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Investments’ litigation claims were fully dismissed and the parties executed mutual releases.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Fotmer Corporation S.A. v. Tilray Brands Inc. et 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4, 2023, </w:t>
      </w:r>
      <w:r>
        <w:rPr>
          <w:rFonts w:ascii="Times New Roman" w:hAnsi="Times New Roman"/>
          <w:caps w:val="false"/>
          <w:smallCaps w:val="false"/>
          <w:sz w:val="20"/>
        </w:rPr>
        <w:t xml:space="preserve">Fotmer Corporation S.A. commenced an arbitration demanding $1,233 for alleged breaches by Tilray of a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purchase agreement. On </w:t>
      </w:r>
      <w:r>
        <w:rPr>
          <w:rStyle w:val="Emphasis"/>
          <w:rFonts w:ascii="Times New Roman" w:hAnsi="Times New Roman"/>
          <w:caps w:val="false"/>
          <w:smallCaps w:val="false"/>
          <w:sz w:val="20"/>
        </w:rPr>
        <w:t xml:space="preserve">July 5, 2023, </w:t>
      </w:r>
      <w:r>
        <w:rPr>
          <w:rFonts w:ascii="Times New Roman" w:hAnsi="Times New Roman"/>
          <w:caps w:val="false"/>
          <w:smallCaps w:val="false"/>
          <w:sz w:val="20"/>
        </w:rPr>
        <w:t xml:space="preserve">Tilray responded by filing a court action in the Berlin Regional Court seeking $2,250 under a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supply agreement asserting that Fotmer’s alleged monetary claims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supply agreements are improper, and that Fotmer owes Tilray $2.25 million in respect of advance payments made for future deliveries and certain reimbursement obligations owing by Fotmer to Tilray for defective products and EU GMP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8, 2023, </w:t>
      </w:r>
      <w:r>
        <w:rPr>
          <w:rFonts w:ascii="Times New Roman" w:hAnsi="Times New Roman"/>
          <w:caps w:val="false"/>
          <w:smallCaps w:val="false"/>
          <w:sz w:val="20"/>
        </w:rPr>
        <w:t xml:space="preserve">a final award was issued in the arbitration between the parties, ordering Tilray to pay Fotmer damages in the amount of $1,233, plus simple interest of 7.5% from </w:t>
      </w:r>
      <w:r>
        <w:rPr>
          <w:rStyle w:val="Emphasis"/>
          <w:rFonts w:ascii="Times New Roman" w:hAnsi="Times New Roman"/>
          <w:caps w:val="false"/>
          <w:smallCaps w:val="false"/>
          <w:sz w:val="20"/>
        </w:rPr>
        <w:t xml:space="preserve">December 29, 2020 </w:t>
      </w:r>
      <w:r>
        <w:rPr>
          <w:rFonts w:ascii="Times New Roman" w:hAnsi="Times New Roman"/>
          <w:caps w:val="false"/>
          <w:smallCaps w:val="false"/>
          <w:sz w:val="20"/>
        </w:rPr>
        <w:t xml:space="preserve">forward, in connection with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supply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Tilray has yet to pay Fotmer any amounts owed pursuant to the arbitral award on the basis that the facts and legal issues in the court action and the arbitration overlap, such that equitable setoff should be applied between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proceedings. In the court action, Fotmer submitted its statement of defense on </w:t>
      </w:r>
      <w:r>
        <w:rPr>
          <w:rStyle w:val="Emphasis"/>
          <w:rFonts w:ascii="Times New Roman" w:hAnsi="Times New Roman"/>
          <w:caps w:val="false"/>
          <w:smallCaps w:val="false"/>
          <w:sz w:val="20"/>
        </w:rPr>
        <w:t xml:space="preserve">November 7,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21, 2024, </w:t>
      </w:r>
      <w:r>
        <w:rPr>
          <w:rFonts w:ascii="Times New Roman" w:hAnsi="Times New Roman"/>
          <w:caps w:val="false"/>
          <w:smallCaps w:val="false"/>
          <w:sz w:val="20"/>
        </w:rPr>
        <w:t>Tilray filed its statement of reply and defense against counterclaims. Tilray believes that Fotmer’s claims are without merit and the Company intends to vigorously defend against these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Summary of litigation accruals</w:t>
      </w:r>
      <w:r>
        <w:rPr>
          <w:rFonts w:ascii="Times New Roman" w:hAnsi="Times New Roman"/>
          <w:caps w:val="false"/>
          <w:smallCaps w:val="false"/>
          <w:sz w:val="20"/>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described in Note </w:t>
      </w:r>
      <w:r>
        <w:rPr>
          <w:rStyle w:val="Emphasis"/>
          <w:rFonts w:ascii="Times New Roman" w:hAnsi="Times New Roman"/>
          <w:caps w:val="false"/>
          <w:smallCaps w:val="false"/>
          <w:sz w:val="20"/>
        </w:rPr>
        <w:t>15</w:t>
      </w:r>
      <w:r>
        <w:rPr>
          <w:rFonts w:ascii="Times New Roman" w:hAnsi="Times New Roman"/>
          <w:caps w:val="false"/>
          <w:smallCaps w:val="false"/>
          <w:sz w:val="20"/>
        </w:rPr>
        <w:t> (Accounts payable and accrued liabilities), the total estimated litigation expense accrual included in accrued liabilities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was $12,431 (</w:t>
      </w:r>
      <w:r>
        <w:rPr>
          <w:rStyle w:val="Emphasis"/>
          <w:rFonts w:ascii="Times New Roman" w:hAnsi="Times New Roman"/>
          <w:caps w:val="false"/>
          <w:smallCaps w:val="false"/>
          <w:sz w:val="20"/>
        </w:rPr>
        <w:t xml:space="preserve"> May 31, 2024 - $</w:t>
      </w:r>
      <w:r>
        <w:rPr>
          <w:rFonts w:ascii="Times New Roman" w:hAnsi="Times New Roman"/>
          <w:caps w:val="false"/>
          <w:smallCaps w:val="false"/>
          <w:sz w:val="20"/>
        </w:rPr>
        <w:t>24,378). This estimated accrual is intended to cover various ongoing litigation matters with probable losses that can be reasonably estimated. The Company did not assume any litigation accruals from the Craft Acquisition II.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810" w:type="dxa"/>
        <w:jc w:val="left"/>
        <w:tblInd w:w="0" w:type="dxa"/>
        <w:tblLayout w:type="fixed"/>
        <w:tblCellMar>
          <w:top w:w="0" w:type="dxa"/>
          <w:left w:w="0" w:type="dxa"/>
          <w:bottom w:w="0" w:type="dxa"/>
          <w:right w:w="0" w:type="dxa"/>
        </w:tblCellMar>
      </w:tblPr>
      <w:tblGrid>
        <w:gridCol w:w="275"/>
        <w:gridCol w:w="45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29.</w:t>
            </w:r>
          </w:p>
        </w:tc>
        <w:tc>
          <w:tcPr>
            <w:tcW w:w="4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risk management and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classified its financial instruments as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(Significant accounting policies</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carrying values of marketable securities, accounts receivable, bank indebtedness and accounts payable and accrued liabilities approximate their fair values due to their short periods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 Company had long-term debt of $2,546 and $3,568, respectively, and the principal portion of convertible debentures payable of $105,00 and $172,830, respectively, subject to fixed interest rates.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recorded at fair value are classified using a fair value hierarchy that reflects the significance of inputs used in making the measurements. Cash and cash equivalents are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hierarchy is summarized as follows:</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635"/>
        <w:gridCol w:w="635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(unadjusted)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12"/>
        <w:gridCol w:w="9533"/>
      </w:tblGrid>
      <w:tr>
        <w:trPr/>
        <w:tc>
          <w:tcPr>
            <w:tcW w:w="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p>
        </w:tc>
        <w:tc>
          <w:tcPr>
            <w:tcW w:w="95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Inputs that are observable for the asset or liability, either directly (prices) or indirectly (derived from prices) from observable market data</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635"/>
        <w:gridCol w:w="569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p>
        </w:tc>
        <w:tc>
          <w:tcPr>
            <w:tcW w:w="569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Inputs for assets and liabilities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based upon observable market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present information about the Company’s assets and liabilities that are measured at fair value on a recurring basis as of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indicates the fair value hierarchy of the valuation techniques the Company utilized to determine such fair value:</w:t>
      </w:r>
    </w:p>
    <w:p>
      <w:pPr>
        <w:pStyle w:val="TextBody"/>
        <w:bidi w:val="0"/>
        <w:spacing w:before="0" w:after="0"/>
        <w:ind w:left="0" w:right="0" w:hanging="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3410"/>
        <w:gridCol w:w="60"/>
        <w:gridCol w:w="125"/>
        <w:gridCol w:w="695"/>
        <w:gridCol w:w="60"/>
        <w:gridCol w:w="60"/>
        <w:gridCol w:w="127"/>
        <w:gridCol w:w="492"/>
        <w:gridCol w:w="60"/>
        <w:gridCol w:w="60"/>
        <w:gridCol w:w="125"/>
        <w:gridCol w:w="650"/>
        <w:gridCol w:w="80"/>
        <w:gridCol w:w="60"/>
        <w:gridCol w:w="125"/>
        <w:gridCol w:w="695"/>
        <w:gridCol w:w="8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221,666</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34,697</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investments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10,132</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APHA 24 Convertible debenture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recurring fair value measurements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250,403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3410"/>
        <w:gridCol w:w="60"/>
        <w:gridCol w:w="125"/>
        <w:gridCol w:w="695"/>
        <w:gridCol w:w="60"/>
        <w:gridCol w:w="60"/>
        <w:gridCol w:w="127"/>
        <w:gridCol w:w="492"/>
        <w:gridCol w:w="60"/>
        <w:gridCol w:w="60"/>
        <w:gridCol w:w="125"/>
        <w:gridCol w:w="650"/>
        <w:gridCol w:w="80"/>
        <w:gridCol w:w="60"/>
        <w:gridCol w:w="125"/>
        <w:gridCol w:w="695"/>
        <w:gridCol w:w="8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228,340</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32,182</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investments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7,859</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Financial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APHA 24 Convertible debenture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recurring fair value measurements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281,798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Convertible notes receivable and long-term investments are recorded at fair value. The estimated fair value is determined by assessing the collateral entitlement from the asset and is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During the fiscal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an impairment to convertible notes receivable of $21,661 was recognized, compared to an impairment of $42,681 in the fiscal year ended  </w:t>
      </w:r>
      <w:r>
        <w:rPr>
          <w:rStyle w:val="Emphasis"/>
          <w:rFonts w:ascii="Times New Roman" w:hAnsi="Times New Roman"/>
          <w:caps w:val="false"/>
          <w:smallCaps w:val="false"/>
          <w:sz w:val="20"/>
        </w:rPr>
        <w:t xml:space="preserve"> May 31, 2024.</w:t>
      </w:r>
      <w:r>
        <w:rPr>
          <w:rFonts w:ascii="Times New Roman" w:hAnsi="Times New Roman"/>
          <w:caps w:val="false"/>
          <w:smallCaps w:val="false"/>
          <w:sz w:val="20"/>
        </w:rPr>
        <w:t xml:space="preserve"> Subsequent to the impairment recorded in </w:t>
      </w:r>
      <w:r>
        <w:rPr>
          <w:rStyle w:val="Emphasis"/>
          <w:rFonts w:ascii="Times New Roman" w:hAnsi="Times New Roman"/>
          <w:caps w:val="false"/>
          <w:smallCaps w:val="false"/>
          <w:sz w:val="20"/>
        </w:rPr>
        <w:t>January 2025, </w:t>
      </w:r>
      <w:r>
        <w:rPr>
          <w:rFonts w:ascii="Times New Roman" w:hAnsi="Times New Roman"/>
          <w:caps w:val="false"/>
          <w:smallCaps w:val="false"/>
          <w:sz w:val="20"/>
        </w:rPr>
        <w:t>MedMen exited receivership and substantially all of its remaining assets were transferred to a new entity owned by MedMen’s secured creditors, including SH Acquisition. In connection with the foregoing, the Company disposed of its MedMen Convertible Note in exchange for on option to acquire a 68% membership interest in SH Acquisition for $1.00 upon U.S. federal cannabis legalization. See Note </w:t>
      </w:r>
      <w:r>
        <w:rPr>
          <w:rStyle w:val="Emphasis"/>
          <w:rFonts w:ascii="Times New Roman" w:hAnsi="Times New Roman"/>
          <w:caps w:val="false"/>
          <w:smallCaps w:val="false"/>
          <w:sz w:val="20"/>
        </w:rPr>
        <w:t>9</w:t>
      </w:r>
      <w:r>
        <w:rPr>
          <w:rFonts w:ascii="Times New Roman" w:hAnsi="Times New Roman"/>
          <w:caps w:val="false"/>
          <w:smallCaps w:val="false"/>
          <w:sz w:val="20"/>
        </w:rPr>
        <w:t> (Long-term investments). This option was recorded as a Level </w:t>
      </w:r>
      <w:r>
        <w:rPr>
          <w:rStyle w:val="Emphasis"/>
          <w:rFonts w:ascii="Times New Roman" w:hAnsi="Times New Roman"/>
          <w:caps w:val="false"/>
          <w:smallCaps w:val="false"/>
          <w:sz w:val="20"/>
        </w:rPr>
        <w:t>3</w:t>
      </w:r>
      <w:r>
        <w:rPr>
          <w:rFonts w:ascii="Times New Roman" w:hAnsi="Times New Roman"/>
          <w:caps w:val="false"/>
          <w:smallCaps w:val="false"/>
          <w:sz w:val="20"/>
        </w:rPr>
        <w:t> equity investment measured at fair value of $8,160 by assessing the discounted cash flows of SH Acquisition.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Convertible debentures payable are recorded at fair value when elected or required under US GAAP. Specifically, the APHA </w:t>
      </w:r>
      <w:r>
        <w:rPr>
          <w:rStyle w:val="Emphasis"/>
          <w:rFonts w:ascii="Times New Roman" w:hAnsi="Times New Roman"/>
          <w:caps w:val="false"/>
          <w:smallCaps w:val="false"/>
          <w:sz w:val="20"/>
        </w:rPr>
        <w:t>24</w:t>
      </w:r>
      <w:r>
        <w:rPr>
          <w:rFonts w:ascii="Times New Roman" w:hAnsi="Times New Roman"/>
          <w:caps w:val="false"/>
          <w:smallCaps w:val="false"/>
          <w:sz w:val="20"/>
        </w:rPr>
        <w:t> instrument's estimated fair value was determined using the Black-Scholes option pricing model and was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remaining principal balance outstanding of the APHA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notes as of </w:t>
      </w:r>
      <w:r>
        <w:rPr>
          <w:rStyle w:val="Emphasis"/>
          <w:rFonts w:ascii="Times New Roman" w:hAnsi="Times New Roman"/>
          <w:caps w:val="false"/>
          <w:smallCaps w:val="false"/>
          <w:sz w:val="20"/>
        </w:rPr>
        <w:t>May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Certain equity investments recorded at fair value have quoted prices in active markets for identical assets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The Company classified securities with observable inputs as Level </w:t>
      </w:r>
      <w:r>
        <w:rPr>
          <w:rStyle w:val="Emphasis"/>
          <w:rFonts w:ascii="Times New Roman" w:hAnsi="Times New Roman"/>
          <w:caps w:val="false"/>
          <w:smallCaps w:val="false"/>
          <w:sz w:val="20"/>
        </w:rPr>
        <w:t>2</w:t>
      </w:r>
      <w:r>
        <w:rPr>
          <w:rFonts w:ascii="Times New Roman" w:hAnsi="Times New Roman"/>
          <w:caps w:val="false"/>
          <w:smallCaps w:val="false"/>
          <w:sz w:val="20"/>
        </w:rPr>
        <w:t> and without a quoted market price as Level </w:t>
      </w:r>
      <w:r>
        <w:rPr>
          <w:rStyle w:val="Emphasis"/>
          <w:rFonts w:ascii="Times New Roman" w:hAnsi="Times New Roman"/>
          <w:caps w:val="false"/>
          <w:smallCaps w:val="false"/>
          <w:sz w:val="2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warrants associated with the warrant liability are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as the change in fair value of warrant liability within the consolidated statements of loss and comprehensive loss. Any significant adjustments to the unobservable inputs disclosed in the table below would have a direct impact on the fair value of the warrant liability.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A portion of the consideration to be paid in connection with the Company’s acquisition of Montauk Brewing Company (“Montauk”) is contingent upon the achievement of certain financial measures as of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If achieved, such contingent consideration is payable in cash. The contingent consideration amount was estimated by applying a probability of achievement of 100% as it is expected on the $15,000 sales earn-out component and 0% on the remaining criteria, which is </w:t>
      </w:r>
      <w:r>
        <w:rPr>
          <w:rStyle w:val="Emphasis"/>
          <w:rFonts w:ascii="Times New Roman" w:hAnsi="Times New Roman"/>
          <w:caps w:val="false"/>
          <w:smallCaps w:val="false"/>
          <w:sz w:val="20"/>
        </w:rPr>
        <w:t>not</w:t>
      </w:r>
      <w:r>
        <w:rPr>
          <w:rFonts w:ascii="Times New Roman" w:hAnsi="Times New Roman"/>
          <w:caps w:val="false"/>
          <w:smallCaps w:val="false"/>
          <w:sz w:val="20"/>
        </w:rPr>
        <w:t> expected to be achieved. The unobservable inputs into the future expected cash outflows result in a fair value measurement classified as Level </w:t>
      </w:r>
      <w:r>
        <w:rPr>
          <w:rStyle w:val="Emphasis"/>
          <w:rFonts w:ascii="Times New Roman" w:hAnsi="Times New Roman"/>
          <w:caps w:val="false"/>
          <w:smallCaps w:val="false"/>
          <w:sz w:val="2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fiscal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a decrease in fair value of $nil was recognized compared to a decrease of fair value of $15,790 in the fiscal period ended </w:t>
      </w:r>
      <w:r>
        <w:rPr>
          <w:rStyle w:val="Emphasis"/>
          <w:rFonts w:ascii="Times New Roman" w:hAnsi="Times New Roman"/>
          <w:caps w:val="false"/>
          <w:smallCaps w:val="false"/>
          <w:sz w:val="20"/>
        </w:rPr>
        <w:t xml:space="preserve"> May 31, 2024,</w:t>
      </w:r>
      <w:r>
        <w:rPr>
          <w:rFonts w:ascii="Times New Roman" w:hAnsi="Times New Roman"/>
          <w:caps w:val="false"/>
          <w:smallCaps w:val="false"/>
          <w:sz w:val="20"/>
        </w:rPr>
        <w:t> inclusive of changes in foreign exchange. The decrease was comprised of  a decrease of fair value of $16,218 for the contingent consideration from the Sweetwater acquisition as a result of </w:t>
      </w:r>
      <w:r>
        <w:rPr>
          <w:rStyle w:val="Emphasis"/>
          <w:rFonts w:ascii="Times New Roman" w:hAnsi="Times New Roman"/>
          <w:caps w:val="false"/>
          <w:smallCaps w:val="false"/>
          <w:sz w:val="20"/>
        </w:rPr>
        <w:t>not</w:t>
      </w:r>
      <w:r>
        <w:rPr>
          <w:rFonts w:ascii="Times New Roman" w:hAnsi="Times New Roman"/>
          <w:caps w:val="false"/>
          <w:smallCaps w:val="false"/>
          <w:sz w:val="20"/>
        </w:rPr>
        <w:t> achieving the incentive targets which was offset by an increase in fair value of $4,111 for the contingent consideration from the Montauk acquisition as a result of a higher probability of achieving the incentive targets and a decrease of $3,421 for the Truss contingent consideration that was recognized initially as $4,181 that has been settled in cash for $760 (CAD $1,041).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balances of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measured at fair value on a recurring basis are reconciled, as follows:</w:t>
      </w:r>
    </w:p>
    <w:p>
      <w:pPr>
        <w:pStyle w:val="TextBody"/>
        <w:bidi w:val="0"/>
        <w:spacing w:before="0" w:after="0"/>
        <w:ind w:left="0" w:right="0" w:hanging="0"/>
        <w:jc w:val="left"/>
        <w:rPr/>
      </w:pPr>
      <w:r>
        <w:rPr/>
        <w:t> </w:t>
      </w:r>
    </w:p>
    <w:tbl>
      <w:tblPr>
        <w:tblW w:w="8844" w:type="dxa"/>
        <w:jc w:val="left"/>
        <w:tblInd w:w="0" w:type="dxa"/>
        <w:tblLayout w:type="fixed"/>
        <w:tblCellMar>
          <w:top w:w="0" w:type="dxa"/>
          <w:left w:w="0" w:type="dxa"/>
          <w:bottom w:w="0" w:type="dxa"/>
          <w:right w:w="0" w:type="dxa"/>
        </w:tblCellMar>
      </w:tblPr>
      <w:tblGrid>
        <w:gridCol w:w="2855"/>
        <w:gridCol w:w="60"/>
        <w:gridCol w:w="217"/>
        <w:gridCol w:w="1137"/>
        <w:gridCol w:w="80"/>
        <w:gridCol w:w="60"/>
        <w:gridCol w:w="185"/>
        <w:gridCol w:w="810"/>
        <w:gridCol w:w="80"/>
        <w:gridCol w:w="60"/>
        <w:gridCol w:w="137"/>
        <w:gridCol w:w="603"/>
        <w:gridCol w:w="80"/>
        <w:gridCol w:w="60"/>
        <w:gridCol w:w="194"/>
        <w:gridCol w:w="1011"/>
        <w:gridCol w:w="80"/>
        <w:gridCol w:w="60"/>
        <w:gridCol w:w="238"/>
        <w:gridCol w:w="757"/>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APHA 24</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Convertible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Contingent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Convertible</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notes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Consideration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Additions/(Repayments)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fair value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44" w:type="dxa"/>
        <w:jc w:val="left"/>
        <w:tblInd w:w="0" w:type="dxa"/>
        <w:tblLayout w:type="fixed"/>
        <w:tblCellMar>
          <w:top w:w="0" w:type="dxa"/>
          <w:left w:w="0" w:type="dxa"/>
          <w:bottom w:w="0" w:type="dxa"/>
          <w:right w:w="0" w:type="dxa"/>
        </w:tblCellMar>
      </w:tblPr>
      <w:tblGrid>
        <w:gridCol w:w="2855"/>
        <w:gridCol w:w="60"/>
        <w:gridCol w:w="205"/>
        <w:gridCol w:w="1149"/>
        <w:gridCol w:w="80"/>
        <w:gridCol w:w="60"/>
        <w:gridCol w:w="203"/>
        <w:gridCol w:w="792"/>
        <w:gridCol w:w="80"/>
        <w:gridCol w:w="60"/>
        <w:gridCol w:w="137"/>
        <w:gridCol w:w="603"/>
        <w:gridCol w:w="80"/>
        <w:gridCol w:w="60"/>
        <w:gridCol w:w="194"/>
        <w:gridCol w:w="1011"/>
        <w:gridCol w:w="80"/>
        <w:gridCol w:w="60"/>
        <w:gridCol w:w="141"/>
        <w:gridCol w:w="854"/>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APHA 24</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Convertible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Contingent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Convertible</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notes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Consideration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Additions/(Repayments)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136,410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fair value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unrealized gain (loss) on fair value for the Convertible Debenture, warrant liability, contingent consideration and convertible notes payable are recognized in non-operating income (loss) and other comprehensive income for the convertible notes receivable using the following inputs:</w:t>
      </w:r>
    </w:p>
    <w:p>
      <w:pPr>
        <w:pStyle w:val="TextBody"/>
        <w:bidi w:val="0"/>
        <w:spacing w:before="0" w:after="0"/>
        <w:ind w:left="0" w:right="0" w:hanging="0"/>
        <w:jc w:val="left"/>
        <w:rPr>
          <w:caps w:val="false"/>
          <w:smallCaps w:val="false"/>
        </w:rPr>
      </w:pPr>
      <w:r>
        <w:rPr>
          <w:caps w:val="false"/>
          <w:smallCaps w:val="false"/>
        </w:rPr>
        <w:t> </w:t>
      </w:r>
    </w:p>
    <w:tbl>
      <w:tblPr>
        <w:tblW w:w="8330" w:type="dxa"/>
        <w:jc w:val="left"/>
        <w:tblInd w:w="0" w:type="dxa"/>
        <w:tblLayout w:type="fixed"/>
        <w:tblCellMar>
          <w:top w:w="0" w:type="dxa"/>
          <w:left w:w="0" w:type="dxa"/>
          <w:bottom w:w="0" w:type="dxa"/>
          <w:right w:w="0" w:type="dxa"/>
        </w:tblCellMar>
      </w:tblPr>
      <w:tblGrid>
        <w:gridCol w:w="2900"/>
        <w:gridCol w:w="1850"/>
        <w:gridCol w:w="60"/>
        <w:gridCol w:w="2240"/>
        <w:gridCol w:w="60"/>
        <w:gridCol w:w="1160"/>
        <w:gridCol w:w="60"/>
      </w:tblGrid>
      <w:tr>
        <w:trPr/>
        <w:tc>
          <w:tcPr>
            <w:tcW w:w="290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ind w:left="0" w:right="0" w:hanging="0"/>
              <w:jc w:val="left"/>
              <w:rPr/>
            </w:pPr>
            <w:r>
              <w:rPr>
                <w:rStyle w:val="Emphasis"/>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ind w:left="0" w:right="0" w:hanging="0"/>
              <w:jc w:val="left"/>
              <w:rPr/>
            </w:pPr>
            <w:r>
              <w:rPr/>
              <w:t> </w:t>
            </w:r>
          </w:p>
        </w:tc>
        <w:tc>
          <w:tcPr>
            <w:tcW w:w="18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Valuation</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 / financial liability</w:t>
            </w:r>
          </w:p>
        </w:tc>
        <w:tc>
          <w:tcPr>
            <w:tcW w:w="18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technique</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18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Black-Scholes</w:t>
            </w:r>
          </w:p>
        </w:tc>
        <w:tc>
          <w:tcPr>
            <w:tcW w:w="60" w:type="dxa"/>
            <w:tcBorders/>
            <w:shd w:fill="CCEEFF" w:val="clear"/>
            <w:vAlign w:val="center"/>
          </w:tcPr>
          <w:p>
            <w:pPr>
              <w:pStyle w:val="TableContents"/>
              <w:bidi w:val="0"/>
              <w:spacing w:before="0" w:after="283"/>
              <w:ind w:left="0" w:right="0" w:hanging="0"/>
              <w:jc w:val="center"/>
              <w:rPr/>
            </w:pPr>
            <w:r>
              <w:rPr/>
              <w:t> </w:t>
            </w:r>
          </w:p>
        </w:tc>
        <w:tc>
          <w:tcPr>
            <w:tcW w:w="22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Volatility,</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ind w:left="0" w:right="0" w:hanging="0"/>
              <w:jc w:val="left"/>
              <w:rPr/>
            </w:pPr>
            <w:r>
              <w:rPr>
                <w:rStyle w:val="Emphasis"/>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expected life (in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0.3</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18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Discounted cash flows</w:t>
            </w:r>
          </w:p>
        </w:tc>
        <w:tc>
          <w:tcPr>
            <w:tcW w:w="60" w:type="dxa"/>
            <w:tcBorders/>
            <w:shd w:fill="CCEEFF" w:val="clear"/>
            <w:vAlign w:val="center"/>
          </w:tcPr>
          <w:p>
            <w:pPr>
              <w:pStyle w:val="TableContents"/>
              <w:bidi w:val="0"/>
              <w:spacing w:before="0" w:after="283"/>
              <w:ind w:left="0" w:right="0" w:hanging="0"/>
              <w:jc w:val="center"/>
              <w:rPr/>
            </w:pPr>
            <w:r>
              <w:rPr/>
              <w:t> </w:t>
            </w:r>
          </w:p>
        </w:tc>
        <w:tc>
          <w:tcPr>
            <w:tcW w:w="22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Discount rate,</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ind w:left="0" w:right="0" w:hanging="0"/>
              <w:jc w:val="left"/>
              <w:rPr/>
            </w:pPr>
            <w:r>
              <w:rPr>
                <w:rStyle w:val="Emphasis"/>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Probability of achievement</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and 0%</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investments</w:t>
            </w:r>
          </w:p>
        </w:tc>
        <w:tc>
          <w:tcPr>
            <w:tcW w:w="18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Discounted cash flows</w:t>
            </w:r>
          </w:p>
        </w:tc>
        <w:tc>
          <w:tcPr>
            <w:tcW w:w="60" w:type="dxa"/>
            <w:tcBorders/>
            <w:shd w:fill="CCEEFF" w:val="clear"/>
            <w:vAlign w:val="center"/>
          </w:tcPr>
          <w:p>
            <w:pPr>
              <w:pStyle w:val="TableContents"/>
              <w:bidi w:val="0"/>
              <w:spacing w:before="0" w:after="283"/>
              <w:ind w:left="0" w:right="0" w:hanging="0"/>
              <w:jc w:val="center"/>
              <w:rPr/>
            </w:pPr>
            <w:r>
              <w:rPr/>
              <w:t> </w:t>
            </w:r>
          </w:p>
        </w:tc>
        <w:tc>
          <w:tcPr>
            <w:tcW w:w="22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Probability of achievement</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Items measured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prepayments and other current assets, long-lived assets, including property and equipment, goodwill and intangible assets are measured at fair value when there is an indicator of impairment and are recorded at fair value only when an impairment charge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exposure to the following risks from its use of financial instruments: credit; liquidity; currency rate; interest rate price; equity price risk; and capital management risk.</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245"/>
        <w:gridCol w:w="8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w:t>
            </w:r>
          </w:p>
        </w:tc>
        <w:tc>
          <w:tcPr>
            <w:tcW w:w="8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Credit risk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Credit risk is the risk of financial loss to the Company if a customer or counterparty to a financial instrument fails to meet its contractual obligations. The maximum credit exposure at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is the carrying amount of cash and cash equivalents, accounts receivable, prepaids and other current assets and convertible notes receivable. All cash and cash equivalents are placed with major financial institutions in Canada, Australia, Portugal, Germany, Colombia, Argentina and the United States. To date,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on its cash deposits. Accounts receivable are unsecured,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collateral from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evaluates the collectability of its accounts receivable and maintains an allowance for credit losses at an amount sufficient to absorb losses inherent in the existing accounts receivable portfolio as of the reporting dates based on the estimate of expected net credit losses.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Trade receivables included an allowance for doubtful accounts and credit loss provision of $ 3,702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-$ 7,714) and are broken out below as follows:</w:t>
      </w:r>
    </w:p>
    <w:p>
      <w:pPr>
        <w:pStyle w:val="TextBody"/>
        <w:bidi w:val="0"/>
        <w:spacing w:before="0" w:after="0"/>
        <w:ind w:left="0" w:right="0" w:firstLine="720"/>
        <w:jc w:val="both"/>
        <w:rPr>
          <w:caps w:val="false"/>
          <w:smallCaps w:val="false"/>
        </w:rPr>
      </w:pPr>
      <w:r>
        <w:rPr>
          <w:caps w:val="false"/>
          <w:smallCaps w:val="false"/>
        </w:rPr>
        <w:t> </w:t>
      </w:r>
    </w:p>
    <w:tbl>
      <w:tblPr>
        <w:tblW w:w="7472" w:type="dxa"/>
        <w:jc w:val="left"/>
        <w:tblInd w:w="0" w:type="dxa"/>
        <w:tblLayout w:type="fixed"/>
        <w:tblCellMar>
          <w:top w:w="0" w:type="dxa"/>
          <w:left w:w="0" w:type="dxa"/>
          <w:bottom w:w="0" w:type="dxa"/>
          <w:right w:w="0" w:type="dxa"/>
        </w:tblCellMar>
      </w:tblPr>
      <w:tblGrid>
        <w:gridCol w:w="2015"/>
        <w:gridCol w:w="60"/>
        <w:gridCol w:w="125"/>
        <w:gridCol w:w="695"/>
        <w:gridCol w:w="185"/>
        <w:gridCol w:w="60"/>
        <w:gridCol w:w="125"/>
        <w:gridCol w:w="695"/>
        <w:gridCol w:w="185"/>
        <w:gridCol w:w="60"/>
        <w:gridCol w:w="188"/>
        <w:gridCol w:w="731"/>
        <w:gridCol w:w="185"/>
        <w:gridCol w:w="60"/>
        <w:gridCol w:w="188"/>
        <w:gridCol w:w="731"/>
        <w:gridCol w:w="185"/>
        <w:gridCol w:w="60"/>
        <w:gridCol w:w="154"/>
        <w:gridCol w:w="600"/>
        <w:gridCol w:w="185"/>
      </w:tblGrid>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0-30 days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31-60 days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61-90 days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w:t>
            </w:r>
          </w:p>
        </w:tc>
        <w:tc>
          <w:tcPr>
            <w:tcW w:w="185"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7,670</w:t>
            </w:r>
          </w:p>
        </w:tc>
        <w:tc>
          <w:tcPr>
            <w:tcW w:w="18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7"/>
        <w:gridCol w:w="60"/>
        <w:gridCol w:w="480"/>
        <w:gridCol w:w="1868"/>
        <w:gridCol w:w="60"/>
        <w:gridCol w:w="60"/>
        <w:gridCol w:w="384"/>
        <w:gridCol w:w="1684"/>
        <w:gridCol w:w="80"/>
        <w:gridCol w:w="60"/>
        <w:gridCol w:w="345"/>
        <w:gridCol w:w="1349"/>
        <w:gridCol w:w="78"/>
      </w:tblGrid>
      <w:tr>
        <w:trPr/>
        <w:tc>
          <w:tcPr>
            <w:tcW w:w="3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at the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Movement during the year(1)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at end of period</w:t>
            </w:r>
          </w:p>
        </w:tc>
        <w:tc>
          <w:tcPr>
            <w:tcW w:w="78"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May 31, 2025</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 and credit loss provision</w:t>
            </w:r>
          </w:p>
        </w:tc>
        <w:tc>
          <w:tcPr>
            <w:tcW w:w="6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3,702</w:t>
            </w:r>
          </w:p>
        </w:tc>
        <w:tc>
          <w:tcPr>
            <w:tcW w:w="78"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May 31, 2024</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 and credit loss provision</w:t>
            </w:r>
          </w:p>
        </w:tc>
        <w:tc>
          <w:tcPr>
            <w:tcW w:w="6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ind w:left="0" w:right="0" w:hanging="0"/>
              <w:jc w:val="left"/>
              <w:rPr/>
            </w:pPr>
            <w:r>
              <w:rPr/>
              <w:t> </w:t>
            </w:r>
          </w:p>
        </w:tc>
        <w:tc>
          <w:tcPr>
            <w:tcW w:w="1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7,714</w:t>
            </w:r>
          </w:p>
        </w:tc>
        <w:tc>
          <w:tcPr>
            <w:tcW w:w="78"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May 31, 2023</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 and credit loss provision</w:t>
            </w:r>
          </w:p>
        </w:tc>
        <w:tc>
          <w:tcPr>
            <w:tcW w:w="6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ind w:left="0" w:right="0" w:hanging="0"/>
              <w:jc w:val="left"/>
              <w:rPr/>
            </w:pPr>
            <w:r>
              <w:rPr/>
              <w:t> </w:t>
            </w:r>
          </w:p>
        </w:tc>
        <w:tc>
          <w:tcPr>
            <w:tcW w:w="1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w:t>
            </w:r>
          </w:p>
        </w:tc>
        <w:tc>
          <w:tcPr>
            <w:tcW w:w="9947"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Included in movements for the period is the total movements for foreign exchange, additions to the provisions and utilization of the credit loss provision and allowance for doubtful accounts. </w:t>
            </w:r>
          </w:p>
        </w:tc>
      </w:tr>
    </w:tbl>
    <w:p>
      <w:pPr>
        <w:pStyle w:val="TextBody"/>
        <w:bidi w:val="0"/>
        <w:spacing w:before="0" w:after="0"/>
        <w:ind w:left="0" w:right="0" w:hanging="0"/>
        <w:jc w:val="left"/>
        <w:rPr/>
      </w:pPr>
      <w:r>
        <w:rPr/>
        <w:t> </w:t>
      </w:r>
    </w:p>
    <w:tbl>
      <w:tblPr>
        <w:tblW w:w="1420" w:type="dxa"/>
        <w:jc w:val="left"/>
        <w:tblInd w:w="0" w:type="dxa"/>
        <w:tblLayout w:type="fixed"/>
        <w:tblCellMar>
          <w:top w:w="0" w:type="dxa"/>
          <w:left w:w="0" w:type="dxa"/>
          <w:bottom w:w="0" w:type="dxa"/>
          <w:right w:w="0" w:type="dxa"/>
        </w:tblCellMar>
      </w:tblPr>
      <w:tblGrid>
        <w:gridCol w:w="60"/>
        <w:gridCol w:w="245"/>
        <w:gridCol w:w="11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w:t>
            </w:r>
          </w:p>
        </w:tc>
        <w:tc>
          <w:tcPr>
            <w:tcW w:w="11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Liquidity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the Company’s financial liabilities consisted of bank indebtedness and accounts payable and accrued liabilities, which have contractual maturity dates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as well as long-term debt and convertible debentures which have contractual maturities over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a minimum deposit on certain cash operating accounts tied to loans secured by its Aphria One, SweetWater, and craft beverage facilities. The Company maintains debt service charge and leverage covenants on certain loans secured by its Aphria Diamond facilities and ABC Group that are measured quarterly.  The Company believes that it has sufficient operating room with respect to its financial covenants for the next fiscal year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being in breach of any of its financial covenants.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manages its liquidity risk by reviewing its capital requirements on an ongoing basis. Based on the Company’s working capital position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management regards liquidity risk to be low.</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230"/>
        <w:gridCol w:w="15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w:t>
            </w:r>
          </w:p>
        </w:tc>
        <w:tc>
          <w:tcPr>
            <w:tcW w:w="150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Currency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 the functional currency. The Company is exposed to currency rate risk in other comprehensive income, relating to foreign subsidiaries which operate in a foreign currency.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use foreign exchange contracts to hedge its exposure to its foreign currency cash flows as management has determined that this risk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 at this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60"/>
        <w:gridCol w:w="245"/>
        <w:gridCol w:w="13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w:t>
            </w:r>
          </w:p>
        </w:tc>
        <w:tc>
          <w:tcPr>
            <w:tcW w:w="13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exposure to changes in interest rates relate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230"/>
        <w:gridCol w:w="17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w:t>
            </w:r>
          </w:p>
        </w:tc>
        <w:tc>
          <w:tcPr>
            <w:tcW w:w="17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Capital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objectives when managing its capital are to safeguard its ability to continue as a going concern, to meet its capital expenditures for its continued operations, and to maintain a flexible capital structure which optimizes the cost of capital within a framework of acceptable risk. The Company manages its capital structure and adjusts it in light of changes in economic conditions and the risk characteristics of the underlying assets. To maintain or adjust its capital structure,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issue new shares, issue new debt, or acquire or dispose of assets.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externally imposed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Management reviews its capital management approach on an ongoing basis and believes that this approach, given the relative size of the Company, is reasonable.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Company’s capital management approach in the year. The Company considers its cash and cash equivalents and marketable securities as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30.</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Company’s Chief Operating Decision Maker (“CODM”) is the Chairman of the Board of Directors and Chief Executive Officer. The CODM uses segment gross profit for the purpose of resource allocation, assessment of segment performance against determined targets, and in deciding whether to implement cost saving targets. The Company operates in four segments.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cannabis operations, which encompasses the production, distribution, sale, co-manufacturing and advisory services of both medical and adult-use cannabis,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beverage operations, which encompasses the production, marketing and sale of beverage products,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distribution operations, which encompasses the purchase and resale of pharmaceuticals products to customers, and </w:t>
      </w:r>
      <w:r>
        <w:rPr>
          <w:rStyle w:val="Emphasis"/>
          <w:rFonts w:ascii="Times New Roman" w:hAnsi="Times New Roman"/>
          <w:caps w:val="false"/>
          <w:smallCaps w:val="false"/>
          <w:sz w:val="20"/>
        </w:rPr>
        <w:t>4</w:t>
      </w:r>
      <w:r>
        <w:rPr>
          <w:rFonts w:ascii="Times New Roman" w:hAnsi="Times New Roman"/>
          <w:caps w:val="false"/>
          <w:smallCaps w:val="false"/>
          <w:sz w:val="20"/>
        </w:rPr>
        <w:t>) wellness products, which encompasses hemp foods and cannabidiol (“CBD”) products. This structure is in line with how our CODM assesses our performance and allocates resources.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Operating segments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aggregated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asset information is provided for the segments because the Company’s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asset information by segment on a regular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reconcile the Company’s segment gross profit to consolidated U.S. GAAP results:</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1970"/>
        <w:gridCol w:w="60"/>
        <w:gridCol w:w="125"/>
        <w:gridCol w:w="695"/>
        <w:gridCol w:w="60"/>
        <w:gridCol w:w="60"/>
        <w:gridCol w:w="125"/>
        <w:gridCol w:w="695"/>
        <w:gridCol w:w="60"/>
        <w:gridCol w:w="60"/>
        <w:gridCol w:w="125"/>
        <w:gridCol w:w="695"/>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95,093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48,770</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162,755</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57,675</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258,770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231,309</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Wellness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37,330</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627,124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480,164</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Segment costs are comprised of cost of goods sold which include product costs, salaries and an allocation of overhead costs.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total segment gross profit to the Company’s consolidated totals:</w:t>
      </w:r>
    </w:p>
    <w:p>
      <w:pPr>
        <w:pStyle w:val="TextBody"/>
        <w:bidi w:val="0"/>
        <w:spacing w:before="0" w:after="0"/>
        <w:ind w:left="0" w:right="0" w:firstLine="720"/>
        <w:jc w:val="both"/>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5945"/>
        <w:gridCol w:w="60"/>
        <w:gridCol w:w="125"/>
        <w:gridCol w:w="905"/>
        <w:gridCol w:w="80"/>
        <w:gridCol w:w="60"/>
        <w:gridCol w:w="125"/>
        <w:gridCol w:w="755"/>
        <w:gridCol w:w="80"/>
        <w:gridCol w:w="60"/>
        <w:gridCol w:w="125"/>
        <w:gridCol w:w="905"/>
        <w:gridCol w:w="80"/>
      </w:tblGrid>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146,960</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165,159</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34,840</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93,489</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promotion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30,937</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intangible assets and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934,000</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than temporary change in fair value of convertible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246,330</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9,245</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1,516,645</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(2,282,705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(1,450,181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(recovery)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Channels of cannabis revenue were as follows:</w:t>
      </w:r>
    </w:p>
    <w:p>
      <w:pPr>
        <w:pStyle w:val="TextBody"/>
        <w:bidi w:val="0"/>
        <w:spacing w:before="0" w:after="0"/>
        <w:ind w:left="0" w:right="0" w:hanging="0"/>
        <w:jc w:val="left"/>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545"/>
        <w:gridCol w:w="60"/>
        <w:gridCol w:w="125"/>
        <w:gridCol w:w="695"/>
        <w:gridCol w:w="80"/>
        <w:gridCol w:w="60"/>
        <w:gridCol w:w="125"/>
        <w:gridCol w:w="695"/>
        <w:gridCol w:w="80"/>
        <w:gridCol w:w="60"/>
        <w:gridCol w:w="125"/>
        <w:gridCol w:w="695"/>
        <w:gridCol w:w="8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214,319</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43,559</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There was $1,460 of cannabis advisory services revenue for the fiscal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compared to $1,500 associated with the HEXO commercial transaction agreements for the fiscal year ended </w:t>
      </w:r>
      <w:r>
        <w:rPr>
          <w:rStyle w:val="Emphasis"/>
          <w:rFonts w:ascii="Times New Roman" w:hAnsi="Times New Roman"/>
          <w:caps w:val="false"/>
          <w:smallCaps w:val="false"/>
          <w:sz w:val="20"/>
        </w:rPr>
        <w:t xml:space="preserve"> May 31, 2024.</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Geographic net revenue:</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1145"/>
        <w:gridCol w:w="60"/>
        <w:gridCol w:w="125"/>
        <w:gridCol w:w="695"/>
        <w:gridCol w:w="60"/>
        <w:gridCol w:w="60"/>
        <w:gridCol w:w="125"/>
        <w:gridCol w:w="695"/>
        <w:gridCol w:w="60"/>
        <w:gridCol w:w="60"/>
        <w:gridCol w:w="125"/>
        <w:gridCol w:w="695"/>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123,284</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201,361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284,567</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17,912</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Geographic capital assets:</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145"/>
        <w:gridCol w:w="60"/>
        <w:gridCol w:w="125"/>
        <w:gridCol w:w="695"/>
        <w:gridCol w:w="60"/>
        <w:gridCol w:w="60"/>
        <w:gridCol w:w="125"/>
        <w:gridCol w:w="695"/>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141,314</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313,359</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99,921</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558,247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Major customers are defined as customers that each individually account for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annual revenues. For the fiscal years ended </w:t>
      </w:r>
      <w:r>
        <w:rPr>
          <w:rStyle w:val="Emphasis"/>
          <w:rFonts w:ascii="Times New Roman" w:hAnsi="Times New Roman"/>
          <w:caps w:val="false"/>
          <w:smallCaps w:val="false"/>
          <w:sz w:val="20"/>
        </w:rPr>
        <w:t xml:space="preserve"> May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were no major customers representing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our annual revenues.</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31.</w:t>
            </w:r>
          </w:p>
        </w:tc>
        <w:tc>
          <w:tcPr>
            <w:tcW w:w="15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Subsequent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June 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 xml:space="preserve">June 16, 2025, </w:t>
      </w:r>
      <w:r>
        <w:rPr>
          <w:rFonts w:ascii="Times New Roman" w:hAnsi="Times New Roman"/>
          <w:caps w:val="false"/>
          <w:smallCaps w:val="false"/>
          <w:sz w:val="20"/>
        </w:rPr>
        <w:t>the Company issued an additional 25,740,078 shares in connection with the Company’s ATM Program, thereby generating gross proceeds of $10,551. The Company netted proceeds of $10,340 after commissions and other fees associated with these issuances in the amount of $211.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10, 2025, </w:t>
      </w:r>
      <w:r>
        <w:rPr>
          <w:rFonts w:ascii="Times New Roman" w:hAnsi="Times New Roman"/>
          <w:caps w:val="false"/>
          <w:smallCaps w:val="false"/>
          <w:sz w:val="20"/>
        </w:rPr>
        <w:t xml:space="preserve">the Company held a special meeting of stockholders (the “Special Meeting”) related to the approval of an amendment to the Company’s Fifth Amended and Restated Certificate of Incorporation to effect a reverse stock split of its common stock by a ratio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-for-twenty, with the exact ratio to be set within this range by the board of directors in its sole discretion (without reducing the authorized number of shares of common stock) and with the Board of Directors able to elect to abandon such proposed amendment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effect the reverse stock split authorized by stockholders in its sole discretion (the “Amendment Proposal”). At the Special Meeting, all of the matters voted on were approved. The Board of Directors will continue to consider whether and when to effect a reverse stock split that is in the best interest of the Company following such shareholder authorization on the Amendment Proposal at the Special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Tilray issued 12,591,816 shares of the Company’s common stock in exchange for $5,000 aggregate principal amount of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The remaining principal outstanding as a result of this transaction was $100,000.</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25, 2025, </w:t>
      </w:r>
      <w:r>
        <w:rPr>
          <w:rFonts w:ascii="Times New Roman" w:hAnsi="Times New Roman"/>
          <w:caps w:val="false"/>
          <w:smallCaps w:val="false"/>
          <w:sz w:val="20"/>
        </w:rPr>
        <w:t xml:space="preserve">the Company’s wholly-owned subsidiary, ABC Group, finalized its </w:t>
      </w:r>
      <w:r>
        <w:rPr>
          <w:rStyle w:val="Emphasis"/>
          <w:rFonts w:ascii="Times New Roman" w:hAnsi="Times New Roman"/>
          <w:caps w:val="false"/>
          <w:smallCaps w:val="false"/>
          <w:sz w:val="20"/>
        </w:rPr>
        <w:t>fifth</w:t>
      </w:r>
      <w:r>
        <w:rPr>
          <w:rFonts w:ascii="Times New Roman" w:hAnsi="Times New Roman"/>
          <w:caps w:val="false"/>
          <w:smallCaps w:val="false"/>
          <w:sz w:val="20"/>
        </w:rPr>
        <w:t xml:space="preserve"> amendment (the “Amendment”) to that certain Credit Agreement dated as of </w:t>
      </w:r>
      <w:r>
        <w:rPr>
          <w:rStyle w:val="Emphasis"/>
          <w:rFonts w:ascii="Times New Roman" w:hAnsi="Times New Roman"/>
          <w:caps w:val="false"/>
          <w:smallCaps w:val="false"/>
          <w:sz w:val="20"/>
        </w:rPr>
        <w:t>June 30, 2023 (</w:t>
      </w:r>
      <w:r>
        <w:rPr>
          <w:rFonts w:ascii="Times New Roman" w:hAnsi="Times New Roman"/>
          <w:caps w:val="false"/>
          <w:smallCaps w:val="false"/>
          <w:sz w:val="20"/>
        </w:rPr>
        <w:t>the “ABC Group Credit Agreement”) by and among the Borrower, Bank of America, N.A., in its capacity as Administrative Agent, and certain other guarantors and lenders party thereto. Specifically, the Amendment amended and restated the ABC Group Credit Agreement to provide for the contribution of the Manitoba Harvest entities’ equity to the Borrower as additional collateral.  Additionally, the Amendment added financial covenants for (i) minimum consolidated trailing-</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-months EBITDA for each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quarters beginning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and (ii) minimum liquidity.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1" w:name="report"/>
      <w:bookmarkEnd w:id="21"/>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Board of Directors and Shareholders of Tilray Brands,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Opinions on the Financial Statements and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the accompanying consolidated statements of financial position of Tilray Brands, Inc. and its subsidiaries (together, the Company) as of May 31, 2025 and 2024, and the related consolidated statements of loss and comprehensive loss, of changes in equity and of cash flows for each of the three years in the period ended May 31, 2025, including the related notes (collectively referred to as the consolidated financial statements). We also have audited the Company's internal control over financial reporting as of May 31, 2025, based on criteria established in </w:t>
      </w:r>
      <w:r>
        <w:rPr>
          <w:rFonts w:ascii="Times New Roman" w:hAnsi="Times New Roman"/>
          <w:i/>
          <w:caps w:val="false"/>
          <w:smallCaps w:val="false"/>
          <w:sz w:val="20"/>
        </w:rPr>
        <w:t xml:space="preserve">Internal Control – Integrated Framework (2013) </w:t>
      </w:r>
      <w:r>
        <w:rPr>
          <w:rFonts w:ascii="Times New Roman" w:hAnsi="Times New Roman"/>
          <w:caps w:val="false"/>
          <w:smallCaps w:val="false"/>
          <w:sz w:val="20"/>
        </w:rPr>
        <w:t>issued by the Committee of Sponsoring Organizations of the Treadway Commission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our opinion, the consolidated financial statements referred to above present fairly, in all material respects, the financial position of the Company as of May 31, 2025 and 2024, and the results of its operations and its cash flows for each of the three years in the period ended May 31, 2025 in conformity with accounting principles generally accepted in the United States of America. Also in our opinion, the Company maintained, in all material respects, effective internal control over financial reporting as of May 31, 2025, based on criteria established in </w:t>
      </w:r>
      <w:r>
        <w:rPr>
          <w:rFonts w:ascii="Times New Roman" w:hAnsi="Times New Roman"/>
          <w:i/>
          <w:caps w:val="false"/>
          <w:smallCaps w:val="false"/>
          <w:sz w:val="20"/>
        </w:rPr>
        <w:t>Internal Control – Integrated Framework (2013)</w:t>
      </w:r>
      <w:r>
        <w:rPr>
          <w:rFonts w:ascii="Times New Roman" w:hAnsi="Times New Roman"/>
          <w:caps w:val="false"/>
          <w:smallCaps w:val="false"/>
          <w:sz w:val="20"/>
        </w:rPr>
        <w:t xml:space="preserve"> issued by the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Management's Report on Internal Control over Financial Reporting, management has excluded the acquired craft beer brands and breweries from Molson Coors Beverage Company which include Atwater Brewery, Hop Valley Brewing Company, Terrapin Beer Co., and Revolver Brewing (the Craft Acquisition II) from its assessment of internal control over financial reporting as of May 31, 2025, because they were acquired by the Company in purchase business combinations during the year ended May 31, 2025. The Craft Acquisition II are wholly-owned subsidiaries whose total assets and total revenues excluded from management’s assessment and our audit of internal control over financial reporting represent 0.9% of total assets and 3% of net revenues, respectively, of the related consolidated financial statement amounts as of and for the year ended May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Audit Matters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Impairment Assessments of Goodwill and Indefinite-lived Intangible Assets related to Cannabis and Beverage Reporting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Notes 3, 8 and 10 to the consolidated financial statements, the Company’s goodwill and indefinite-lived intangible assets balances were $752.4 million and $nil respectively as at May 31, 2025. Management conducts an impairment assessment annually in the fourth quarter, or more frequently if events or circumstances indicate that the carrying value of goodwill or indefinite-lived intangible assets may not be recoverable. Any impairment charges are determined by comparing the fair value of the assets or reporting units to its carrying value. Fair value amounts are estimated by management using discounted future cash flow models. During the third quarter, management recorded a goodwill impairment charge of $699.2 million including $570.0 million related to the cannabis reporting unit and $100.0 million related to the beverage reporting unit. As at May 31, 2025, management performed the annual impairment tests which resulted in an additional impairment charge of $549.0 million of goodwill and $186.6 million of indefinite-lived intangible assets. The goodwill impairments included $500.0 million related to the cannabis reporting unit and $20.8 million related to the beverage reporting unit. Management's discounted future cash flow models included significant judgments and assumptions relating to future cash flows, growth rates, probability of anticipated EU and U.S. cannabis regulatory changes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considerations for our determination that performing procedures relating to the impairment assessments of goodwill and indefinite-lived intangible assets related to cannabis and beverage reporting units is a critical audit matter are (i) the significant judgment required by management when estimating the fair values of the assets or reporting units; and (ii) a high degree of auditor judgment, subjectivity and effort in performing procedures and to evaluate management’s significant assumptions, including future cash flows, growth rates, probability of anticipated EU and U.S. cannabis regulatory changes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intangible assets impairment assessments, including controls over the determination of the fair values of the assets or reporting units. These procedures also included, among others, (i) testing management’s process for developing the fair value estimates of the assets or reporting units; (ii) evaluating the appropriateness of the discounted future cash flow models used by management; (iii) testing the completeness and accuracy of underlying data used in the discounted future cash flow models; (iv) evaluating the reasonableness of the significant assumptions used by management, related to the future cash flows, growth rates and discount rates; and (v) evaluating the reasonableness of the probability of anticipated EU and U.S. cannabis regulatory changes used within the cannabis reporting unit discounted future cash flow model. Evaluating management’s significant assumptions related to future cash flows, growth rates, probability of anticipated EU and U.S. cannabis regulatory changes and the discount rates involved evaluating whether the assumptions used by management were reasonable considering (i) the current and past performance of the assets or reporting units; (ii) the consistency with external market and industry data; and (iii) whether these assumptions were consistent with evidence obtained in other areas of the audit, as applicable. Professionals with specialized skill and knowledge were used to assist in evaluating (i) the appropriateness of the discounted future cash flow models and (ii) the reasonableness of the discount rate assumption.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/s/PricewaterhouseCoopers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Chartered Professional Accountants, Licensed Public Accountants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Toronto, Canada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July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2" w:name="item9"/>
      <w:bookmarkEnd w:id="22"/>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3" w:name="item9a"/>
      <w:bookmarkEnd w:id="23"/>
      <w:r>
        <w:rPr>
          <w:rFonts w:ascii="Times New Roman" w:hAnsi="Times New Roman"/>
          <w:b/>
          <w:caps w:val="false"/>
          <w:smallCaps w:val="false"/>
          <w:sz w:val="20"/>
        </w:rPr>
        <w:t xml:space="preserve">Item 9A.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established disclosure controls and procedures (as defined in Rules 13a-15(e) and 15d-15(e) under the Exchange Act) to ensure that material information relating to us, including our consolidated subsidiaries, is made known to the officers who certify our financial reports and to other members of senior management and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(CEO) and Chief Financial Officer (CFO), conducted an evaluation of the effectiveness of our disclosure controls and procedures. Based on this evaluation, as of the end of the period covered by this Annual Report on Form 10-K, our CEO and CFO have concluded that our disclosure controls and procedures are effective to ensure that the information required to be disclosed by us in the reports that we file or submit under the Exchange Act is (1) recorded, processed, summarized, and reported within the time periods specified in the SEC rules and forms, and (2) accumulated and communicated to management, including our CEO and CFO,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Internal control over financial reporting includes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pertain to the maintenance of records that in reasonable detail accurately and fairly reflect the transactions and dispositions of the Company's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that transactions are recorded as necessary to permit preparation of financial statements in accordance with generally accepted accounting principles, and that receipts and expenditures are being made only in accordance with the authorization of management and directors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important to understand that there are inherent limitations on effectiveness of internal controls as stated within COSO. Internal controls, no matter how well designed and operated, may not prevent or detect misstatements and can only provide reasonable assurance to management and the Board of Directors regarding achievement of an entity’s objectives.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Judgments in decision-making can be faulty, and control and process breakdowns can occur because of simple errors or mistakes;</w:t>
            </w:r>
          </w:p>
        </w:tc>
      </w:tr>
    </w:tbl>
    <w:p>
      <w:pPr>
        <w:pStyle w:val="TextBody"/>
        <w:bidi w:val="0"/>
        <w:spacing w:before="0" w:after="0"/>
        <w:ind w:left="0" w:right="0" w:hanging="0"/>
        <w:jc w:val="left"/>
        <w:rPr/>
      </w:pPr>
      <w:r>
        <w:rPr/>
        <w:t> </w:t>
      </w:r>
    </w:p>
    <w:tbl>
      <w:tblPr>
        <w:tblW w:w="9835" w:type="dxa"/>
        <w:jc w:val="left"/>
        <w:tblInd w:w="0" w:type="dxa"/>
        <w:tblLayout w:type="fixed"/>
        <w:tblCellMar>
          <w:top w:w="0" w:type="dxa"/>
          <w:left w:w="0" w:type="dxa"/>
          <w:bottom w:w="0" w:type="dxa"/>
          <w:right w:w="0" w:type="dxa"/>
        </w:tblCellMar>
      </w:tblPr>
      <w:tblGrid>
        <w:gridCol w:w="60"/>
        <w:gridCol w:w="110"/>
        <w:gridCol w:w="9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can be circumvented by individuals, acting alone or in collusion with each other, or by management override;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of any system of controls is based in part on certain assumptions about the likelihood of future events, and there can be no assurance that any design will succeed in achieving its stated goals under all potential future conditions;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Over time, controls may become inadequate because of changes in conditions or deterioration in the degree of compliance with policies or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CEO and CFO, we conducted an evaluation of the effectiveness of our internal control over financial reporting as of May 31, 2025, based on the criteria set forth by the Committee of Sponsoring Organizations of the Treadway Commission (COSO) in Internal Control - Integrated Framework (2013) issued. Based on this evaluation, our management concluded that our internal control over financial reporting was effective as of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effectiveness of the Company’s internal control over financial reporting as of May 31, 2025 has been audited by PricewaterhouseCoopers LLP, an independent registered public accounting firm, as stated in their report which accompanies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our fiscal year ended May 31, 2025, we acquired four craft beer brands and breweries from Molson Coors Beverage Company (“Molson”) including Atwater Brewery, Hop Valley Brewing Company, Terrapin Beer Co., and Revolver Brewing (the “Craft Acquisition II”). As a result of the acquisition, the Craft brands became wholly-owned subsidiaries of Tilray. In accordance with guidance issued by the SEC, companies are permitted to exclude acquisitions from their final assessment of internal control over financial reporting for the first fiscal year in which the acquisition occurred. Our management, with the participation of our CEO and CFO, has limited the evaluation of internal controls over our financial reporting to exclude controls, policies and procedures and internal controls over financial reporting of the recently acquired companies. The operations of the Craft brands represent approximately 0.9%, of our total assets and 3% of our net revenue for the year ended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such term is defined in Rules 13a-15(f) and 15d-15(f) under the Exchange Act) that occurred during our most recent quarter,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4" w:name="item9b"/>
      <w:bookmarkEnd w:id="24"/>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21, 2025, </w:t>
      </w:r>
      <w:r>
        <w:rPr>
          <w:rFonts w:ascii="Times New Roman" w:hAnsi="Times New Roman"/>
          <w:caps w:val="false"/>
          <w:smallCaps w:val="false"/>
          <w:sz w:val="20"/>
        </w:rPr>
        <w:t>Aphria Diamond Inc. (the “Borrower”), a majority-owned subsidiary of Tilray, refinanced its existing term loan by entering into a new Credit Agreement (the “Credit Agreement”), by and among Tilray and certain other affiliates of the Borrower and Canadian Imperial Bank of Commerce, as Lender and Administrative Agent (the “Lender”). The Credit Agreement provides for term loans in an aggregate principal amount equal to CAD </w:t>
      </w:r>
      <w:r>
        <w:rPr>
          <w:rStyle w:val="Emphasis"/>
          <w:rFonts w:ascii="Times New Roman" w:hAnsi="Times New Roman"/>
          <w:caps w:val="false"/>
          <w:smallCaps w:val="false"/>
          <w:sz w:val="20"/>
        </w:rPr>
        <w:t>$53,000,000</w:t>
      </w:r>
      <w:r>
        <w:rPr>
          <w:rFonts w:ascii="Times New Roman" w:hAnsi="Times New Roman"/>
          <w:caps w:val="false"/>
          <w:smallCaps w:val="false"/>
          <w:sz w:val="20"/>
        </w:rPr>
        <w:t> (the “Term Loans”).  The Borrower used CAD </w:t>
      </w:r>
      <w:r>
        <w:rPr>
          <w:rStyle w:val="Emphasis"/>
          <w:rFonts w:ascii="Times New Roman" w:hAnsi="Times New Roman"/>
          <w:caps w:val="false"/>
          <w:smallCaps w:val="false"/>
          <w:sz w:val="20"/>
        </w:rPr>
        <w:t>$48,171,221</w:t>
      </w:r>
      <w:r>
        <w:rPr>
          <w:rFonts w:ascii="Times New Roman" w:hAnsi="Times New Roman"/>
          <w:caps w:val="false"/>
          <w:smallCaps w:val="false"/>
          <w:sz w:val="20"/>
        </w:rPr>
        <w:t> of the proceeds from the Credit Agreement to repay in full all outstanding obligations under that certain Amended and Restated Credit Agreement, dated as of </w:t>
      </w:r>
      <w:r>
        <w:rPr>
          <w:rStyle w:val="Emphasis"/>
          <w:rFonts w:ascii="Times New Roman" w:hAnsi="Times New Roman"/>
          <w:caps w:val="false"/>
          <w:smallCaps w:val="false"/>
          <w:sz w:val="20"/>
        </w:rPr>
        <w:t xml:space="preserve"> November 28, 2022, </w:t>
      </w:r>
      <w:r>
        <w:rPr>
          <w:rFonts w:ascii="Times New Roman" w:hAnsi="Times New Roman"/>
          <w:caps w:val="false"/>
          <w:smallCaps w:val="false"/>
          <w:sz w:val="20"/>
        </w:rPr>
        <w:t>by and among the Borrower, Bank of Montreal, as agent, and a syndicate of lenders (the “Prior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25, 2025, </w:t>
      </w:r>
      <w:r>
        <w:rPr>
          <w:rFonts w:ascii="Times New Roman" w:hAnsi="Times New Roman"/>
          <w:caps w:val="false"/>
          <w:smallCaps w:val="false"/>
          <w:sz w:val="20"/>
        </w:rPr>
        <w:t>the Company received written notice (the “Notice”) from the Nasdaq Listing Qualifications Department of the Nasdaq Stock Market, LLC (“Nasdaq”) notifying the Company that it is </w:t>
      </w:r>
      <w:r>
        <w:rPr>
          <w:rStyle w:val="Emphasis"/>
          <w:rFonts w:ascii="Times New Roman" w:hAnsi="Times New Roman"/>
          <w:caps w:val="false"/>
          <w:smallCaps w:val="false"/>
          <w:sz w:val="20"/>
        </w:rPr>
        <w:t>not</w:t>
      </w:r>
      <w:r>
        <w:rPr>
          <w:rFonts w:ascii="Times New Roman" w:hAnsi="Times New Roman"/>
          <w:caps w:val="false"/>
          <w:smallCaps w:val="false"/>
          <w:sz w:val="20"/>
        </w:rPr>
        <w:t> in compliance with the minimum bid price requirement set forth in Nasdaq Listing Rule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for continued listing on The Nasdaq Global Select Market. Nasdaq Listing Rule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requires listed securities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per share, and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)(A) provides that a failure to meet the minimum bid price requirement exists if the deficiency continues for a period of </w:t>
      </w:r>
      <w:r>
        <w:rPr>
          <w:rStyle w:val="Emphasis"/>
          <w:rFonts w:ascii="Times New Roman" w:hAnsi="Times New Roman"/>
          <w:caps w:val="false"/>
          <w:smallCaps w:val="false"/>
          <w:sz w:val="20"/>
        </w:rPr>
        <w:t>30</w:t>
      </w:r>
      <w:r>
        <w:rPr>
          <w:rFonts w:ascii="Times New Roman" w:hAnsi="Times New Roman"/>
          <w:caps w:val="false"/>
          <w:smallCaps w:val="false"/>
          <w:sz w:val="20"/>
        </w:rPr>
        <w:t> consecutive business days. The Notice does </w:t>
      </w:r>
      <w:r>
        <w:rPr>
          <w:rStyle w:val="Emphasis"/>
          <w:rFonts w:ascii="Times New Roman" w:hAnsi="Times New Roman"/>
          <w:caps w:val="false"/>
          <w:smallCaps w:val="false"/>
          <w:sz w:val="20"/>
        </w:rPr>
        <w:t>not</w:t>
      </w:r>
      <w:r>
        <w:rPr>
          <w:rFonts w:ascii="Times New Roman" w:hAnsi="Times New Roman"/>
          <w:caps w:val="false"/>
          <w:smallCaps w:val="false"/>
          <w:sz w:val="20"/>
        </w:rPr>
        <w:t> impact the listing of the Company’s common stock on The Nasdaq Global Select Market at this time. In accordance with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)(A), the Company has </w:t>
      </w:r>
      <w:r>
        <w:rPr>
          <w:rStyle w:val="Emphasis"/>
          <w:rFonts w:ascii="Times New Roman" w:hAnsi="Times New Roman"/>
          <w:caps w:val="false"/>
          <w:smallCaps w:val="false"/>
          <w:sz w:val="20"/>
        </w:rPr>
        <w:t>180</w:t>
      </w:r>
      <w:r>
        <w:rPr>
          <w:rFonts w:ascii="Times New Roman" w:hAnsi="Times New Roman"/>
          <w:caps w:val="false"/>
          <w:smallCaps w:val="false"/>
          <w:sz w:val="20"/>
        </w:rPr>
        <w:t> calendar days to regain compliance with the minimum bid price requirement. To regain compliance, the closing bid price of the Company’s common stock must be at least </w:t>
      </w:r>
      <w:r>
        <w:rPr>
          <w:rStyle w:val="Emphasis"/>
          <w:rFonts w:ascii="Times New Roman" w:hAnsi="Times New Roman"/>
          <w:caps w:val="false"/>
          <w:smallCaps w:val="false"/>
          <w:sz w:val="20"/>
        </w:rPr>
        <w:t>$1.00</w:t>
      </w:r>
      <w:r>
        <w:rPr>
          <w:rFonts w:ascii="Times New Roman" w:hAnsi="Times New Roman"/>
          <w:caps w:val="false"/>
          <w:smallCaps w:val="false"/>
          <w:sz w:val="20"/>
        </w:rPr>
        <w:t> per share for a minimum of </w:t>
      </w:r>
      <w:r>
        <w:rPr>
          <w:rStyle w:val="Emphasis"/>
          <w:rFonts w:ascii="Times New Roman" w:hAnsi="Times New Roman"/>
          <w:caps w:val="false"/>
          <w:smallCaps w:val="false"/>
          <w:sz w:val="20"/>
        </w:rPr>
        <w:t>ten</w:t>
      </w:r>
      <w:r>
        <w:rPr>
          <w:rFonts w:ascii="Times New Roman" w:hAnsi="Times New Roman"/>
          <w:caps w:val="false"/>
          <w:smallCaps w:val="false"/>
          <w:sz w:val="20"/>
        </w:rPr>
        <w:t> consecutive business days before </w:t>
      </w:r>
      <w:r>
        <w:rPr>
          <w:rStyle w:val="Emphasis"/>
          <w:rFonts w:ascii="Times New Roman" w:hAnsi="Times New Roman"/>
          <w:caps w:val="false"/>
          <w:smallCaps w:val="false"/>
          <w:sz w:val="20"/>
        </w:rPr>
        <w:t xml:space="preserve"> September 21, 2025. </w:t>
      </w:r>
      <w:r>
        <w:rPr>
          <w:rFonts w:ascii="Times New Roman" w:hAnsi="Times New Roman"/>
          <w:caps w:val="false"/>
          <w:smallCaps w:val="false"/>
          <w:sz w:val="20"/>
        </w:rPr>
        <w:t>The Company is actively monitoring the closing bid price of its common stock and evaluating available options to regain compliance with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24, 2025, </w:t>
      </w:r>
      <w:r>
        <w:rPr>
          <w:rFonts w:ascii="Times New Roman" w:hAnsi="Times New Roman"/>
          <w:caps w:val="false"/>
          <w:smallCaps w:val="false"/>
          <w:sz w:val="20"/>
        </w:rPr>
        <w:t>the Board of Directors of the Company (the “Board”) approved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retention payments to be made on or about </w:t>
      </w:r>
      <w:r>
        <w:rPr>
          <w:rStyle w:val="Emphasis"/>
          <w:rFonts w:ascii="Times New Roman" w:hAnsi="Times New Roman"/>
          <w:caps w:val="false"/>
          <w:smallCaps w:val="false"/>
          <w:sz w:val="20"/>
        </w:rPr>
        <w:t xml:space="preserve"> August 15, 2025 (</w:t>
      </w:r>
      <w:r>
        <w:rPr>
          <w:rFonts w:ascii="Times New Roman" w:hAnsi="Times New Roman"/>
          <w:caps w:val="false"/>
          <w:smallCaps w:val="false"/>
          <w:sz w:val="20"/>
        </w:rPr>
        <w:t xml:space="preserve">the “Payment Date”) for the following executives (the “Executives”) in the amount set forth opposite each Executive’s name pursuant to an Executive Retention Agreement (the “Executive Retention Agreement”) entered into with each Executive. Pursuant to the terms of each Executive Retention Agreement, such retention payments require continued employment from the Payment Date through </w:t>
      </w:r>
      <w:r>
        <w:rPr>
          <w:rStyle w:val="Emphasis"/>
          <w:rFonts w:ascii="Times New Roman" w:hAnsi="Times New Roman"/>
          <w:caps w:val="false"/>
          <w:smallCaps w:val="false"/>
          <w:sz w:val="20"/>
        </w:rPr>
        <w:t>August 31, 2026 (</w:t>
      </w:r>
      <w:r>
        <w:rPr>
          <w:rFonts w:ascii="Times New Roman" w:hAnsi="Times New Roman"/>
          <w:caps w:val="false"/>
          <w:smallCaps w:val="false"/>
          <w:sz w:val="20"/>
        </w:rPr>
        <w:t>the “Repayment Period”). If the Executive terminates employment without Good Reason or is terminated by the Company for Cause (both terms as defined in the Executive’s employment agreements) prior to </w:t>
      </w:r>
      <w:r>
        <w:rPr>
          <w:rStyle w:val="Emphasis"/>
          <w:rFonts w:ascii="Times New Roman" w:hAnsi="Times New Roman"/>
          <w:caps w:val="false"/>
          <w:smallCaps w:val="false"/>
          <w:sz w:val="20"/>
        </w:rPr>
        <w:t xml:space="preserve"> August 31, 2026, </w:t>
      </w:r>
      <w:r>
        <w:rPr>
          <w:rFonts w:ascii="Times New Roman" w:hAnsi="Times New Roman"/>
          <w:caps w:val="false"/>
          <w:smallCaps w:val="false"/>
          <w:sz w:val="20"/>
        </w:rPr>
        <w:t>then such Executive must repay a pro-rated portion of the retention payment based on the number of days </w:t>
      </w:r>
      <w:r>
        <w:rPr>
          <w:rStyle w:val="Emphasis"/>
          <w:rFonts w:ascii="Times New Roman" w:hAnsi="Times New Roman"/>
          <w:caps w:val="false"/>
          <w:smallCaps w:val="false"/>
          <w:sz w:val="20"/>
        </w:rPr>
        <w:t>not</w:t>
      </w:r>
      <w:r>
        <w:rPr>
          <w:rFonts w:ascii="Times New Roman" w:hAnsi="Times New Roman"/>
          <w:caps w:val="false"/>
          <w:smallCaps w:val="false"/>
          <w:sz w:val="20"/>
        </w:rPr>
        <w:t> employed by the Company during the Repayment Period. A copy of the form of Executive Retention Agreement is filed as an exhibit to this </w:t>
      </w:r>
      <w:r>
        <w:rPr>
          <w:rStyle w:val="Emphasis"/>
          <w:rFonts w:ascii="Times New Roman" w:hAnsi="Times New Roman"/>
          <w:caps w:val="false"/>
          <w:smallCaps w:val="false"/>
          <w:sz w:val="20"/>
        </w:rPr>
        <w:t>Form10</w:t>
      </w:r>
      <w:r>
        <w:rPr>
          <w:rFonts w:ascii="Times New Roman" w:hAnsi="Times New Roman"/>
          <w:caps w:val="false"/>
          <w:smallCaps w:val="false"/>
          <w:sz w:val="20"/>
        </w:rPr>
        <w:t>-K. </w:t>
      </w:r>
    </w:p>
    <w:p>
      <w:pPr>
        <w:pStyle w:val="TextBody"/>
        <w:bidi w:val="0"/>
        <w:spacing w:before="0" w:after="0"/>
        <w:ind w:left="0" w:right="0" w:firstLine="720"/>
        <w:jc w:val="both"/>
        <w:rPr>
          <w:caps w:val="false"/>
          <w:smallCaps w:val="false"/>
        </w:rPr>
      </w:pPr>
      <w:r>
        <w:rPr>
          <w:caps w:val="false"/>
          <w:smallCaps w:val="false"/>
        </w:rPr>
        <w:t> </w:t>
      </w:r>
    </w:p>
    <w:tbl>
      <w:tblPr>
        <w:tblW w:w="3204" w:type="dxa"/>
        <w:jc w:val="left"/>
        <w:tblInd w:w="0" w:type="dxa"/>
        <w:tblLayout w:type="fixed"/>
        <w:tblCellMar>
          <w:top w:w="0" w:type="dxa"/>
          <w:left w:w="0" w:type="dxa"/>
          <w:bottom w:w="0" w:type="dxa"/>
          <w:right w:w="0" w:type="dxa"/>
        </w:tblCellMar>
      </w:tblPr>
      <w:tblGrid>
        <w:gridCol w:w="1460"/>
        <w:gridCol w:w="60"/>
        <w:gridCol w:w="246"/>
        <w:gridCol w:w="1378"/>
        <w:gridCol w:w="60"/>
      </w:tblGrid>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Executives</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Retention Payment</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Irwin Simon</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950,000</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Carl Merton</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3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160,000</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Denise Faltischek</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130,000</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Mitchell Gendel</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3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160,000</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Roger Savell</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105,000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5" w:name="item9c"/>
      <w:bookmarkEnd w:id="25"/>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6" w:name="partiii"/>
      <w:bookmarkEnd w:id="26"/>
      <w:r>
        <w:rPr>
          <w:rFonts w:ascii="Times New Roman" w:hAnsi="Times New Roman"/>
          <w:b/>
          <w:caps w:val="false"/>
          <w:smallCaps w:val="false"/>
          <w:sz w:val="20"/>
        </w:rPr>
        <w:t xml:space="preserve">PART 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Part III incorporates certain information by reference from the definitive proxy statement to be filed in connection with our 2025 Annual Meeting of Stockholders (the “2025 Proxy Statement”). We will file the Proxy Statement with the Securities and Exchange Commission pursuant to Regulation 14A not later than 120 days after the end of the fiscal year ended May 31, 2025. If our Proxy Statement is not filed within 120 days of May 31, 2025, the omitted information will be included in an amendment to this Annual Report on Form 10</w:t>
        <w:noBreakHyphen/>
        <w:t>K filed not later than the end of such 120-day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7" w:name="item10"/>
      <w:bookmarkEnd w:id="2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Directors, Executive Officers and Corporate Governance.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information required by this Item concerning our executive officers and our directors and nominees for director, including information with respect to our audit committee and audit committee financial expert,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found under the section entitled “Proposal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Election of Directors,” “Information Regarding the Board of Directors and Corporate Governance,” and “Executive Officers” appearing in the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3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information required by this Item concerning our code of ethics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be found under the section entitled “Information Regarding the Board of Directors and Corporate Governance” appearing in the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1003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information required by this Item concerning compliance with Section </w:t>
            </w:r>
            <w:r>
              <w:rPr>
                <w:rStyle w:val="Emphasis"/>
                <w:rFonts w:ascii="Times New Roman;Times;serif" w:hAnsi="Times New Roman;Times;serif"/>
                <w:caps w:val="false"/>
                <w:smallCaps w:val="false"/>
                <w:sz w:val="20"/>
              </w:rPr>
              <w:t>16</w:t>
            </w:r>
            <w:r>
              <w:rPr>
                <w:rFonts w:ascii="Times New Roman;Times;serif" w:hAnsi="Times New Roman;Times;serif"/>
                <w:caps w:val="false"/>
                <w:smallCaps w:val="false"/>
                <w:sz w:val="20"/>
              </w:rPr>
              <w:t xml:space="preserve">(a) of the Securities Exchange Act of </w:t>
            </w:r>
            <w:r>
              <w:rPr>
                <w:rStyle w:val="Emphasis"/>
                <w:rFonts w:ascii="Times New Roman;Times;serif" w:hAnsi="Times New Roman;Times;serif"/>
                <w:caps w:val="false"/>
                <w:smallCaps w:val="false"/>
                <w:sz w:val="20"/>
              </w:rPr>
              <w:t>1934</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found in the section entitled “Delinquent Section </w:t>
            </w:r>
            <w:r>
              <w:rPr>
                <w:rStyle w:val="Emphasis"/>
                <w:rFonts w:ascii="Times New Roman;Times;serif" w:hAnsi="Times New Roman;Times;serif"/>
                <w:caps w:val="false"/>
                <w:smallCaps w:val="false"/>
                <w:sz w:val="20"/>
              </w:rPr>
              <w:t>16</w:t>
            </w:r>
            <w:r>
              <w:rPr>
                <w:rFonts w:ascii="Times New Roman;Times;serif" w:hAnsi="Times New Roman;Times;serif"/>
                <w:caps w:val="false"/>
                <w:smallCaps w:val="false"/>
                <w:sz w:val="20"/>
              </w:rPr>
              <w:t>(a) Reports” appearing in the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8" w:name="item11"/>
      <w:bookmarkEnd w:id="28"/>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may be found under the sections entitled “Director Compensation”, “Executive Compensation” and “Equity Compensation Plan Information” appearing in the 2025 Proxy Statement. Such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9" w:name="item12"/>
      <w:bookmarkEnd w:id="29"/>
      <w:r>
        <w:rPr>
          <w:rFonts w:ascii="Times New Roman" w:hAnsi="Times New Roman"/>
          <w:b/>
          <w:caps w:val="false"/>
          <w:smallCaps w:val="false"/>
          <w:sz w:val="20"/>
        </w:rPr>
        <w:t xml:space="preserve">Item 12. 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with respect to security ownership of certain beneficial owners and management may be found under the section entitled “Security Ownership of Certain Beneficial Owners and Management” appearing in the 2025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with respect to securities authorized for issuance under our equity compensation plans may be found under the sections entitled “Equity Compensation Plan Information” appearing in the 2025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0" w:name="item13"/>
      <w:bookmarkEnd w:id="30"/>
      <w:r>
        <w:rPr>
          <w:rFonts w:ascii="Times New Roman" w:hAnsi="Times New Roman"/>
          <w:b/>
          <w:caps w:val="false"/>
          <w:smallCaps w:val="false"/>
          <w:sz w:val="20"/>
        </w:rPr>
        <w:t xml:space="preserve">Item 13. Certain Relationships and Related Transactions, and Director Independence.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concerning related party transactions may be found under the section entitled “Transactions with Related Persons” appearing in the 2025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2025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1" w:name="item14"/>
      <w:bookmarkEnd w:id="31"/>
      <w:r>
        <w:rPr>
          <w:rFonts w:ascii="Times New Roman" w:hAnsi="Times New Roman"/>
          <w:b/>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may be found under the section entitled “Proposal No. 3 - Ratification of Appointment of Independent Registered Public Accounting Firm” appearing in the 2025 Proxy Statement. Such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2" w:name="partiv"/>
      <w:bookmarkEnd w:id="32"/>
      <w:r>
        <w:rPr>
          <w:rFonts w:ascii="Times New Roman" w:hAnsi="Times New Roman"/>
          <w:b/>
          <w:caps w:val="false"/>
          <w:smallCaps w:val="false"/>
          <w:sz w:val="20"/>
        </w:rPr>
        <w:t xml:space="preserve">PART 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3" w:name="item15"/>
      <w:bookmarkEnd w:id="33"/>
      <w:r>
        <w:rPr>
          <w:rFonts w:ascii="Times New Roman" w:hAnsi="Times New Roman"/>
          <w:b/>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documents are filed as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245"/>
        <w:gridCol w:w="68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 and Report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
        <w:gridCol w:w="245"/>
        <w:gridCol w:w="25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40" w:right="0" w:hanging="0"/>
        <w:jc w:val="both"/>
        <w:rPr>
          <w:rFonts w:ascii="Times New Roman" w:hAnsi="Times New Roman"/>
          <w:caps w:val="false"/>
          <w:smallCaps w:val="false"/>
          <w:sz w:val="20"/>
        </w:rPr>
      </w:pPr>
      <w:r>
        <w:rPr>
          <w:rFonts w:ascii="Times New Roman" w:hAnsi="Times New Roman"/>
          <w:caps w:val="false"/>
          <w:smallCaps w:val="false"/>
          <w:sz w:val="20"/>
        </w:rPr>
        <w:t>Financial Statement Schedules have been omitted because the information required to be set forth therein is not applicable or is shown in the financial statements or notes thereto.</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 are incorporated herein by reference or are filed with this report as indicated below (numbered in accordance with Item 601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The exhibits listed below on the Exhibit Index are filed herewith or are incorporated by reference to exhibits previously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4" w:name="exs"/>
      <w:bookmarkEnd w:id="34"/>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
        <w:gridCol w:w="5492"/>
        <w:gridCol w:w="770"/>
        <w:gridCol w:w="849"/>
        <w:gridCol w:w="650"/>
        <w:gridCol w:w="691"/>
        <w:gridCol w:w="981"/>
      </w:tblGrid>
      <w:tr>
        <w:trPr/>
        <w:tc>
          <w:tcPr>
            <w:tcW w:w="772" w:type="dxa"/>
            <w:tcBorders/>
            <w:vAlign w:val="center"/>
          </w:tcPr>
          <w:p>
            <w:pPr>
              <w:pStyle w:val="TableContents"/>
              <w:bidi w:val="0"/>
              <w:spacing w:before="0" w:after="283"/>
              <w:jc w:val="left"/>
              <w:rPr/>
            </w:pPr>
            <w:r>
              <w:rPr/>
              <w:t> </w:t>
            </w:r>
          </w:p>
        </w:tc>
        <w:tc>
          <w:tcPr>
            <w:tcW w:w="5492" w:type="dxa"/>
            <w:tcBorders/>
            <w:vAlign w:val="center"/>
          </w:tcPr>
          <w:p>
            <w:pPr>
              <w:pStyle w:val="TableContents"/>
              <w:bidi w:val="0"/>
              <w:spacing w:before="0" w:after="283"/>
              <w:jc w:val="left"/>
              <w:rPr/>
            </w:pPr>
            <w:r>
              <w:rPr/>
              <w:t> </w:t>
            </w:r>
          </w:p>
        </w:tc>
        <w:tc>
          <w:tcPr>
            <w:tcW w:w="3941"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72"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49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849"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9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98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72" w:type="dxa"/>
            <w:tcBorders/>
            <w:vAlign w:val="center"/>
          </w:tcPr>
          <w:p>
            <w:pPr>
              <w:pStyle w:val="TableContents"/>
              <w:bidi w:val="0"/>
              <w:spacing w:before="0" w:after="283"/>
              <w:jc w:val="left"/>
              <w:rPr/>
            </w:pPr>
            <w:r>
              <w:rPr/>
              <w:t> </w:t>
            </w:r>
          </w:p>
        </w:tc>
        <w:tc>
          <w:tcPr>
            <w:tcW w:w="5492"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5492" w:type="dxa"/>
            <w:tcBorders/>
            <w:vAlign w:val="center"/>
          </w:tcPr>
          <w:p>
            <w:pPr>
              <w:pStyle w:val="TableContents"/>
              <w:bidi w:val="0"/>
              <w:spacing w:before="0" w:after="283"/>
              <w:jc w:val="left"/>
              <w:rPr/>
            </w:pPr>
            <w:hyperlink r:id="rId3">
              <w:r>
                <w:rPr>
                  <w:rStyle w:val="InternetLink"/>
                  <w:u w:val="single"/>
                </w:rPr>
                <w:t>Fifth Amended and Restated Certificate of Incorporation of Tilray Brands, Inc., dated as of December 19, 2024, as currently in effect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8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1/10/2025</w:t>
            </w:r>
          </w:p>
        </w:tc>
        <w:tc>
          <w:tcPr>
            <w:tcW w:w="981"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pPr>
            <w:r>
              <w:rPr/>
              <w:t> </w:t>
            </w:r>
          </w:p>
        </w:tc>
        <w:tc>
          <w:tcPr>
            <w:tcW w:w="5492"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5492"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Amended and Restated Bylaws, as of January 10, 2022, as currently in effect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1/10/2022</w:t>
            </w:r>
          </w:p>
        </w:tc>
        <w:tc>
          <w:tcPr>
            <w:tcW w:w="9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1"/>
        <w:gridCol w:w="5593"/>
        <w:gridCol w:w="770"/>
        <w:gridCol w:w="824"/>
        <w:gridCol w:w="650"/>
        <w:gridCol w:w="667"/>
        <w:gridCol w:w="950"/>
      </w:tblGrid>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3861" w:type="dxa"/>
            <w:gridSpan w:val="5"/>
            <w:tcBorders/>
            <w:vAlign w:val="center"/>
          </w:tcPr>
          <w:p>
            <w:pPr>
              <w:pStyle w:val="TableContents"/>
              <w:bidi w:val="0"/>
              <w:spacing w:before="0" w:after="283"/>
              <w:jc w:val="center"/>
              <w:rPr>
                <w:b/>
              </w:rPr>
            </w:pPr>
            <w:r>
              <w:rPr>
                <w:b/>
              </w:rPr>
              <w:t>Incorporated by Reference</w:t>
            </w:r>
          </w:p>
        </w:tc>
      </w:tr>
      <w:tr>
        <w:trPr/>
        <w:tc>
          <w:tcPr>
            <w:tcW w:w="7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59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824"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67"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9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5593"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Indenture dated as of April 23, 2019, between Aphria Inc. and GLAS Trust Company LLC, relating to Aphria Inc.’s 5.25% Convertible Senior Notes due 2024</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5/4/2021</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5593"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First Supplemental Indenture dated as of April 30, 2021, among Aphria Inc., the Registrant and GLAS Trust Company LLC</w:t>
              </w:r>
            </w:hyperlink>
            <w:r>
              <w:rPr>
                <w:rFonts w:ascii="Times New Roman" w:hAnsi="Times New Roman"/>
                <w:caps w:val="false"/>
                <w:smallCaps w:val="false"/>
                <w:sz w:val="20"/>
              </w:rPr>
              <w:t>.</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5/4/2021</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5593" w:type="dxa"/>
            <w:tcBorders/>
            <w:vAlign w:val="center"/>
          </w:tcPr>
          <w:p>
            <w:pPr>
              <w:pStyle w:val="TableContents"/>
              <w:bidi w:val="0"/>
              <w:spacing w:before="0" w:after="0"/>
              <w:ind w:left="0" w:right="0" w:hanging="0"/>
              <w:jc w:val="left"/>
              <w:rPr/>
            </w:pPr>
            <w:hyperlink w:anchor="ex_802151.htm">
              <w:r>
                <w:rPr>
                  <w:rStyle w:val="InternetLink"/>
                  <w:rFonts w:ascii="Times New Roman" w:hAnsi="Times New Roman"/>
                  <w:caps w:val="false"/>
                  <w:smallCaps w:val="false"/>
                  <w:sz w:val="20"/>
                  <w:u w:val="single"/>
                </w:rPr>
                <w:t>Description of Securities of the Registrant</w:t>
              </w:r>
            </w:hyperlink>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5593"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Form of Pre-Funded Warrant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03/17/2020</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5593"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Form of Warrant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03/17/2020</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5593"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Agreement Of Resignation, Appointment and Acceptance, dated as of January 27, 2022, by and among Tilray Brands, Inc., Glas Trust Company LLC and Computershare Trust Company, N.A.</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1/28/2022</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4.7</w:t>
            </w:r>
          </w:p>
        </w:tc>
        <w:tc>
          <w:tcPr>
            <w:tcW w:w="5593"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Agreement Of Resignation, Appointment and Acceptance, dated as of January 27, 2022, by and among Tilray Brands, Inc., Glas Trust Company LLC and Computershare Trust Company, N.A.</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1/28/2022</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5593"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Amended and Restated 2018 Equity Incentive Plan</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333-225741</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7/9/2018</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5593"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Form of Restricted Stock Unit Award Agreement under the Amended and Restated 2018 Equity Incentive Plan</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333-225741</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7/9/2018</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5593"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Form of Indemnity Agreement by and between the Registrant and its directors and officers</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8/10/2020</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5593"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Common Share Purchase Warrant Agreement, between Aphria Inc. and Computershare Trust Company of Canada, dated January 30, 2020</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10.39</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7/28/2021</w:t>
            </w:r>
          </w:p>
        </w:tc>
        <w:tc>
          <w:tcPr>
            <w:tcW w:w="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835" w:type="dxa"/>
        <w:jc w:val="left"/>
        <w:tblInd w:w="0" w:type="dxa"/>
        <w:tblLayout w:type="fixed"/>
        <w:tblCellMar>
          <w:top w:w="0" w:type="dxa"/>
          <w:left w:w="0" w:type="dxa"/>
          <w:bottom w:w="0" w:type="dxa"/>
          <w:right w:w="0" w:type="dxa"/>
        </w:tblCellMar>
      </w:tblPr>
      <w:tblGrid>
        <w:gridCol w:w="980"/>
        <w:gridCol w:w="2105"/>
        <w:gridCol w:w="770"/>
        <w:gridCol w:w="1085"/>
        <w:gridCol w:w="650"/>
        <w:gridCol w:w="965"/>
        <w:gridCol w:w="1280"/>
      </w:tblGrid>
      <w:tr>
        <w:trPr/>
        <w:tc>
          <w:tcPr>
            <w:tcW w:w="98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4750" w:type="dxa"/>
            <w:gridSpan w:val="5"/>
            <w:tcBorders/>
            <w:vAlign w:val="center"/>
          </w:tcPr>
          <w:p>
            <w:pPr>
              <w:pStyle w:val="TableContents"/>
              <w:bidi w:val="0"/>
              <w:spacing w:before="0" w:after="283"/>
              <w:jc w:val="center"/>
              <w:rPr>
                <w:b/>
              </w:rPr>
            </w:pPr>
            <w:r>
              <w:rPr>
                <w:b/>
              </w:rPr>
              <w:t>Incorporated by Reference</w:t>
            </w:r>
          </w:p>
        </w:tc>
      </w:tr>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21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10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9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1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bl>
    <w:tbl>
      <w:tblPr>
        <w:tblW w:w="10205" w:type="dxa"/>
        <w:jc w:val="left"/>
        <w:tblInd w:w="0" w:type="dxa"/>
        <w:tblLayout w:type="fixed"/>
        <w:tblCellMar>
          <w:top w:w="0" w:type="dxa"/>
          <w:left w:w="0" w:type="dxa"/>
          <w:bottom w:w="0" w:type="dxa"/>
          <w:right w:w="0" w:type="dxa"/>
        </w:tblCellMar>
      </w:tblPr>
      <w:tblGrid>
        <w:gridCol w:w="440"/>
        <w:gridCol w:w="7015"/>
        <w:gridCol w:w="465"/>
        <w:gridCol w:w="935"/>
        <w:gridCol w:w="440"/>
        <w:gridCol w:w="848"/>
        <w:gridCol w:w="62"/>
      </w:tblGrid>
      <w:tr>
        <w:trPr/>
        <w:tc>
          <w:tcPr>
            <w:tcW w:w="440" w:type="dxa"/>
            <w:tcBorders/>
            <w:vAlign w:val="center"/>
          </w:tcPr>
          <w:p>
            <w:pPr>
              <w:pStyle w:val="TableContents"/>
              <w:bidi w:val="0"/>
              <w:spacing w:before="0" w:after="283"/>
              <w:jc w:val="left"/>
              <w:rPr/>
            </w:pPr>
            <w:r>
              <w:rPr/>
              <w:t> </w:t>
            </w:r>
          </w:p>
        </w:tc>
        <w:tc>
          <w:tcPr>
            <w:tcW w:w="701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10.5</w:t>
            </w:r>
          </w:p>
        </w:tc>
        <w:tc>
          <w:tcPr>
            <w:tcW w:w="7015" w:type="dxa"/>
            <w:tcBorders/>
            <w:vAlign w:val="center"/>
          </w:tcPr>
          <w:p>
            <w:pPr>
              <w:pStyle w:val="TableContents"/>
              <w:bidi w:val="0"/>
              <w:spacing w:before="0" w:after="283"/>
              <w:jc w:val="left"/>
              <w:rPr/>
            </w:pPr>
            <w:hyperlink r:id="rId15">
              <w:r>
                <w:rPr>
                  <w:rStyle w:val="InternetLink"/>
                  <w:u w:val="single"/>
                </w:rPr>
                <w:t>Employment Agreement by and between the Registrant and Irwin Simon, dated August 28, 2021</w:t>
              </w:r>
            </w:hyperlink>
          </w:p>
        </w:tc>
        <w:tc>
          <w:tcPr>
            <w:tcW w:w="465" w:type="dxa"/>
            <w:tcBorders/>
            <w:vAlign w:val="center"/>
          </w:tcPr>
          <w:p>
            <w:pPr>
              <w:pStyle w:val="TableContents"/>
              <w:bidi w:val="0"/>
              <w:spacing w:before="0" w:after="283"/>
              <w:jc w:val="center"/>
              <w:rPr/>
            </w:pPr>
            <w:r>
              <w:rPr/>
              <w:t>10-Q</w:t>
            </w:r>
          </w:p>
        </w:tc>
        <w:tc>
          <w:tcPr>
            <w:tcW w:w="935" w:type="dxa"/>
            <w:tcBorders/>
            <w:vAlign w:val="center"/>
          </w:tcPr>
          <w:p>
            <w:pPr>
              <w:pStyle w:val="TableContents"/>
              <w:bidi w:val="0"/>
              <w:spacing w:before="0" w:after="283"/>
              <w:jc w:val="center"/>
              <w:rPr/>
            </w:pPr>
            <w:r>
              <w:rPr/>
              <w:t>001-38594</w:t>
            </w:r>
          </w:p>
        </w:tc>
        <w:tc>
          <w:tcPr>
            <w:tcW w:w="440" w:type="dxa"/>
            <w:tcBorders/>
            <w:vAlign w:val="center"/>
          </w:tcPr>
          <w:p>
            <w:pPr>
              <w:pStyle w:val="TableContents"/>
              <w:bidi w:val="0"/>
              <w:spacing w:before="0" w:after="283"/>
              <w:jc w:val="center"/>
              <w:rPr/>
            </w:pPr>
            <w:r>
              <w:rPr/>
              <w:t>10.1</w:t>
            </w:r>
          </w:p>
        </w:tc>
        <w:tc>
          <w:tcPr>
            <w:tcW w:w="848" w:type="dxa"/>
            <w:tcBorders/>
            <w:vAlign w:val="center"/>
          </w:tcPr>
          <w:p>
            <w:pPr>
              <w:pStyle w:val="TableContents"/>
              <w:bidi w:val="0"/>
              <w:spacing w:before="0" w:after="283"/>
              <w:jc w:val="center"/>
              <w:rPr/>
            </w:pPr>
            <w:r>
              <w:rPr/>
              <w:t>10/7/2021</w:t>
            </w:r>
          </w:p>
        </w:tc>
        <w:tc>
          <w:tcPr>
            <w:tcW w:w="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6868"/>
        <w:gridCol w:w="479"/>
        <w:gridCol w:w="970"/>
        <w:gridCol w:w="560"/>
        <w:gridCol w:w="886"/>
        <w:gridCol w:w="62"/>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6868"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Employment Agreement by and between the Registrant and Denise Faltischek, dated August 28, 2021</w:t>
              </w:r>
            </w:hyperlink>
          </w:p>
        </w:tc>
        <w:tc>
          <w:tcPr>
            <w:tcW w:w="4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9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10/7/2021</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868"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Employment Agreement by and between the Registrant and Carl Merton, dated August 28, 2021</w:t>
              </w:r>
            </w:hyperlink>
          </w:p>
        </w:tc>
        <w:tc>
          <w:tcPr>
            <w:tcW w:w="4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9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10/7/2021</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6868"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Employment Agreement by and between the Registrant and Mitchell Gendel, dated July 26, 2021</w:t>
              </w:r>
            </w:hyperlink>
          </w:p>
        </w:tc>
        <w:tc>
          <w:tcPr>
            <w:tcW w:w="479" w:type="dxa"/>
            <w:tcBorders/>
            <w:vAlign w:val="center"/>
          </w:tcPr>
          <w:p>
            <w:pPr>
              <w:pStyle w:val="TableContents"/>
              <w:bidi w:val="0"/>
              <w:spacing w:before="0" w:after="283"/>
              <w:jc w:val="center"/>
              <w:rPr/>
            </w:pPr>
            <w:r>
              <w:rPr/>
              <w:t>10-K</w:t>
            </w:r>
          </w:p>
        </w:tc>
        <w:tc>
          <w:tcPr>
            <w:tcW w:w="970" w:type="dxa"/>
            <w:tcBorders/>
            <w:vAlign w:val="center"/>
          </w:tcPr>
          <w:p>
            <w:pPr>
              <w:pStyle w:val="TableContents"/>
              <w:bidi w:val="0"/>
              <w:spacing w:before="0" w:after="283"/>
              <w:jc w:val="center"/>
              <w:rPr/>
            </w:pPr>
            <w:r>
              <w:rPr/>
              <w:t>001-38594</w:t>
            </w:r>
          </w:p>
        </w:tc>
        <w:tc>
          <w:tcPr>
            <w:tcW w:w="560" w:type="dxa"/>
            <w:tcBorders/>
            <w:vAlign w:val="center"/>
          </w:tcPr>
          <w:p>
            <w:pPr>
              <w:pStyle w:val="TableContents"/>
              <w:bidi w:val="0"/>
              <w:spacing w:before="0" w:after="283"/>
              <w:jc w:val="center"/>
              <w:rPr/>
            </w:pPr>
            <w:r>
              <w:rPr/>
              <w:t>10.14</w:t>
            </w:r>
          </w:p>
        </w:tc>
        <w:tc>
          <w:tcPr>
            <w:tcW w:w="886" w:type="dxa"/>
            <w:tcBorders/>
            <w:vAlign w:val="center"/>
          </w:tcPr>
          <w:p>
            <w:pPr>
              <w:pStyle w:val="TableContents"/>
              <w:bidi w:val="0"/>
              <w:spacing w:before="0" w:after="283"/>
              <w:jc w:val="center"/>
              <w:rPr/>
            </w:pPr>
            <w:r>
              <w:rPr/>
              <w:t>7/28/2022</w:t>
            </w:r>
          </w:p>
        </w:tc>
        <w:tc>
          <w:tcPr>
            <w:tcW w:w="62"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4"/>
        <w:gridCol w:w="5803"/>
        <w:gridCol w:w="770"/>
        <w:gridCol w:w="772"/>
        <w:gridCol w:w="650"/>
        <w:gridCol w:w="624"/>
        <w:gridCol w:w="882"/>
      </w:tblGrid>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3698"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0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80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77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24"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88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04" w:type="dxa"/>
            <w:tcBorders/>
            <w:vAlign w:val="center"/>
          </w:tcPr>
          <w:p>
            <w:pPr>
              <w:pStyle w:val="TableContents"/>
              <w:bidi w:val="0"/>
              <w:spacing w:before="0" w:after="283"/>
              <w:jc w:val="left"/>
              <w:rPr/>
            </w:pPr>
            <w:r>
              <w:rPr/>
              <w:t>10.9</w:t>
            </w:r>
          </w:p>
        </w:tc>
        <w:tc>
          <w:tcPr>
            <w:tcW w:w="5803" w:type="dxa"/>
            <w:tcBorders/>
          </w:tcPr>
          <w:p>
            <w:pPr>
              <w:pStyle w:val="TableContents"/>
              <w:bidi w:val="0"/>
              <w:spacing w:before="0" w:after="0"/>
              <w:ind w:left="0" w:right="0" w:hanging="0"/>
              <w:jc w:val="left"/>
              <w:rPr/>
            </w:pPr>
            <w:hyperlink r:id="rId19">
              <w:r>
                <w:rPr>
                  <w:rStyle w:val="InternetLink"/>
                  <w:rFonts w:ascii="Times New Roman" w:hAnsi="Times New Roman"/>
                  <w:sz w:val="20"/>
                </w:rPr>
                <w:t>Indenture dated as of May 27, 2021, by and between HEXO Corp. as issuer, and GLAS Trust Company LLC, as trustee</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10.7</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7/12/2022</w:t>
            </w:r>
          </w:p>
        </w:tc>
        <w:tc>
          <w:tcPr>
            <w:tcW w:w="882" w:type="dxa"/>
            <w:tcBorders/>
          </w:tcPr>
          <w:p>
            <w:pPr>
              <w:pStyle w:val="TableContents"/>
              <w:bidi w:val="0"/>
              <w:spacing w:before="0" w:after="0"/>
              <w:ind w:left="0" w:right="0" w:hanging="0"/>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10.10</w:t>
            </w:r>
          </w:p>
        </w:tc>
        <w:tc>
          <w:tcPr>
            <w:tcW w:w="5803" w:type="dxa"/>
            <w:tcBorders/>
          </w:tcPr>
          <w:p>
            <w:pPr>
              <w:pStyle w:val="TableContents"/>
              <w:bidi w:val="0"/>
              <w:spacing w:before="0" w:after="0"/>
              <w:ind w:left="0" w:right="0" w:hanging="0"/>
              <w:jc w:val="left"/>
              <w:rPr/>
            </w:pPr>
            <w:hyperlink r:id="rId20">
              <w:r>
                <w:rPr>
                  <w:rStyle w:val="InternetLink"/>
                  <w:rFonts w:ascii="Times New Roman" w:hAnsi="Times New Roman"/>
                  <w:sz w:val="20"/>
                </w:rPr>
                <w:t>Purchase Agreement, dated August 7, 2023, by and among Tilray, Anheuser-Busch Companies, LLC, Craft USA Holdings, LLC, Craft Brew Alliance, Inc. and Tilray Beverages, LLC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8/7/2023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10.11</w:t>
            </w:r>
          </w:p>
        </w:tc>
        <w:tc>
          <w:tcPr>
            <w:tcW w:w="5803" w:type="dxa"/>
            <w:tcBorders/>
          </w:tcPr>
          <w:p>
            <w:pPr>
              <w:pStyle w:val="TableContents"/>
              <w:bidi w:val="0"/>
              <w:spacing w:before="0" w:after="0"/>
              <w:ind w:left="0" w:right="0" w:hanging="0"/>
              <w:jc w:val="left"/>
              <w:rPr/>
            </w:pPr>
            <w:hyperlink r:id="rId21">
              <w:r>
                <w:rPr>
                  <w:rStyle w:val="InternetLink"/>
                  <w:rFonts w:ascii="Times New Roman" w:hAnsi="Times New Roman"/>
                  <w:sz w:val="20"/>
                </w:rPr>
                <w:t>First Amendment to the Purchase Agreement, dated as of September 29, 2023, by and among Tilray, Anheuser-Busch Companies, LLC, Craft USA Holdings, LLC, Craft Brew Alliance, Inc. and Tilray Beverages, LLC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10.12</w:t>
            </w:r>
          </w:p>
        </w:tc>
        <w:tc>
          <w:tcPr>
            <w:tcW w:w="5803" w:type="dxa"/>
            <w:tcBorders/>
          </w:tcPr>
          <w:p>
            <w:pPr>
              <w:pStyle w:val="TableContents"/>
              <w:bidi w:val="0"/>
              <w:spacing w:before="0" w:after="0"/>
              <w:ind w:left="0" w:right="0" w:hanging="0"/>
              <w:jc w:val="left"/>
              <w:rPr/>
            </w:pPr>
            <w:hyperlink r:id="rId22">
              <w:r>
                <w:rPr>
                  <w:rStyle w:val="InternetLink"/>
                  <w:rFonts w:ascii="Times New Roman" w:hAnsi="Times New Roman"/>
                  <w:sz w:val="20"/>
                </w:rPr>
                <w:t>Form of 2023 EBITDA PSU Equity Incentive Award.</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10.13</w:t>
            </w:r>
          </w:p>
        </w:tc>
        <w:tc>
          <w:tcPr>
            <w:tcW w:w="5803" w:type="dxa"/>
            <w:tcBorders/>
          </w:tcPr>
          <w:p>
            <w:pPr>
              <w:pStyle w:val="TableContents"/>
              <w:bidi w:val="0"/>
              <w:spacing w:before="0" w:after="0"/>
              <w:ind w:left="0" w:right="0" w:hanging="0"/>
              <w:jc w:val="left"/>
              <w:rPr/>
            </w:pPr>
            <w:hyperlink r:id="rId23">
              <w:r>
                <w:rPr>
                  <w:rStyle w:val="InternetLink"/>
                  <w:rFonts w:ascii="Times New Roman" w:hAnsi="Times New Roman"/>
                  <w:sz w:val="20"/>
                </w:rPr>
                <w:t>Fourth Amended and Restated Wholesale Cannabis Supply Agreement, dated as of January 5, 2024, by and between 1974568 Ontario Limited and Aphria Inc. (incorporated by reference to Exhibit 10.1 to the Company’s Quarterly Report on Form 10-Q filed with the SEC on January 9, 2024).</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10.14</w:t>
            </w:r>
          </w:p>
        </w:tc>
        <w:tc>
          <w:tcPr>
            <w:tcW w:w="5803" w:type="dxa"/>
            <w:tcBorders/>
          </w:tcPr>
          <w:p>
            <w:pPr>
              <w:pStyle w:val="TableContents"/>
              <w:bidi w:val="0"/>
              <w:spacing w:before="0" w:after="0"/>
              <w:ind w:left="0" w:right="0" w:hanging="0"/>
              <w:jc w:val="left"/>
              <w:rPr/>
            </w:pPr>
            <w:hyperlink r:id="rId24">
              <w:r>
                <w:rPr>
                  <w:rStyle w:val="InternetLink"/>
                  <w:rFonts w:ascii="Times New Roman" w:hAnsi="Times New Roman"/>
                  <w:sz w:val="20"/>
                </w:rPr>
                <w:t>Form of 2024 EBITDA Performance Award.</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10.15</w:t>
            </w:r>
          </w:p>
        </w:tc>
        <w:tc>
          <w:tcPr>
            <w:tcW w:w="5803" w:type="dxa"/>
            <w:tcBorders/>
          </w:tcPr>
          <w:p>
            <w:pPr>
              <w:pStyle w:val="TableContents"/>
              <w:bidi w:val="0"/>
              <w:spacing w:before="0" w:after="0"/>
              <w:ind w:left="0" w:right="0" w:hanging="0"/>
              <w:jc w:val="left"/>
              <w:rPr/>
            </w:pPr>
            <w:hyperlink r:id="rId25">
              <w:r>
                <w:rPr>
                  <w:rStyle w:val="InternetLink"/>
                  <w:rFonts w:ascii="Times New Roman" w:hAnsi="Times New Roman"/>
                  <w:sz w:val="20"/>
                </w:rPr>
                <w:t>Amended Credit Agreement, effective June 30, 2023, by and among Four Twenty Corporation, certain subsidiaries and affiliates of Four Twenty Corporation, Bank of America, N.A., City National Bank, the lenders party thereto and BofA Securities, Inc.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8/31/2023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10.16</w:t>
            </w:r>
          </w:p>
        </w:tc>
        <w:tc>
          <w:tcPr>
            <w:tcW w:w="5803" w:type="dxa"/>
            <w:tcBorders/>
          </w:tcPr>
          <w:p>
            <w:pPr>
              <w:pStyle w:val="TableContents"/>
              <w:bidi w:val="0"/>
              <w:spacing w:before="0" w:after="0"/>
              <w:ind w:left="0" w:right="0" w:hanging="0"/>
              <w:jc w:val="left"/>
              <w:rPr/>
            </w:pPr>
            <w:hyperlink r:id="rId26">
              <w:r>
                <w:rPr>
                  <w:rStyle w:val="InternetLink"/>
                  <w:rFonts w:ascii="Times New Roman" w:hAnsi="Times New Roman"/>
                  <w:sz w:val="20"/>
                </w:rPr>
                <w:t>Second Amendment and Consent to Credit Agreement, dated as of September 29, 2023 by and among Four Twenty Corporation, Bank of America, N.A. and the Guarantors and Lenders party thereto.</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10.17</w:t>
            </w:r>
          </w:p>
        </w:tc>
        <w:tc>
          <w:tcPr>
            <w:tcW w:w="5803" w:type="dxa"/>
            <w:tcBorders/>
          </w:tcPr>
          <w:p>
            <w:pPr>
              <w:pStyle w:val="TableContents"/>
              <w:bidi w:val="0"/>
              <w:spacing w:before="0" w:after="0"/>
              <w:ind w:left="0" w:right="0" w:hanging="0"/>
              <w:jc w:val="left"/>
              <w:rPr/>
            </w:pPr>
            <w:hyperlink r:id="rId27">
              <w:r>
                <w:rPr>
                  <w:rStyle w:val="InternetLink"/>
                  <w:rFonts w:ascii="Times New Roman" w:hAnsi="Times New Roman"/>
                  <w:sz w:val="20"/>
                </w:rPr>
                <w:t>Waiver to Credit Agreement, dated as of January 5, 2024, by and among Four Twenty Corporation, Bank of America, N.A., and the Guarantors and Lenders party thereto.</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10.18</w:t>
            </w:r>
          </w:p>
        </w:tc>
        <w:tc>
          <w:tcPr>
            <w:tcW w:w="5803" w:type="dxa"/>
            <w:tcBorders/>
          </w:tcPr>
          <w:p>
            <w:pPr>
              <w:pStyle w:val="TableContents"/>
              <w:bidi w:val="0"/>
              <w:spacing w:before="0" w:after="0"/>
              <w:ind w:left="0" w:right="0" w:hanging="0"/>
              <w:jc w:val="left"/>
              <w:rPr/>
            </w:pPr>
            <w:hyperlink r:id="rId28">
              <w:r>
                <w:rPr>
                  <w:rStyle w:val="InternetLink"/>
                  <w:rFonts w:ascii="Times New Roman" w:hAnsi="Times New Roman"/>
                  <w:sz w:val="20"/>
                </w:rPr>
                <w:t>Third Amendment and Consent to Credit Agreement, dated as of March 29, 2024, by and among American Beverage Crafts Group, Inc. (formerly known as Four Twenty Corporation), Bank of America, N.A. and the Guarantors and Lenders party thereto.</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10.19</w:t>
            </w:r>
          </w:p>
        </w:tc>
        <w:tc>
          <w:tcPr>
            <w:tcW w:w="5803" w:type="dxa"/>
            <w:tcBorders/>
          </w:tcPr>
          <w:p>
            <w:pPr>
              <w:pStyle w:val="TableContents"/>
              <w:bidi w:val="0"/>
              <w:spacing w:before="0" w:after="0"/>
              <w:ind w:left="0" w:right="0" w:hanging="0"/>
              <w:jc w:val="left"/>
              <w:rPr/>
            </w:pPr>
            <w:hyperlink r:id="rId29">
              <w:r>
                <w:rPr>
                  <w:rStyle w:val="InternetLink"/>
                  <w:rFonts w:ascii="Times New Roman" w:hAnsi="Times New Roman"/>
                  <w:sz w:val="20"/>
                </w:rPr>
                <w:t>Fourth Amendment and Consent to Credit Agreement, dated as of October 30, 2024.</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11/1/2024</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10.20</w:t>
            </w:r>
          </w:p>
        </w:tc>
        <w:tc>
          <w:tcPr>
            <w:tcW w:w="5803" w:type="dxa"/>
            <w:tcBorders/>
            <w:vAlign w:val="center"/>
          </w:tcPr>
          <w:p>
            <w:pPr>
              <w:pStyle w:val="TableContents"/>
              <w:bidi w:val="0"/>
              <w:spacing w:before="0" w:after="283"/>
              <w:jc w:val="left"/>
              <w:rPr/>
            </w:pPr>
            <w:hyperlink w:anchor="ex_842400.htm">
              <w:r>
                <w:rPr>
                  <w:rStyle w:val="InternetLink"/>
                </w:rPr>
                <w:t>Fifth Amendment to Credit Agreement, dated as of July 25, 2025.</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10.21</w:t>
            </w:r>
          </w:p>
        </w:tc>
        <w:tc>
          <w:tcPr>
            <w:tcW w:w="5803" w:type="dxa"/>
            <w:tcBorders/>
          </w:tcPr>
          <w:p>
            <w:pPr>
              <w:pStyle w:val="TableContents"/>
              <w:bidi w:val="0"/>
              <w:spacing w:before="0" w:after="0"/>
              <w:ind w:left="0" w:right="0" w:hanging="0"/>
              <w:jc w:val="left"/>
              <w:rPr/>
            </w:pPr>
            <w:hyperlink r:id="rId30">
              <w:r>
                <w:rPr>
                  <w:rStyle w:val="InternetLink"/>
                  <w:rFonts w:ascii="Times New Roman" w:hAnsi="Times New Roman"/>
                  <w:sz w:val="20"/>
                </w:rPr>
                <w:t>Credit Agreement, dated February 21, 2025, by and among Aphria Diamond Inc., Canadian Imperial Bank of Commerce and the other parties thereto (incorporated by reference to Exhibit 10.1 to the Current Report on Form 8-K filed with the U.S. Securities and Exchange Commission on February 26, 2025).</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2/26/2025</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10.22</w:t>
            </w:r>
          </w:p>
        </w:tc>
        <w:tc>
          <w:tcPr>
            <w:tcW w:w="5803" w:type="dxa"/>
            <w:tcBorders/>
          </w:tcPr>
          <w:p>
            <w:pPr>
              <w:pStyle w:val="TableContents"/>
              <w:bidi w:val="0"/>
              <w:spacing w:before="0" w:after="0"/>
              <w:ind w:left="0" w:right="0" w:hanging="0"/>
              <w:jc w:val="left"/>
              <w:rPr/>
            </w:pPr>
            <w:hyperlink r:id="rId31">
              <w:r>
                <w:rPr>
                  <w:rStyle w:val="InternetLink"/>
                  <w:rFonts w:ascii="Times New Roman" w:hAnsi="Times New Roman"/>
                  <w:sz w:val="20"/>
                </w:rPr>
                <w:t>Equity Distribution Agreement, dated as of May 17, 2024, by and among Tilray Brands, Inc. and TD Securities (USA) LLC and Jefferies LLC.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5/17/2024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10.23</w:t>
            </w:r>
          </w:p>
        </w:tc>
        <w:tc>
          <w:tcPr>
            <w:tcW w:w="5803" w:type="dxa"/>
            <w:tcBorders/>
          </w:tcPr>
          <w:p>
            <w:pPr>
              <w:pStyle w:val="TableContents"/>
              <w:bidi w:val="0"/>
              <w:spacing w:before="0" w:after="0"/>
              <w:ind w:left="0" w:right="0" w:hanging="0"/>
              <w:jc w:val="left"/>
              <w:rPr/>
            </w:pPr>
            <w:hyperlink r:id="rId32">
              <w:r>
                <w:rPr>
                  <w:rStyle w:val="InternetLink"/>
                  <w:rFonts w:ascii="Times New Roman" w:hAnsi="Times New Roman"/>
                  <w:sz w:val="20"/>
                </w:rPr>
                <w:t>Amended and Restated 2025 Form of Executive Retention Agreement</w:t>
              </w:r>
            </w:hyperlink>
          </w:p>
        </w:tc>
        <w:tc>
          <w:tcPr>
            <w:tcW w:w="770" w:type="dxa"/>
            <w:tcBorders/>
          </w:tcPr>
          <w:p>
            <w:pPr>
              <w:pStyle w:val="TableContents"/>
              <w:bidi w:val="0"/>
              <w:spacing w:before="0" w:after="283"/>
              <w:jc w:val="left"/>
              <w:rPr/>
            </w:pPr>
            <w:r>
              <w:rPr/>
              <w:t> </w:t>
            </w:r>
          </w:p>
        </w:tc>
        <w:tc>
          <w:tcPr>
            <w:tcW w:w="772" w:type="dxa"/>
            <w:tcBorders/>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 </w:t>
            </w:r>
          </w:p>
        </w:tc>
        <w:tc>
          <w:tcPr>
            <w:tcW w:w="88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10.24</w:t>
            </w:r>
          </w:p>
        </w:tc>
        <w:tc>
          <w:tcPr>
            <w:tcW w:w="5803" w:type="dxa"/>
            <w:tcBorders/>
            <w:vAlign w:val="center"/>
          </w:tcPr>
          <w:p>
            <w:pPr>
              <w:pStyle w:val="TableContents"/>
              <w:bidi w:val="0"/>
              <w:spacing w:before="0" w:after="283"/>
              <w:jc w:val="left"/>
              <w:rPr/>
            </w:pPr>
            <w:hyperlink r:id="rId33">
              <w:r>
                <w:rPr>
                  <w:rStyle w:val="InternetLink"/>
                  <w:u w:val="single"/>
                </w:rPr>
                <w:t>Promissory note in the amount of $23,791,657 payable by Aphria Diamond Inc</w:t>
              </w:r>
            </w:hyperlink>
            <w:r>
              <w:rPr/>
              <w:t>.</w:t>
            </w:r>
          </w:p>
        </w:tc>
        <w:tc>
          <w:tcPr>
            <w:tcW w:w="770" w:type="dxa"/>
            <w:tcBorders/>
            <w:vAlign w:val="center"/>
          </w:tcPr>
          <w:p>
            <w:pPr>
              <w:pStyle w:val="TableContents"/>
              <w:bidi w:val="0"/>
              <w:spacing w:before="0" w:after="283"/>
              <w:jc w:val="center"/>
              <w:rPr/>
            </w:pPr>
            <w:r>
              <w:rPr/>
              <w:t>10-Q</w:t>
            </w:r>
          </w:p>
        </w:tc>
        <w:tc>
          <w:tcPr>
            <w:tcW w:w="772"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10.2</w:t>
            </w:r>
          </w:p>
        </w:tc>
        <w:tc>
          <w:tcPr>
            <w:tcW w:w="624" w:type="dxa"/>
            <w:tcBorders/>
            <w:vAlign w:val="center"/>
          </w:tcPr>
          <w:p>
            <w:pPr>
              <w:pStyle w:val="TableContents"/>
              <w:bidi w:val="0"/>
              <w:spacing w:before="0" w:after="283"/>
              <w:jc w:val="center"/>
              <w:rPr/>
            </w:pPr>
            <w:r>
              <w:rPr/>
              <w:t>10/10/2024</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19</w:t>
            </w:r>
          </w:p>
        </w:tc>
        <w:tc>
          <w:tcPr>
            <w:tcW w:w="5803" w:type="dxa"/>
            <w:tcBorders/>
            <w:vAlign w:val="center"/>
          </w:tcPr>
          <w:p>
            <w:pPr>
              <w:pStyle w:val="TableContents"/>
              <w:bidi w:val="0"/>
              <w:spacing w:before="0" w:after="283"/>
              <w:jc w:val="left"/>
              <w:rPr/>
            </w:pPr>
            <w:hyperlink w:anchor="ex_802153.htm">
              <w:r>
                <w:rPr>
                  <w:rStyle w:val="InternetLink"/>
                </w:rPr>
                <w:t>Insider Trading and Trading Window Policy</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center"/>
              <w:rPr/>
            </w:pPr>
            <w:r>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c>
          <w:tcPr>
            <w:tcW w:w="5803" w:type="dxa"/>
            <w:tcBorders/>
            <w:vAlign w:val="center"/>
          </w:tcPr>
          <w:p>
            <w:pPr>
              <w:pStyle w:val="TableContents"/>
              <w:bidi w:val="0"/>
              <w:spacing w:before="0" w:after="0"/>
              <w:ind w:left="0" w:right="0" w:hanging="0"/>
              <w:jc w:val="left"/>
              <w:rPr/>
            </w:pPr>
            <w:hyperlink w:anchor="ex_802154.htm">
              <w:r>
                <w:rPr>
                  <w:rStyle w:val="InternetLink"/>
                  <w:rFonts w:ascii="Times New Roman" w:hAnsi="Times New Roman"/>
                  <w:caps w:val="false"/>
                  <w:smallCaps w:val="false"/>
                  <w:sz w:val="20"/>
                  <w:u w:val="single"/>
                </w:rPr>
                <w:t>Subsidiaries of Tilray Brands Inc.</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5803" w:type="dxa"/>
            <w:tcBorders/>
            <w:vAlign w:val="center"/>
          </w:tcPr>
          <w:p>
            <w:pPr>
              <w:pStyle w:val="TableContents"/>
              <w:bidi w:val="0"/>
              <w:spacing w:before="0" w:after="0"/>
              <w:ind w:left="0" w:right="0" w:hanging="0"/>
              <w:jc w:val="left"/>
              <w:rPr/>
            </w:pPr>
            <w:hyperlink w:anchor="ex_802155.htm">
              <w:r>
                <w:rPr>
                  <w:rStyle w:val="InternetLink"/>
                  <w:rFonts w:ascii="Times New Roman" w:hAnsi="Times New Roman"/>
                  <w:caps w:val="false"/>
                  <w:smallCaps w:val="false"/>
                  <w:sz w:val="20"/>
                  <w:u w:val="single"/>
                </w:rPr>
                <w:t>Consent of PricewaterhouseCoopers LLP, Independent Registered Public Accounting Firm</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5803" w:type="dxa"/>
            <w:tcBorders/>
            <w:vAlign w:val="center"/>
          </w:tcPr>
          <w:p>
            <w:pPr>
              <w:pStyle w:val="TableContents"/>
              <w:bidi w:val="0"/>
              <w:spacing w:before="0" w:after="0"/>
              <w:ind w:left="0" w:right="0" w:hanging="0"/>
              <w:jc w:val="left"/>
              <w:rPr/>
            </w:pPr>
            <w:hyperlink w:anchor="ex_802156.htm">
              <w:r>
                <w:rPr>
                  <w:rStyle w:val="InternetLink"/>
                  <w:rFonts w:ascii="Times New Roman" w:hAnsi="Times New Roman"/>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5803" w:type="dxa"/>
            <w:tcBorders/>
            <w:vAlign w:val="center"/>
          </w:tcPr>
          <w:p>
            <w:pPr>
              <w:pStyle w:val="TableContents"/>
              <w:bidi w:val="0"/>
              <w:spacing w:before="0" w:after="0"/>
              <w:ind w:left="0" w:right="0" w:hanging="0"/>
              <w:jc w:val="left"/>
              <w:rPr/>
            </w:pPr>
            <w:hyperlink w:anchor="ex_802157.htm">
              <w:r>
                <w:rPr>
                  <w:rStyle w:val="InternetLink"/>
                  <w:rFonts w:ascii="Times New Roman" w:hAnsi="Times New Roman"/>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5803" w:type="dxa"/>
            <w:tcBorders/>
            <w:vAlign w:val="center"/>
          </w:tcPr>
          <w:p>
            <w:pPr>
              <w:pStyle w:val="TableContents"/>
              <w:bidi w:val="0"/>
              <w:spacing w:before="0" w:after="0"/>
              <w:ind w:left="0" w:right="0" w:hanging="0"/>
              <w:jc w:val="left"/>
              <w:rPr/>
            </w:pPr>
            <w:hyperlink w:anchor="ex_802158.htm">
              <w:r>
                <w:rPr>
                  <w:rStyle w:val="InternetLink"/>
                  <w:rFonts w:ascii="Times New Roman" w:hAnsi="Times New Roman"/>
                  <w:caps w:val="false"/>
                  <w:smallCaps w:val="false"/>
                  <w:sz w:val="20"/>
                  <w:u w:val="single"/>
                </w:rPr>
                <w:t>Certification of Principal Executive Officer Pursuant to 18 U.S.C. Section 1350, as Adopted Pursuant to Section 906 of the Sarbanes-Oxley Act of 2002</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97.1</w:t>
            </w:r>
          </w:p>
        </w:tc>
        <w:tc>
          <w:tcPr>
            <w:tcW w:w="5803" w:type="dxa"/>
            <w:tcBorders/>
            <w:vAlign w:val="center"/>
          </w:tcPr>
          <w:p>
            <w:pPr>
              <w:pStyle w:val="TableContents"/>
              <w:bidi w:val="0"/>
              <w:spacing w:before="0" w:after="283"/>
              <w:jc w:val="left"/>
              <w:rPr/>
            </w:pPr>
            <w:hyperlink w:anchor="ex_802159.htm">
              <w:r>
                <w:rPr>
                  <w:rStyle w:val="InternetLink"/>
                </w:rPr>
                <w:t>Policy for Recovery of Erroneously Awarded Incentive Compensation</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center"/>
              <w:rPr/>
            </w:pPr>
            <w:r>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91"/>
        <w:gridCol w:w="5889"/>
        <w:gridCol w:w="770"/>
        <w:gridCol w:w="757"/>
        <w:gridCol w:w="650"/>
        <w:gridCol w:w="585"/>
        <w:gridCol w:w="863"/>
      </w:tblGrid>
      <w:tr>
        <w:trPr/>
        <w:tc>
          <w:tcPr>
            <w:tcW w:w="691" w:type="dxa"/>
            <w:tcBorders/>
            <w:vAlign w:val="center"/>
          </w:tcPr>
          <w:p>
            <w:pPr>
              <w:pStyle w:val="TableContents"/>
              <w:bidi w:val="0"/>
              <w:spacing w:before="0" w:after="283"/>
              <w:jc w:val="left"/>
              <w:rPr/>
            </w:pPr>
            <w:r>
              <w:rPr/>
              <w:t> </w:t>
            </w:r>
          </w:p>
        </w:tc>
        <w:tc>
          <w:tcPr>
            <w:tcW w:w="5889" w:type="dxa"/>
            <w:tcBorders/>
            <w:vAlign w:val="center"/>
          </w:tcPr>
          <w:p>
            <w:pPr>
              <w:pStyle w:val="TableContents"/>
              <w:bidi w:val="0"/>
              <w:spacing w:before="0" w:after="283"/>
              <w:jc w:val="left"/>
              <w:rPr/>
            </w:pPr>
            <w:r>
              <w:rPr/>
              <w:t> </w:t>
            </w:r>
          </w:p>
        </w:tc>
        <w:tc>
          <w:tcPr>
            <w:tcW w:w="3625"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69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889"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757"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5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86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6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5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financial statements from the Company's Annual Report on Form 10-K for the year ended May 31, 2025, formatted in Inline XBRL: (i) Consolidated Statements of Financial Position, (ii) Consolidated Statements of Loss and Comprehensive Loss, (iii) Consolidated Statements of Changes in Equity, (iv) Consolidated Statements of Cash Flows, and (v) Notes to Consolidated Financial Statements, tagged as blocks of text and including detailed tags.</w:t>
            </w:r>
          </w:p>
        </w:tc>
        <w:tc>
          <w:tcPr>
            <w:tcW w:w="7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r>
      <w:tr>
        <w:trPr/>
        <w:tc>
          <w:tcPr>
            <w:tcW w:w="691" w:type="dxa"/>
            <w:tcBorders/>
            <w:vAlign w:val="center"/>
          </w:tcPr>
          <w:p>
            <w:pPr>
              <w:pStyle w:val="TableContents"/>
              <w:bidi w:val="0"/>
              <w:spacing w:before="0" w:after="283"/>
              <w:jc w:val="left"/>
              <w:rPr/>
            </w:pPr>
            <w:r>
              <w:rPr/>
              <w:t> </w:t>
            </w:r>
          </w:p>
        </w:tc>
        <w:tc>
          <w:tcPr>
            <w:tcW w:w="5889"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r>
      <w:tr>
        <w:trPr/>
        <w:tc>
          <w:tcPr>
            <w:tcW w:w="6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5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7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25"/>
        <w:gridCol w:w="438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Schedules and certain other information have been omitted pursuant to Item 601(b)(2) of Regulations S-K. The registrant will furnish copies of any such schedules to the Securities and Exchange Commission upon request.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 has omitted portions of the referenced exhibit pursuant to a request for confidential treatment under Rule 406 promulgated under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5" w:name="item16"/>
      <w:bookmarkEnd w:id="35"/>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6" w:name="sigs"/>
      <w:bookmarkEnd w:id="36"/>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610"/>
        <w:gridCol w:w="60"/>
        <w:gridCol w:w="320"/>
        <w:gridCol w:w="32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Tilray Brands, Inc.</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28, 2025</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Irwin D.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Irwin D.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28" w:type="dxa"/>
          <w:right w:w="0" w:type="dxa"/>
        </w:tblCellMar>
      </w:tblPr>
      <w:tblGrid>
        <w:gridCol w:w="1700"/>
        <w:gridCol w:w="60"/>
        <w:gridCol w:w="3740"/>
        <w:gridCol w:w="60"/>
        <w:gridCol w:w="1310"/>
      </w:tblGrid>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Irwin D. Simon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Chairman</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Irwin D. Simon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Carl Merton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Carl Merton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Renah Persofsky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Renah Persofsky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Steven Cohen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Steven Cohen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Clanachan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David Clanachan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M. Herhalt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M. Herhalt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Hopkinson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David Hopkinson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Tom Looney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2025</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Tom Looney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125 </w:t>
      </w:r>
    </w:p>
    <w:p>
      <w:pPr>
        <w:pStyle w:val="TextBody"/>
        <w:bidi w:val="0"/>
        <w:spacing w:before="0" w:after="0"/>
        <w:ind w:left="0" w:right="0" w:hanging="0"/>
        <w:jc w:val="right"/>
        <w:rPr>
          <w:rFonts w:ascii="Times New Roman" w:hAnsi="Times New Roman"/>
          <w:b/>
          <w:caps w:val="false"/>
          <w:smallCaps w:val="false"/>
          <w:sz w:val="20"/>
        </w:rPr>
      </w:pPr>
      <w:bookmarkStart w:id="37" w:name="ex_802151.htm"/>
      <w:bookmarkStart w:id="38" w:name="ksex_802151"/>
      <w:bookmarkEnd w:id="37"/>
      <w:bookmarkEnd w:id="38"/>
      <w:r>
        <w:rPr>
          <w:rFonts w:ascii="Times New Roman" w:hAnsi="Times New Roman"/>
          <w:b/>
          <w:caps w:val="false"/>
          <w:smallCaps w:val="false"/>
          <w:sz w:val="20"/>
        </w:rPr>
        <w:t>EXHIBIT 4.3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SECURITIES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SECTION 12(b) OF THE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Tilray, Brands Inc. (</w:t>
      </w:r>
      <w:r>
        <w:rPr>
          <w:rFonts w:ascii="Times New Roman" w:hAnsi="Times New Roman"/>
          <w:caps w:val="false"/>
          <w:smallCaps w:val="false"/>
          <w:sz w:val="20"/>
        </w:rPr>
        <w:t>“</w:t>
      </w:r>
      <w:r>
        <w:rPr>
          <w:rFonts w:ascii="Times New Roman" w:hAnsi="Times New Roman"/>
          <w:i/>
          <w:caps w:val="false"/>
          <w:smallCaps w:val="false"/>
          <w:sz w:val="20"/>
        </w:rPr>
        <w:t>Tilray,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w:t>
      </w:r>
      <w:r>
        <w:rPr>
          <w:rFonts w:ascii="Times New Roman" w:hAnsi="Times New Roman"/>
          <w:i/>
          <w:caps w:val="false"/>
          <w:smallCaps w:val="false"/>
          <w:sz w:val="20"/>
        </w:rPr>
        <w:t>) has one class of securities registered under Section 12(b) of the Securities Exchange Act of 1934, as amended: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summary of the terms of the capital stock of Tilray is not meant to be complete and is qualified entirely by reference to the relevant provisions of the General Corporation Law of the State of Delaware (the “Delaware General Corporation Law”) and the complete text of Tilray’s Amended and Restated Certificate of Incorporation (the “amended and restated certificate of incorporation”) and Amended and Restated By-Laws (the “by-laws”). Both our certificate of incorporation and by-laws are exhibits to our Annual Report on Form 10-K, of which this Exhibit 4.3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authorized capital stock is divided into: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220" w:right="0" w:hanging="0"/>
        <w:jc w:val="left"/>
        <w:rPr>
          <w:caps w:val="false"/>
          <w:smallCaps w:val="false"/>
        </w:rPr>
      </w:pPr>
      <w:r>
        <w:rPr>
          <w:caps w:val="false"/>
          <w:smallCaps w:val="false"/>
        </w:rPr>
        <w:t xml:space="preserve">• </w:t>
      </w:r>
      <w:r>
        <w:rPr>
          <w:rFonts w:ascii="Times New Roman" w:hAnsi="Times New Roman"/>
          <w:caps w:val="false"/>
          <w:smallCaps w:val="false"/>
          <w:sz w:val="20"/>
        </w:rPr>
        <w:t>1,416,000,000 shares of common stock with a par value of $0.0001 per share; and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220" w:right="0" w:hanging="0"/>
        <w:jc w:val="left"/>
        <w:rPr>
          <w:caps w:val="false"/>
          <w:smallCaps w:val="false"/>
        </w:rPr>
      </w:pPr>
      <w:r>
        <w:rPr>
          <w:caps w:val="false"/>
          <w:smallCaps w:val="false"/>
        </w:rPr>
        <w:t xml:space="preserve">• </w:t>
      </w:r>
      <w:r>
        <w:rPr>
          <w:rFonts w:ascii="Times New Roman" w:hAnsi="Times New Roman"/>
          <w:caps w:val="false"/>
          <w:smallCaps w:val="false"/>
          <w:sz w:val="20"/>
        </w:rPr>
        <w:t>10,000,000 undesignated shares of preferred stock with a par value of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rights and restrictions to which the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holder of common stock is entitled to one vote for each share of common stock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preferences that may apply to any shares of preferred stock outstanding at the time, the holders of outstanding shares of Class 2 common stock are entitled to receive dividends out of funds legally available at the times and in the amounts that our board of directors may determine. We do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rights, preferences and privileges of holders of common stock are subject to, and may be adversely affected by, the rights of holders of shares of any series of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Rights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have no rights to repurchase shares of our common stock, except as described in “—Options and Restricted Stock Units”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Preemptive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common stock is not entitled to preemptive rights and is not subject to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common stock. Our board of directors, without stockholder approval, may issue preferred stock with voting, conversion or other rights that are superior to the voting and other rights of the holders of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of directors will determine the rights, preferences, privileges and restrictions of the preferred stock of each series.  This description will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title and stated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number of shares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liquidation preference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purchase price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dividend rate per share, dividend period and payment dates and method of calculation for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whether dividends will be cumulative or non-cumulative and, if cumulative, the date from which dividends will accumulate;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our right, if any, to defer payment of dividends and the maximum length of any such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procedures for any auction and remarketing,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provisions for a sinking fund,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provisions for redemption or repurchase, if applicable, and any restrictions on our ability to exercise those redemption and repurchase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listing of the preferred stock on any securities exchange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whether the preferred stock will be exchangeable for debt securities, and, if applicable, the exchange period, the exchange price, or how it will be calculated, and under what circumstances it may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voting rights, if any,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preemption rights,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restrictions on transfer, sale or other assignment,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 discussion of any material or special U.S. federal income tax considerations applicable to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relative ranking and preferences of the preferred stock as to dividend rights and rights if we liquidate, dissolve or wind up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limitations on issuances of any class or series of preferred stock ranking senior to or on a parity with the series of preferred stock being issued as to dividend rights and rights if we liquidate, dissolve or wind up our affairs;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other specific terms, rights, preferences, privileges, qualifications or restrictions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we issue shares of preferred stock, the shares will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we specify otherwise, the preferred stock will rank, with respect to dividends and upon our liquidation, dissolution or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senior to all classes or series of our common stock and to all of our equity securities ranking junior to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on a parity with all of our equity securities the terms of which specifically provide that the equity securities rank on a parity with the preferred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junior to all of our equity securities the terms of which specifically provide that the equity securities rank senior to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term “equity securities” does not include convertible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Amended and Restated Certificate of Incorporation and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Among other things, our amended and restated certificate of incorporation and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permits our board of directors to issue up to 10,000,000 shares of preferred stock, with any rights, preferences and privileges as they may designate, including the right to approve an acquisition or other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the authorized number of directors may be changed only by resolution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all vacancies, including newly created directorships, may, except as otherwise required by law, be filled by the affirmative vote of a majority of directors then in office, even if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9" w:name="ex_842400.htm"/>
      <w:bookmarkStart w:id="40" w:name="ksex_842400"/>
      <w:bookmarkEnd w:id="39"/>
      <w:bookmarkEnd w:id="40"/>
      <w:r>
        <w:rPr>
          <w:rFonts w:ascii="Times New Roman;Times;serif" w:hAnsi="Times New Roman;Times;serif"/>
          <w:b/>
          <w:sz w:val="20"/>
        </w:rPr>
        <w:t>EXHIBIT 10.20</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Portions of this exhibit have been redacted in compliance with Regulation S-K Item 601(b)(10)(iv). The omitted information is not material and is the type that the registrant treats as private or confidential. The Company agrees to furnish an unredacted copy to the SEC upon its request.  [***] indicates that information has been omitted.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THIS FIFTH AMENDMENT TO CREDIT AGREEMENT (this “</w:t>
      </w:r>
      <w:r>
        <w:rPr>
          <w:rFonts w:ascii="Times New Roman" w:hAnsi="Times New Roman"/>
          <w:i/>
          <w:caps w:val="false"/>
          <w:smallCaps w:val="false"/>
          <w:sz w:val="20"/>
          <w:u w:val="single"/>
        </w:rPr>
        <w:t>Amendment</w:t>
      </w:r>
      <w:r>
        <w:rPr>
          <w:rFonts w:ascii="Times New Roman" w:hAnsi="Times New Roman"/>
          <w:caps w:val="false"/>
          <w:smallCaps w:val="false"/>
          <w:sz w:val="20"/>
        </w:rPr>
        <w:t>”), dated as of  July 25, 2025 (the “</w:t>
      </w:r>
      <w:r>
        <w:rPr>
          <w:rFonts w:ascii="Times New Roman" w:hAnsi="Times New Roman"/>
          <w:i/>
          <w:caps w:val="false"/>
          <w:smallCaps w:val="false"/>
          <w:sz w:val="20"/>
          <w:u w:val="single"/>
        </w:rPr>
        <w:t>Fifth Amendment Effectiveness Date</w:t>
      </w:r>
      <w:r>
        <w:rPr>
          <w:rFonts w:ascii="Times New Roman" w:hAnsi="Times New Roman"/>
          <w:caps w:val="false"/>
          <w:smallCaps w:val="false"/>
          <w:sz w:val="20"/>
        </w:rPr>
        <w:t>”), to the Credit Agreement referenced below is by and among AMERICAN BEVERAGE CRAFTS GROUP, INC. (formerly known as Four Twenty Corporation), a Delaware corporation (the “</w:t>
      </w:r>
      <w:r>
        <w:rPr>
          <w:rFonts w:ascii="Times New Roman" w:hAnsi="Times New Roman"/>
          <w:i/>
          <w:caps w:val="false"/>
          <w:smallCaps w:val="false"/>
          <w:sz w:val="20"/>
          <w:u w:val="single"/>
        </w:rPr>
        <w:t>Borrower</w:t>
      </w:r>
      <w:r>
        <w:rPr>
          <w:rFonts w:ascii="Times New Roman" w:hAnsi="Times New Roman"/>
          <w:caps w:val="false"/>
          <w:smallCaps w:val="false"/>
          <w:sz w:val="20"/>
        </w:rPr>
        <w:t>”), the Guarantors identified on the signature pages hereto, the Lenders identified on the signature pages hereto and BANK OF AMERICA, N.A., in its capacity as Administrative Agent (in such capacity, the “</w:t>
      </w:r>
      <w:r>
        <w:rPr>
          <w:rFonts w:ascii="Times New Roman" w:hAnsi="Times New Roman"/>
          <w:i/>
          <w:caps w:val="false"/>
          <w:smallCaps w:val="false"/>
          <w:sz w:val="20"/>
          <w:u w:val="single"/>
        </w:rPr>
        <w:t>Administrative Agent</w:t>
      </w:r>
      <w:r>
        <w:rPr>
          <w:rFonts w:ascii="Times New Roman" w:hAnsi="Times New Roman"/>
          <w:caps w:val="false"/>
          <w:smallCaps w:val="false"/>
          <w:sz w:val="20"/>
        </w:rPr>
        <w: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 credit facility has been extended to the Borrower pursuant to the Credit Agreement (as amended, modified, supplemented, restated and extended from time to time, the “</w:t>
      </w:r>
      <w:r>
        <w:rPr>
          <w:rFonts w:ascii="Times New Roman" w:hAnsi="Times New Roman"/>
          <w:i/>
          <w:caps w:val="false"/>
          <w:smallCaps w:val="false"/>
          <w:sz w:val="20"/>
          <w:u w:val="single"/>
        </w:rPr>
        <w:t>Credit Agreement</w:t>
      </w:r>
      <w:r>
        <w:rPr>
          <w:rFonts w:ascii="Times New Roman" w:hAnsi="Times New Roman"/>
          <w:caps w:val="false"/>
          <w:smallCaps w:val="false"/>
          <w:sz w:val="20"/>
        </w:rPr>
        <w:t>”) dated as of June 30, 2023 by and among the Borrower, the Guarantors identified therein, the Lenders identified therein and Bank of America, N.A., as Administrative Agent,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as of the Fifth Amendment Effectiveness Date, the outstanding amount of the Term Loans is $78,750,000 being comprised of $61,250,000 funded Term Loans and $17,500,000 funded Delayed Draw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Borrower has requested that the Administrative Agent and the Required Lenders amend the Credit Agreement as set forth in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Required Lenders are willing to agree to the requested modifications, in accordance with and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 IN CONSIDERATION</w:t>
      </w:r>
      <w:r>
        <w:rPr>
          <w:rFonts w:ascii="Times New Roman" w:hAnsi="Times New Roman"/>
          <w:caps w:val="false"/>
          <w:smallCaps w:val="false"/>
          <w:sz w:val="20"/>
        </w:rPr>
        <w:t xml:space="preserve"> of the premises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Defined Terms</w:t>
            </w:r>
            <w:r>
              <w:rPr>
                <w:rFonts w:ascii="Times New Roman" w:hAnsi="Times New Roman"/>
                <w:caps w:val="false"/>
                <w:smallCaps w:val="false"/>
                <w:sz w:val="20"/>
              </w:rPr>
              <w:t>. Capitalized terms used herein but not otherwise defined herein shall have the meanings provided to such terms in the Credit Agreement as amended hereby.</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170"/>
        <w:gridCol w:w="2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Amendments to Credit Agreement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Credit Agreement (excluding the Exhibits and Schedules thereto) is hereby amended and restated in its entirety to read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Commitments in</w:t>
            </w:r>
            <w:r>
              <w:rPr>
                <w:rFonts w:ascii="Times New Roman" w:hAnsi="Times New Roman"/>
                <w:caps w:val="false"/>
                <w:smallCaps w:val="false"/>
                <w:sz w:val="20"/>
                <w:u w:val="single"/>
              </w:rPr>
              <w:t> Schedule 2.01</w:t>
            </w:r>
            <w:r>
              <w:rPr>
                <w:rFonts w:ascii="Times New Roman" w:hAnsi="Times New Roman"/>
                <w:caps w:val="false"/>
                <w:smallCaps w:val="false"/>
                <w:sz w:val="20"/>
              </w:rPr>
              <w:t xml:space="preserve"> to the Credit Agreement are hereby amended to read as the Revolving Commitments attached hereto in </w:t>
            </w:r>
            <w:r>
              <w:rPr>
                <w:rFonts w:ascii="Times New Roman" w:hAnsi="Times New Roman"/>
                <w:caps w:val="false"/>
                <w:smallCaps w:val="false"/>
                <w:sz w:val="20"/>
                <w:u w:val="single"/>
              </w:rPr>
              <w:t>Schedule 2.01</w:t>
            </w:r>
            <w:r>
              <w:rPr>
                <w:rFonts w:ascii="Times New Roman" w:hAnsi="Times New Roman"/>
                <w:caps w:val="false"/>
                <w:smallCaps w:val="false"/>
                <w:sz w:val="20"/>
              </w:rPr>
              <w:t>. The Term Loan Commitments and Delayed Draw Term Loan Commitments have terminated pursuant to the terms of the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Conditions Precedent</w:t>
            </w:r>
            <w:r>
              <w:rPr>
                <w:rFonts w:ascii="Times New Roman" w:hAnsi="Times New Roman"/>
                <w:caps w:val="false"/>
                <w:smallCaps w:val="false"/>
                <w:sz w:val="20"/>
              </w:rPr>
              <w:t>. This Amendment shall be and become effective as of the date hereof  when the following conditions precedent have been satisfied:</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shall have received counterparts of this Amendment, which collectively shall have been duly executed on behalf of each of the Borrower, the Guarantors, the Administrative Agent, the Required Lenders, the Swingline Lender and the L/C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Administrative Agent shall have received evidence that not less than $10,000,000 shall have been loaned to the Borrower by Holdings or an affiliate of Holdings and that such loan complies with </w:t>
            </w:r>
            <w:r>
              <w:rPr>
                <w:rFonts w:ascii="Times New Roman" w:hAnsi="Times New Roman"/>
                <w:b/>
                <w:i/>
                <w:caps w:val="false"/>
                <w:smallCaps w:val="false"/>
                <w:sz w:val="20"/>
              </w:rPr>
              <w:t>Section 7.12</w:t>
            </w:r>
            <w:r>
              <w:rPr>
                <w:rFonts w:ascii="Times New Roman" w:hAnsi="Times New Roman"/>
                <w:caps w:val="false"/>
                <w:smallCaps w:val="false"/>
                <w:sz w:val="20"/>
              </w:rPr>
              <w:t> of the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shall have received, for the account of the Lenders (including Bank of America) approving this Amendment, an amendment fee (the “</w:t>
            </w:r>
            <w:r>
              <w:rPr>
                <w:rFonts w:ascii="Times New Roman" w:hAnsi="Times New Roman"/>
                <w:i/>
                <w:caps w:val="false"/>
                <w:smallCaps w:val="false"/>
                <w:sz w:val="20"/>
                <w:u w:val="single"/>
              </w:rPr>
              <w:t>Amendment Fee</w:t>
            </w:r>
            <w:r>
              <w:rPr>
                <w:rFonts w:ascii="Times New Roman" w:hAnsi="Times New Roman"/>
                <w:caps w:val="false"/>
                <w:smallCaps w:val="false"/>
                <w:sz w:val="20"/>
              </w:rPr>
              <w:t>”) in an amount equal to 0.075% of the Total Credit Exposure (payable pro rata on such Lender’s credit exposure) as of the Fifth Amendment Effective Date (after giving effect to this Amendment);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Borrower shall have paid all fees and expenses required to be paid to the Administrative Agent and the Lenders in connection with this Amendment and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w:t>
      </w:r>
      <w:r>
        <w:rPr>
          <w:rFonts w:ascii="Times New Roman" w:hAnsi="Times New Roman"/>
          <w:b/>
          <w:i/>
          <w:caps w:val="false"/>
          <w:smallCaps w:val="false"/>
          <w:sz w:val="20"/>
        </w:rPr>
        <w:t>Section 9.03</w:t>
      </w:r>
      <w:r>
        <w:rPr>
          <w:rFonts w:ascii="Times New Roman" w:hAnsi="Times New Roman"/>
          <w:caps w:val="false"/>
          <w:smallCaps w:val="false"/>
          <w:sz w:val="20"/>
        </w:rPr>
        <w:t xml:space="preserve"> of the Credit Agreement, for purposes of determining compliance with the conditions specified in this </w:t>
      </w:r>
      <w:r>
        <w:rPr>
          <w:rFonts w:ascii="Times New Roman" w:hAnsi="Times New Roman"/>
          <w:caps w:val="false"/>
          <w:smallCaps w:val="false"/>
          <w:sz w:val="20"/>
          <w:u w:val="single"/>
        </w:rPr>
        <w:t>Section 3</w:t>
      </w:r>
      <w:r>
        <w:rPr>
          <w:rFonts w:ascii="Times New Roman" w:hAnsi="Times New Roman"/>
          <w:caps w:val="false"/>
          <w:smallCaps w:val="false"/>
          <w:sz w:val="20"/>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Fifth Amendment Effectiveness Date specifying its objection thereto.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Expenses</w:t>
            </w:r>
            <w:r>
              <w:rPr>
                <w:rFonts w:ascii="Times New Roman" w:hAnsi="Times New Roman"/>
                <w:caps w:val="false"/>
                <w:smallCaps w:val="false"/>
                <w:sz w:val="20"/>
              </w:rPr>
              <w:t>. The Loan Parties agree to reimburse the Administrative Agent for all reasonable out-of-pocket expenses incurred by the Administrative Agent and its Affiliates (including, but not limited to, (A) the reasonable fees, charges and disbursements of one (1) counsel (and one (1) special counsel or 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preparation, execution and delivery of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Amendment is a “Loan Document”</w:t>
            </w:r>
            <w:r>
              <w:rPr>
                <w:rFonts w:ascii="Times New Roman" w:hAnsi="Times New Roman"/>
                <w:caps w:val="false"/>
                <w:smallCaps w:val="false"/>
                <w:sz w:val="20"/>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60"/>
        <w:gridCol w:w="170"/>
        <w:gridCol w:w="6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 Each Loan Party represents and warrants as follows: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has taken all necessary corporate or other organizational action to authorize the execution, delivery and performance of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Amendment has been duly executed and delivered by such Loan Party and constitutes its legal, valid and binding obligations, enforceable in accordance with its terms, subject to applicable bankruptcy, insolvency, reorganization, moratorium or other laws affecting creditors’ rights generally and subject to general principles of equity.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other than authorizations, approvals, actions, notices and filings which have been duly obtained, taken or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execution, delivery and performance by such Loan Party of this Amendment does not and will not (i) contravene the terms of any of such Loan Party’s Organization Documents; (ii) conflict with or result in any breach or contravention of, or the creation of (or the requirement to create) any Lien under, or require any payment to be made under (1) any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(iii) violate any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00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Representations and Warranties; No Default</w:t>
            </w:r>
            <w:r>
              <w:rPr>
                <w:rFonts w:ascii="Times New Roman" w:hAnsi="Times New Roman"/>
                <w:caps w:val="false"/>
                <w:smallCaps w:val="false"/>
                <w:sz w:val="20"/>
              </w:rPr>
              <w:t xml:space="preserve">. Each Loan Party represents and warrants to the Administrative Agent and each Lender that, after giving effect to this Amendment, (a) the representations and warranties of the Borrower and each Loan Party contained in Article II or Article V of the Credit Agreement or any other Loan Document or which are contained in any document furnished at any time under or in connection therewith,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hereof, and except that for purposes of this </w:t>
            </w:r>
            <w:r>
              <w:rPr>
                <w:rFonts w:ascii="Times New Roman" w:hAnsi="Times New Roman"/>
                <w:caps w:val="false"/>
                <w:smallCaps w:val="false"/>
                <w:sz w:val="20"/>
                <w:u w:val="single"/>
              </w:rPr>
              <w:t>Section 7(a)</w:t>
            </w:r>
            <w:r>
              <w:rPr>
                <w:rFonts w:ascii="Times New Roman" w:hAnsi="Times New Roman"/>
                <w:caps w:val="false"/>
                <w:smallCaps w:val="false"/>
                <w:sz w:val="20"/>
              </w:rPr>
              <w:t xml:space="preserve">, the representations and warranties contained in </w:t>
            </w:r>
            <w:r>
              <w:rPr>
                <w:rFonts w:ascii="Times New Roman" w:hAnsi="Times New Roman"/>
                <w:b/>
                <w:i/>
                <w:caps w:val="false"/>
                <w:smallCaps w:val="false"/>
                <w:sz w:val="20"/>
              </w:rPr>
              <w:t>Sections 5.05(a)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of the Credit Agreement shall be deemed to refer to the most recent statements furnished pursuant to </w:t>
            </w:r>
            <w:r>
              <w:rPr>
                <w:rFonts w:ascii="Times New Roman" w:hAnsi="Times New Roman"/>
                <w:b/>
                <w:i/>
                <w:caps w:val="false"/>
                <w:smallCaps w:val="false"/>
                <w:sz w:val="20"/>
              </w:rPr>
              <w:t>Sections 6.01(a)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respectively, of the Credit Agreement, and (b) no Default exists.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00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Reaffirmation of Obligations</w:t>
            </w:r>
            <w:r>
              <w:rPr>
                <w:rFonts w:ascii="Times New Roman" w:hAnsi="Times New Roman"/>
                <w:caps w:val="false"/>
                <w:smallCaps w:val="false"/>
                <w:sz w:val="20"/>
              </w:rPr>
              <w:t>. Each Loan Party (a) acknowledges and consents to all of the terms and conditions of this Amendment, (b) affirms all of its obligations under the Loan Documents, as modified hereby, and (c) agrees that this Amendment and all documents, agreements and instruments executed in connection with this Amendment do not operate to reduce or discharge such Loan Party’s obligations under the Loan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100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Reaffirmation of Security Interests</w:t>
            </w:r>
            <w:r>
              <w:rPr>
                <w:rFonts w:ascii="Times New Roman" w:hAnsi="Times New Roman"/>
                <w:caps w:val="false"/>
                <w:smallCaps w:val="false"/>
                <w:sz w:val="20"/>
              </w:rPr>
              <w:t>. Each Loan Party (a) ratifies and affirms that each of the Liens granted in or pursuant to the Loan Documents and confirms and agrees that such Liens are valid and subsisting and (b) agrees that this Amendment and all documents, agreements and instruments executed in connection with this Amendment do not in any manner impair or otherwise adversely affect any of the Liens granted in or pursuant to the Loan Documents. Without limiting the foregoing, each Loan Party confirms and agrees that each of the Liens granted in or pursuant to the Loan Documents by such Loan Party secure all of the Obligations as amended hereby and hereby re-grants a security interest and liens in all of its right, title and interest in the Collateral, as defined in, and on the terms set forth in, the Security Agreement, to secure all of the Obligations as amended hereby and, further, ratifies and reaffirms as of the date hereof that the security constituted by the Collateral Documents continue to secure the payment of liabilities and obligations of the Loan Parties under the Loan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98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 Other Changes</w:t>
            </w:r>
            <w:r>
              <w:rPr>
                <w:rFonts w:ascii="Times New Roman" w:hAnsi="Times New Roman"/>
                <w:caps w:val="false"/>
                <w:smallCaps w:val="false"/>
                <w:sz w:val="20"/>
              </w:rPr>
              <w:t>. Except as modified hereby, all of the terms and provisions of the Loan Documents shall remain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90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Counterparts; Electronic Record</w:t>
            </w:r>
            <w:r>
              <w:rPr>
                <w:rFonts w:ascii="Times New Roman" w:hAnsi="Times New Roman"/>
                <w:caps w:val="false"/>
                <w:smallCaps w:val="false"/>
                <w:sz w:val="20"/>
              </w:rPr>
              <w:t>. This Amendment may be in the form of an Electronic Record, may be executed using Electronic Signatures and may be executed in as many counterparts as necessary or convenient, including both paper and electronic counterparts, but all such counterparts are one and the same instrument.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1"/>
        <w:gridCol w:w="9904"/>
      </w:tblGrid>
      <w:tr>
        <w:trPr/>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9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Governing Law</w:t>
            </w:r>
            <w:r>
              <w:rPr>
                <w:rFonts w:ascii="Times New Roman" w:hAnsi="Times New Roman"/>
                <w:caps w:val="false"/>
                <w:smallCaps w:val="false"/>
                <w:sz w:val="20"/>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EXHIBIT 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Conformed Credit Agreement including First Amendment, Second Amendment, Third Amendment, Fourth Amendment and Fifth Amendment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dated as of June 30, 2023</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FOUR TWENTY CORPORATION,</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the Borrower,</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CERTAIN SUBSIDIARIES AND AFFILIATES OF THE BORROWER PARTY HERETO,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the Guarantors,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BANK OF AMERICA, N.A.,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Administrative Agent, Swingline Lender and L/C Issuer,</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CITY NATIONAL BANK</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Documentation Agent</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THE LENDERS PARTY HERETO</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BOFA SECURITIES, INC.,</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Sole Lead Arranger and Sole Bookrunner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I.          </w:t>
      </w:r>
      <w:r>
        <w:rPr>
          <w:rFonts w:ascii="Times New Roman" w:hAnsi="Times New Roman"/>
          <w:b/>
          <w:caps w:val="false"/>
          <w:smallCaps w:val="false"/>
          <w:sz w:val="20"/>
          <w:u w:val="single"/>
        </w:rPr>
        <w:t>DEFINITIONS AND ACCOUNTING TERMS</w:t>
      </w:r>
      <w:r>
        <w:rPr>
          <w:rFonts w:ascii="Times New Roman" w:hAnsi="Times New Roman"/>
          <w:caps w:val="false"/>
          <w:smallCaps w:val="false"/>
          <w:sz w:val="20"/>
          <w:u w:val="single"/>
        </w:rPr>
        <w:t>........... 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1.01</w:t>
      </w:r>
      <w:r>
        <w:rPr>
          <w:rFonts w:ascii="Times New Roman" w:hAnsi="Times New Roman"/>
          <w:b/>
          <w:caps w:val="false"/>
          <w:smallCaps w:val="false"/>
          <w:sz w:val="20"/>
          <w:u w:val="single"/>
        </w:rPr>
        <w:t>..... Defined Terms</w:t>
      </w:r>
      <w:r>
        <w:rPr>
          <w:rFonts w:ascii="Times New Roman" w:hAnsi="Times New Roman"/>
          <w:caps w:val="false"/>
          <w:smallCaps w:val="false"/>
          <w:sz w:val="20"/>
          <w:u w:val="single"/>
        </w:rPr>
        <w:t>................................................. 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1.02</w:t>
      </w:r>
      <w:r>
        <w:rPr>
          <w:rFonts w:ascii="Times New Roman" w:hAnsi="Times New Roman"/>
          <w:b/>
          <w:caps w:val="false"/>
          <w:smallCaps w:val="false"/>
          <w:sz w:val="20"/>
          <w:u w:val="single"/>
        </w:rPr>
        <w:t>..... Other Interpretive Provisions</w:t>
      </w:r>
      <w:r>
        <w:rPr>
          <w:rFonts w:ascii="Times New Roman" w:hAnsi="Times New Roman"/>
          <w:caps w:val="false"/>
          <w:smallCaps w:val="false"/>
          <w:sz w:val="20"/>
          <w:u w:val="single"/>
        </w:rPr>
        <w:t>........................ 46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1.03</w:t>
      </w:r>
      <w:r>
        <w:rPr>
          <w:rFonts w:ascii="Times New Roman" w:hAnsi="Times New Roman"/>
          <w:b/>
          <w:caps w:val="false"/>
          <w:smallCaps w:val="false"/>
          <w:sz w:val="20"/>
          <w:u w:val="single"/>
        </w:rPr>
        <w:t>..... Accounting Terms</w:t>
      </w:r>
      <w:r>
        <w:rPr>
          <w:rFonts w:ascii="Times New Roman" w:hAnsi="Times New Roman"/>
          <w:caps w:val="false"/>
          <w:smallCaps w:val="false"/>
          <w:sz w:val="20"/>
          <w:u w:val="single"/>
        </w:rPr>
        <w:t>......................................... 47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1.04</w:t>
      </w:r>
      <w:r>
        <w:rPr>
          <w:rFonts w:ascii="Times New Roman" w:hAnsi="Times New Roman"/>
          <w:b/>
          <w:caps w:val="false"/>
          <w:smallCaps w:val="false"/>
          <w:sz w:val="20"/>
          <w:u w:val="single"/>
        </w:rPr>
        <w:t>..... Rounding</w:t>
      </w:r>
      <w:r>
        <w:rPr>
          <w:rFonts w:ascii="Times New Roman" w:hAnsi="Times New Roman"/>
          <w:caps w:val="false"/>
          <w:smallCaps w:val="false"/>
          <w:sz w:val="20"/>
          <w:u w:val="single"/>
        </w:rPr>
        <w:t>....................................................... 48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1.05</w:t>
      </w:r>
      <w:r>
        <w:rPr>
          <w:rFonts w:ascii="Times New Roman" w:hAnsi="Times New Roman"/>
          <w:b/>
          <w:caps w:val="false"/>
          <w:smallCaps w:val="false"/>
          <w:sz w:val="20"/>
          <w:u w:val="single"/>
        </w:rPr>
        <w:t>..... Times of Day</w:t>
      </w:r>
      <w:r>
        <w:rPr>
          <w:rFonts w:ascii="Times New Roman" w:hAnsi="Times New Roman"/>
          <w:caps w:val="false"/>
          <w:smallCaps w:val="false"/>
          <w:sz w:val="20"/>
          <w:u w:val="single"/>
        </w:rPr>
        <w:t>................................................. 48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1.06</w:t>
      </w:r>
      <w:r>
        <w:rPr>
          <w:rFonts w:ascii="Times New Roman" w:hAnsi="Times New Roman"/>
          <w:b/>
          <w:caps w:val="false"/>
          <w:smallCaps w:val="false"/>
          <w:sz w:val="20"/>
          <w:u w:val="single"/>
        </w:rPr>
        <w:t>..... Letter of Credit Amounts</w:t>
      </w:r>
      <w:r>
        <w:rPr>
          <w:rFonts w:ascii="Times New Roman" w:hAnsi="Times New Roman"/>
          <w:caps w:val="false"/>
          <w:smallCaps w:val="false"/>
          <w:sz w:val="20"/>
          <w:u w:val="single"/>
        </w:rPr>
        <w:t>.............................. 48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1.07</w:t>
      </w:r>
      <w:r>
        <w:rPr>
          <w:rFonts w:ascii="Times New Roman" w:hAnsi="Times New Roman"/>
          <w:b/>
          <w:caps w:val="false"/>
          <w:smallCaps w:val="false"/>
          <w:sz w:val="20"/>
          <w:u w:val="single"/>
        </w:rPr>
        <w:t>..... UCC Terms</w:t>
      </w:r>
      <w:r>
        <w:rPr>
          <w:rFonts w:ascii="Times New Roman" w:hAnsi="Times New Roman"/>
          <w:caps w:val="false"/>
          <w:smallCaps w:val="false"/>
          <w:sz w:val="20"/>
          <w:u w:val="single"/>
        </w:rPr>
        <w:t>................................................... 48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1.08</w:t>
      </w:r>
      <w:r>
        <w:rPr>
          <w:rFonts w:ascii="Times New Roman" w:hAnsi="Times New Roman"/>
          <w:b/>
          <w:caps w:val="false"/>
          <w:smallCaps w:val="false"/>
          <w:sz w:val="20"/>
          <w:u w:val="single"/>
        </w:rPr>
        <w:t>..... Rates</w:t>
      </w:r>
      <w:r>
        <w:rPr>
          <w:rFonts w:ascii="Times New Roman" w:hAnsi="Times New Roman"/>
          <w:caps w:val="false"/>
          <w:smallCaps w:val="false"/>
          <w:sz w:val="20"/>
          <w:u w:val="single"/>
        </w:rPr>
        <w:t>............................................................. 48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1.09</w:t>
      </w:r>
      <w:r>
        <w:rPr>
          <w:rFonts w:ascii="Times New Roman" w:hAnsi="Times New Roman"/>
          <w:b/>
          <w:caps w:val="false"/>
          <w:smallCaps w:val="false"/>
          <w:sz w:val="20"/>
          <w:u w:val="single"/>
        </w:rPr>
        <w:t>..... Limited Condition Acquisition</w:t>
      </w:r>
      <w:r>
        <w:rPr>
          <w:rFonts w:ascii="Times New Roman" w:hAnsi="Times New Roman"/>
          <w:caps w:val="false"/>
          <w:smallCaps w:val="false"/>
          <w:sz w:val="20"/>
          <w:u w:val="single"/>
        </w:rPr>
        <w:t>...................... 49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w:t>
      </w:r>
      <w:r>
        <w:rPr>
          <w:rFonts w:ascii="Times New Roman" w:hAnsi="Times New Roman"/>
          <w:b/>
          <w:caps w:val="false"/>
          <w:smallCaps w:val="false"/>
          <w:sz w:val="20"/>
          <w:u w:val="single"/>
        </w:rPr>
        <w:t>..... Treatment of Holdings</w:t>
      </w:r>
      <w:r>
        <w:rPr>
          <w:rFonts w:ascii="Times New Roman" w:hAnsi="Times New Roman"/>
          <w:caps w:val="false"/>
          <w:smallCaps w:val="false"/>
          <w:sz w:val="20"/>
          <w:u w:val="single"/>
        </w:rPr>
        <w:t>................................... 50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II.         </w:t>
      </w:r>
      <w:r>
        <w:rPr>
          <w:rFonts w:ascii="Times New Roman" w:hAnsi="Times New Roman"/>
          <w:b/>
          <w:caps w:val="false"/>
          <w:smallCaps w:val="false"/>
          <w:sz w:val="20"/>
          <w:u w:val="single"/>
        </w:rPr>
        <w:t>COMMITMENTS AND CREDIT EXTENSIONS</w:t>
      </w:r>
      <w:r>
        <w:rPr>
          <w:rFonts w:ascii="Times New Roman" w:hAnsi="Times New Roman"/>
          <w:caps w:val="false"/>
          <w:smallCaps w:val="false"/>
          <w:sz w:val="20"/>
          <w:u w:val="single"/>
        </w:rPr>
        <w:t>.... 50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2.01</w:t>
      </w:r>
      <w:r>
        <w:rPr>
          <w:rFonts w:ascii="Times New Roman" w:hAnsi="Times New Roman"/>
          <w:b/>
          <w:caps w:val="false"/>
          <w:smallCaps w:val="false"/>
          <w:sz w:val="20"/>
          <w:u w:val="single"/>
        </w:rPr>
        <w:t>..... Loans</w:t>
      </w:r>
      <w:r>
        <w:rPr>
          <w:rFonts w:ascii="Times New Roman" w:hAnsi="Times New Roman"/>
          <w:caps w:val="false"/>
          <w:smallCaps w:val="false"/>
          <w:sz w:val="20"/>
          <w:u w:val="single"/>
        </w:rPr>
        <w:t>............................................................. 50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2.02</w:t>
      </w:r>
      <w:r>
        <w:rPr>
          <w:rFonts w:ascii="Times New Roman" w:hAnsi="Times New Roman"/>
          <w:b/>
          <w:caps w:val="false"/>
          <w:smallCaps w:val="false"/>
          <w:sz w:val="20"/>
          <w:u w:val="single"/>
        </w:rPr>
        <w:t>..... Borrowings, Conversions and Continuations of Loans</w:t>
      </w:r>
      <w:r>
        <w:rPr>
          <w:rFonts w:ascii="Times New Roman" w:hAnsi="Times New Roman"/>
          <w:caps w:val="false"/>
          <w:smallCaps w:val="false"/>
          <w:sz w:val="20"/>
          <w:u w:val="single"/>
        </w:rPr>
        <w:t>............................................................. 51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2.03</w:t>
      </w:r>
      <w:r>
        <w:rPr>
          <w:rFonts w:ascii="Times New Roman" w:hAnsi="Times New Roman"/>
          <w:b/>
          <w:caps w:val="false"/>
          <w:smallCaps w:val="false"/>
          <w:sz w:val="20"/>
          <w:u w:val="single"/>
        </w:rPr>
        <w:t>..... Letters of Credit</w:t>
      </w:r>
      <w:r>
        <w:rPr>
          <w:rFonts w:ascii="Times New Roman" w:hAnsi="Times New Roman"/>
          <w:caps w:val="false"/>
          <w:smallCaps w:val="false"/>
          <w:sz w:val="20"/>
          <w:u w:val="single"/>
        </w:rPr>
        <w:t>............................................ 52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2.04</w:t>
      </w:r>
      <w:r>
        <w:rPr>
          <w:rFonts w:ascii="Times New Roman" w:hAnsi="Times New Roman"/>
          <w:b/>
          <w:caps w:val="false"/>
          <w:smallCaps w:val="false"/>
          <w:sz w:val="20"/>
          <w:u w:val="single"/>
        </w:rPr>
        <w:t>..... Swingline Loans</w:t>
      </w:r>
      <w:r>
        <w:rPr>
          <w:rFonts w:ascii="Times New Roman" w:hAnsi="Times New Roman"/>
          <w:caps w:val="false"/>
          <w:smallCaps w:val="false"/>
          <w:sz w:val="20"/>
          <w:u w:val="single"/>
        </w:rPr>
        <w:t>............................................ 61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2.05</w:t>
      </w:r>
      <w:r>
        <w:rPr>
          <w:rFonts w:ascii="Times New Roman" w:hAnsi="Times New Roman"/>
          <w:b/>
          <w:caps w:val="false"/>
          <w:smallCaps w:val="false"/>
          <w:sz w:val="20"/>
          <w:u w:val="single"/>
        </w:rPr>
        <w:t>..... Prepayments</w:t>
      </w:r>
      <w:r>
        <w:rPr>
          <w:rFonts w:ascii="Times New Roman" w:hAnsi="Times New Roman"/>
          <w:caps w:val="false"/>
          <w:smallCaps w:val="false"/>
          <w:sz w:val="20"/>
          <w:u w:val="single"/>
        </w:rPr>
        <w:t>.................................................. 64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2.06</w:t>
      </w:r>
      <w:r>
        <w:rPr>
          <w:rFonts w:ascii="Times New Roman" w:hAnsi="Times New Roman"/>
          <w:b/>
          <w:caps w:val="false"/>
          <w:smallCaps w:val="false"/>
          <w:sz w:val="20"/>
          <w:u w:val="single"/>
        </w:rPr>
        <w:t>..... Termination or Reduction of Commitments</w:t>
      </w:r>
      <w:r>
        <w:rPr>
          <w:rFonts w:ascii="Times New Roman" w:hAnsi="Times New Roman"/>
          <w:caps w:val="false"/>
          <w:smallCaps w:val="false"/>
          <w:sz w:val="20"/>
          <w:u w:val="single"/>
        </w:rPr>
        <w:t>.. 66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2.07</w:t>
      </w:r>
      <w:r>
        <w:rPr>
          <w:rFonts w:ascii="Times New Roman" w:hAnsi="Times New Roman"/>
          <w:b/>
          <w:caps w:val="false"/>
          <w:smallCaps w:val="false"/>
          <w:sz w:val="20"/>
          <w:u w:val="single"/>
        </w:rPr>
        <w:t>..... Repayment of Loans</w:t>
      </w:r>
      <w:r>
        <w:rPr>
          <w:rFonts w:ascii="Times New Roman" w:hAnsi="Times New Roman"/>
          <w:caps w:val="false"/>
          <w:smallCaps w:val="false"/>
          <w:sz w:val="20"/>
          <w:u w:val="single"/>
        </w:rPr>
        <w:t>...................................... 67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2.08</w:t>
      </w:r>
      <w:r>
        <w:rPr>
          <w:rFonts w:ascii="Times New Roman" w:hAnsi="Times New Roman"/>
          <w:b/>
          <w:caps w:val="false"/>
          <w:smallCaps w:val="false"/>
          <w:sz w:val="20"/>
          <w:u w:val="single"/>
        </w:rPr>
        <w:t>..... Interest and Default Rate</w:t>
      </w:r>
      <w:r>
        <w:rPr>
          <w:rFonts w:ascii="Times New Roman" w:hAnsi="Times New Roman"/>
          <w:caps w:val="false"/>
          <w:smallCaps w:val="false"/>
          <w:sz w:val="20"/>
          <w:u w:val="single"/>
        </w:rPr>
        <w:t>.............................. 68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2.09</w:t>
      </w:r>
      <w:r>
        <w:rPr>
          <w:rFonts w:ascii="Times New Roman" w:hAnsi="Times New Roman"/>
          <w:b/>
          <w:caps w:val="false"/>
          <w:smallCaps w:val="false"/>
          <w:sz w:val="20"/>
          <w:u w:val="single"/>
        </w:rPr>
        <w:t>..... Fees</w:t>
      </w:r>
      <w:r>
        <w:rPr>
          <w:rFonts w:ascii="Times New Roman" w:hAnsi="Times New Roman"/>
          <w:caps w:val="false"/>
          <w:smallCaps w:val="false"/>
          <w:sz w:val="20"/>
          <w:u w:val="single"/>
        </w:rPr>
        <w:t>............................................................... 69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2.10</w:t>
      </w:r>
      <w:r>
        <w:rPr>
          <w:rFonts w:ascii="Times New Roman" w:hAnsi="Times New Roman"/>
          <w:b/>
          <w:caps w:val="false"/>
          <w:smallCaps w:val="false"/>
          <w:sz w:val="20"/>
          <w:u w:val="single"/>
        </w:rPr>
        <w:t>..... Computation of Interest and Fees; Retroactive Adjustments of Applicable Rate</w:t>
      </w:r>
      <w:r>
        <w:rPr>
          <w:rFonts w:ascii="Times New Roman" w:hAnsi="Times New Roman"/>
          <w:caps w:val="false"/>
          <w:smallCaps w:val="false"/>
          <w:sz w:val="20"/>
          <w:u w:val="single"/>
        </w:rPr>
        <w:t>.................... 70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2.11</w:t>
      </w:r>
      <w:r>
        <w:rPr>
          <w:rFonts w:ascii="Times New Roman" w:hAnsi="Times New Roman"/>
          <w:b/>
          <w:caps w:val="false"/>
          <w:smallCaps w:val="false"/>
          <w:sz w:val="20"/>
          <w:u w:val="single"/>
        </w:rPr>
        <w:t>..... Evidence of Debt</w:t>
      </w:r>
      <w:r>
        <w:rPr>
          <w:rFonts w:ascii="Times New Roman" w:hAnsi="Times New Roman"/>
          <w:caps w:val="false"/>
          <w:smallCaps w:val="false"/>
          <w:sz w:val="20"/>
          <w:u w:val="single"/>
        </w:rPr>
        <w:t>........................................... 70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2.12</w:t>
      </w:r>
      <w:r>
        <w:rPr>
          <w:rFonts w:ascii="Times New Roman" w:hAnsi="Times New Roman"/>
          <w:b/>
          <w:caps w:val="false"/>
          <w:smallCaps w:val="false"/>
          <w:sz w:val="20"/>
          <w:u w:val="single"/>
        </w:rPr>
        <w:t>..... Payments Generally; Administrative Agent</w:t>
      </w:r>
      <w:r>
        <w:rPr>
          <w:rFonts w:ascii="Times New Roman" w:hAnsi="Times New Roman"/>
          <w:caps w:val="false"/>
          <w:smallCaps w:val="false"/>
          <w:sz w:val="20"/>
          <w:u w:val="single"/>
        </w:rPr>
        <w:t>’</w:t>
      </w:r>
      <w:r>
        <w:rPr>
          <w:rFonts w:ascii="Times New Roman" w:hAnsi="Times New Roman"/>
          <w:b/>
          <w:caps w:val="false"/>
          <w:smallCaps w:val="false"/>
          <w:sz w:val="20"/>
          <w:u w:val="single"/>
        </w:rPr>
        <w:t>s Clawback</w:t>
      </w:r>
      <w:r>
        <w:rPr>
          <w:rFonts w:ascii="Times New Roman" w:hAnsi="Times New Roman"/>
          <w:caps w:val="false"/>
          <w:smallCaps w:val="false"/>
          <w:sz w:val="20"/>
          <w:u w:val="single"/>
        </w:rPr>
        <w:t>...................................................... 71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2.13</w:t>
      </w:r>
      <w:r>
        <w:rPr>
          <w:rFonts w:ascii="Times New Roman" w:hAnsi="Times New Roman"/>
          <w:b/>
          <w:caps w:val="false"/>
          <w:smallCaps w:val="false"/>
          <w:sz w:val="20"/>
          <w:u w:val="single"/>
        </w:rPr>
        <w:t>..... Sharing of Payments by Lenders</w:t>
      </w:r>
      <w:r>
        <w:rPr>
          <w:rFonts w:ascii="Times New Roman" w:hAnsi="Times New Roman"/>
          <w:caps w:val="false"/>
          <w:smallCaps w:val="false"/>
          <w:sz w:val="20"/>
          <w:u w:val="single"/>
        </w:rPr>
        <w:t>................... 72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2.14</w:t>
      </w:r>
      <w:r>
        <w:rPr>
          <w:rFonts w:ascii="Times New Roman" w:hAnsi="Times New Roman"/>
          <w:b/>
          <w:caps w:val="false"/>
          <w:smallCaps w:val="false"/>
          <w:sz w:val="20"/>
          <w:u w:val="single"/>
        </w:rPr>
        <w:t>..... Cash Collateral</w:t>
      </w:r>
      <w:r>
        <w:rPr>
          <w:rFonts w:ascii="Times New Roman" w:hAnsi="Times New Roman"/>
          <w:caps w:val="false"/>
          <w:smallCaps w:val="false"/>
          <w:sz w:val="20"/>
          <w:u w:val="single"/>
        </w:rPr>
        <w:t>.............................................. 73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2.15</w:t>
      </w:r>
      <w:r>
        <w:rPr>
          <w:rFonts w:ascii="Times New Roman" w:hAnsi="Times New Roman"/>
          <w:b/>
          <w:caps w:val="false"/>
          <w:smallCaps w:val="false"/>
          <w:sz w:val="20"/>
          <w:u w:val="single"/>
        </w:rPr>
        <w:t>..... Defaulting Lenders</w:t>
      </w:r>
      <w:r>
        <w:rPr>
          <w:rFonts w:ascii="Times New Roman" w:hAnsi="Times New Roman"/>
          <w:caps w:val="false"/>
          <w:smallCaps w:val="false"/>
          <w:sz w:val="20"/>
          <w:u w:val="single"/>
        </w:rPr>
        <w:t>........................................ 74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III.        </w:t>
      </w:r>
      <w:r>
        <w:rPr>
          <w:rFonts w:ascii="Times New Roman" w:hAnsi="Times New Roman"/>
          <w:b/>
          <w:caps w:val="false"/>
          <w:smallCaps w:val="false"/>
          <w:sz w:val="20"/>
          <w:u w:val="single"/>
        </w:rPr>
        <w:t>TAXES, YIELD PROTECTION AND ILLEGALITY</w:t>
      </w:r>
      <w:r>
        <w:rPr>
          <w:rFonts w:ascii="Times New Roman" w:hAnsi="Times New Roman"/>
          <w:caps w:val="false"/>
          <w:smallCaps w:val="false"/>
          <w:sz w:val="20"/>
          <w:u w:val="single"/>
        </w:rPr>
        <w:t>................................................................................... 77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3.01</w:t>
      </w:r>
      <w:r>
        <w:rPr>
          <w:rFonts w:ascii="Times New Roman" w:hAnsi="Times New Roman"/>
          <w:b/>
          <w:caps w:val="false"/>
          <w:smallCaps w:val="false"/>
          <w:sz w:val="20"/>
          <w:u w:val="single"/>
        </w:rPr>
        <w:t>..... Taxes</w:t>
      </w:r>
      <w:r>
        <w:rPr>
          <w:rFonts w:ascii="Times New Roman" w:hAnsi="Times New Roman"/>
          <w:caps w:val="false"/>
          <w:smallCaps w:val="false"/>
          <w:sz w:val="20"/>
          <w:u w:val="single"/>
        </w:rPr>
        <w:t>............................................................. 77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3.02</w:t>
      </w:r>
      <w:r>
        <w:rPr>
          <w:rFonts w:ascii="Times New Roman" w:hAnsi="Times New Roman"/>
          <w:b/>
          <w:caps w:val="false"/>
          <w:smallCaps w:val="false"/>
          <w:sz w:val="20"/>
          <w:u w:val="single"/>
        </w:rPr>
        <w:t>..... Illegality</w:t>
      </w:r>
      <w:r>
        <w:rPr>
          <w:rFonts w:ascii="Times New Roman" w:hAnsi="Times New Roman"/>
          <w:caps w:val="false"/>
          <w:smallCaps w:val="false"/>
          <w:sz w:val="20"/>
          <w:u w:val="single"/>
        </w:rPr>
        <w:t>........................................................ 80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3.03</w:t>
      </w:r>
      <w:r>
        <w:rPr>
          <w:rFonts w:ascii="Times New Roman" w:hAnsi="Times New Roman"/>
          <w:b/>
          <w:caps w:val="false"/>
          <w:smallCaps w:val="false"/>
          <w:sz w:val="20"/>
          <w:u w:val="single"/>
        </w:rPr>
        <w:t>..... Inability to Determine Rates</w:t>
      </w:r>
      <w:r>
        <w:rPr>
          <w:rFonts w:ascii="Times New Roman" w:hAnsi="Times New Roman"/>
          <w:caps w:val="false"/>
          <w:smallCaps w:val="false"/>
          <w:sz w:val="20"/>
          <w:u w:val="single"/>
        </w:rPr>
        <w:t>.......................... 81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3.04</w:t>
      </w:r>
      <w:r>
        <w:rPr>
          <w:rFonts w:ascii="Times New Roman" w:hAnsi="Times New Roman"/>
          <w:b/>
          <w:caps w:val="false"/>
          <w:smallCaps w:val="false"/>
          <w:sz w:val="20"/>
          <w:u w:val="single"/>
        </w:rPr>
        <w:t>..... Increased Costs</w:t>
      </w:r>
      <w:r>
        <w:rPr>
          <w:rFonts w:ascii="Times New Roman" w:hAnsi="Times New Roman"/>
          <w:caps w:val="false"/>
          <w:smallCaps w:val="false"/>
          <w:sz w:val="20"/>
          <w:u w:val="single"/>
        </w:rPr>
        <w:t>............................................. 83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3.05</w:t>
      </w:r>
      <w:r>
        <w:rPr>
          <w:rFonts w:ascii="Times New Roman" w:hAnsi="Times New Roman"/>
          <w:b/>
          <w:caps w:val="false"/>
          <w:smallCaps w:val="false"/>
          <w:sz w:val="20"/>
          <w:u w:val="single"/>
        </w:rPr>
        <w:t>..... Compensation for Losses</w:t>
      </w:r>
      <w:r>
        <w:rPr>
          <w:rFonts w:ascii="Times New Roman" w:hAnsi="Times New Roman"/>
          <w:caps w:val="false"/>
          <w:smallCaps w:val="false"/>
          <w:sz w:val="20"/>
          <w:u w:val="single"/>
        </w:rPr>
        <w:t>............................... 84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3.06</w:t>
      </w:r>
      <w:r>
        <w:rPr>
          <w:rFonts w:ascii="Times New Roman" w:hAnsi="Times New Roman"/>
          <w:b/>
          <w:caps w:val="false"/>
          <w:smallCaps w:val="false"/>
          <w:sz w:val="20"/>
          <w:u w:val="single"/>
        </w:rPr>
        <w:t>..... Mitigation Obligations; Replacement of Lenders</w:t>
      </w:r>
      <w:r>
        <w:rPr>
          <w:rFonts w:ascii="Times New Roman" w:hAnsi="Times New Roman"/>
          <w:caps w:val="false"/>
          <w:smallCaps w:val="false"/>
          <w:sz w:val="20"/>
          <w:u w:val="single"/>
        </w:rPr>
        <w:t>......................................................... 85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3.07</w:t>
      </w:r>
      <w:r>
        <w:rPr>
          <w:rFonts w:ascii="Times New Roman" w:hAnsi="Times New Roman"/>
          <w:b/>
          <w:caps w:val="false"/>
          <w:smallCaps w:val="false"/>
          <w:sz w:val="20"/>
          <w:u w:val="single"/>
        </w:rPr>
        <w:t>..... Survival</w:t>
      </w:r>
      <w:r>
        <w:rPr>
          <w:rFonts w:ascii="Times New Roman" w:hAnsi="Times New Roman"/>
          <w:caps w:val="false"/>
          <w:smallCaps w:val="false"/>
          <w:sz w:val="20"/>
          <w:u w:val="single"/>
        </w:rPr>
        <w:t>......................................................... 85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IV.       </w:t>
      </w:r>
      <w:r>
        <w:rPr>
          <w:rFonts w:ascii="Times New Roman" w:hAnsi="Times New Roman"/>
          <w:b/>
          <w:caps w:val="false"/>
          <w:smallCaps w:val="false"/>
          <w:sz w:val="20"/>
          <w:u w:val="single"/>
        </w:rPr>
        <w:t>CONDITIONS PRECEDENT TO CREDIT EXTENSIONS</w:t>
      </w:r>
      <w:r>
        <w:rPr>
          <w:rFonts w:ascii="Times New Roman" w:hAnsi="Times New Roman"/>
          <w:caps w:val="false"/>
          <w:smallCaps w:val="false"/>
          <w:sz w:val="20"/>
          <w:u w:val="single"/>
        </w:rPr>
        <w:t>........................................................... 85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4.01</w:t>
      </w:r>
      <w:r>
        <w:rPr>
          <w:rFonts w:ascii="Times New Roman" w:hAnsi="Times New Roman"/>
          <w:b/>
          <w:caps w:val="false"/>
          <w:smallCaps w:val="false"/>
          <w:sz w:val="20"/>
          <w:u w:val="single"/>
        </w:rPr>
        <w:t>..... Conditions of Initial Credit Extension</w:t>
      </w:r>
      <w:r>
        <w:rPr>
          <w:rFonts w:ascii="Times New Roman" w:hAnsi="Times New Roman"/>
          <w:caps w:val="false"/>
          <w:smallCaps w:val="false"/>
          <w:sz w:val="20"/>
          <w:u w:val="single"/>
        </w:rPr>
        <w:t>........... 85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4.02</w:t>
      </w:r>
      <w:r>
        <w:rPr>
          <w:rFonts w:ascii="Times New Roman" w:hAnsi="Times New Roman"/>
          <w:b/>
          <w:caps w:val="false"/>
          <w:smallCaps w:val="false"/>
          <w:sz w:val="20"/>
          <w:u w:val="single"/>
        </w:rPr>
        <w:t>..... Conditions to all Credit Extensions</w:t>
      </w:r>
      <w:r>
        <w:rPr>
          <w:rFonts w:ascii="Times New Roman" w:hAnsi="Times New Roman"/>
          <w:caps w:val="false"/>
          <w:smallCaps w:val="false"/>
          <w:sz w:val="20"/>
          <w:u w:val="single"/>
        </w:rPr>
        <w:t>............... 88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4.03</w:t>
      </w:r>
      <w:r>
        <w:rPr>
          <w:rFonts w:ascii="Times New Roman" w:hAnsi="Times New Roman"/>
          <w:b/>
          <w:caps w:val="false"/>
          <w:smallCaps w:val="false"/>
          <w:sz w:val="20"/>
          <w:u w:val="single"/>
        </w:rPr>
        <w:t>..... Conditions to all Delayed Draw Term Loan Borrowings</w:t>
      </w:r>
      <w:r>
        <w:rPr>
          <w:rFonts w:ascii="Times New Roman" w:hAnsi="Times New Roman"/>
          <w:caps w:val="false"/>
          <w:smallCaps w:val="false"/>
          <w:sz w:val="20"/>
          <w:u w:val="single"/>
        </w:rPr>
        <w:t>.................................................... 88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V.        </w:t>
      </w:r>
      <w:r>
        <w:rPr>
          <w:rFonts w:ascii="Times New Roman" w:hAnsi="Times New Roman"/>
          <w:b/>
          <w:caps w:val="false"/>
          <w:smallCaps w:val="false"/>
          <w:sz w:val="20"/>
          <w:u w:val="single"/>
        </w:rPr>
        <w:t>REPRESENTATIONS AND WARRANTIES</w:t>
      </w:r>
      <w:r>
        <w:rPr>
          <w:rFonts w:ascii="Times New Roman" w:hAnsi="Times New Roman"/>
          <w:caps w:val="false"/>
          <w:smallCaps w:val="false"/>
          <w:sz w:val="20"/>
          <w:u w:val="single"/>
        </w:rPr>
        <w:t>........... 89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5.01</w:t>
      </w:r>
      <w:r>
        <w:rPr>
          <w:rFonts w:ascii="Times New Roman" w:hAnsi="Times New Roman"/>
          <w:b/>
          <w:caps w:val="false"/>
          <w:smallCaps w:val="false"/>
          <w:sz w:val="20"/>
          <w:u w:val="single"/>
        </w:rPr>
        <w:t>..... Existence, Qualification and Power</w:t>
      </w:r>
      <w:r>
        <w:rPr>
          <w:rFonts w:ascii="Times New Roman" w:hAnsi="Times New Roman"/>
          <w:caps w:val="false"/>
          <w:smallCaps w:val="false"/>
          <w:sz w:val="20"/>
          <w:u w:val="single"/>
        </w:rPr>
        <w:t>............... 89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5.02</w:t>
      </w:r>
      <w:r>
        <w:rPr>
          <w:rFonts w:ascii="Times New Roman" w:hAnsi="Times New Roman"/>
          <w:b/>
          <w:caps w:val="false"/>
          <w:smallCaps w:val="false"/>
          <w:sz w:val="20"/>
          <w:u w:val="single"/>
        </w:rPr>
        <w:t>..... Authorization; No Contravention</w:t>
      </w:r>
      <w:r>
        <w:rPr>
          <w:rFonts w:ascii="Times New Roman" w:hAnsi="Times New Roman"/>
          <w:caps w:val="false"/>
          <w:smallCaps w:val="false"/>
          <w:sz w:val="20"/>
          <w:u w:val="single"/>
        </w:rPr>
        <w:t>.................. 89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5.03</w:t>
      </w:r>
      <w:r>
        <w:rPr>
          <w:rFonts w:ascii="Times New Roman" w:hAnsi="Times New Roman"/>
          <w:b/>
          <w:caps w:val="false"/>
          <w:smallCaps w:val="false"/>
          <w:sz w:val="20"/>
          <w:u w:val="single"/>
        </w:rPr>
        <w:t>..... Governmental Authorization; Other Consents</w:t>
      </w:r>
      <w:r>
        <w:rPr>
          <w:rFonts w:ascii="Times New Roman" w:hAnsi="Times New Roman"/>
          <w:caps w:val="false"/>
          <w:smallCaps w:val="false"/>
          <w:sz w:val="20"/>
          <w:u w:val="single"/>
        </w:rPr>
        <w:t>...................................................................... 89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5.04</w:t>
      </w:r>
      <w:r>
        <w:rPr>
          <w:rFonts w:ascii="Times New Roman" w:hAnsi="Times New Roman"/>
          <w:b/>
          <w:caps w:val="false"/>
          <w:smallCaps w:val="false"/>
          <w:sz w:val="20"/>
          <w:u w:val="single"/>
        </w:rPr>
        <w:t>..... Binding Effect</w:t>
      </w:r>
      <w:r>
        <w:rPr>
          <w:rFonts w:ascii="Times New Roman" w:hAnsi="Times New Roman"/>
          <w:caps w:val="false"/>
          <w:smallCaps w:val="false"/>
          <w:sz w:val="20"/>
          <w:u w:val="single"/>
        </w:rPr>
        <w:t>............................................... 90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5.05</w:t>
      </w:r>
      <w:r>
        <w:rPr>
          <w:rFonts w:ascii="Times New Roman" w:hAnsi="Times New Roman"/>
          <w:b/>
          <w:caps w:val="false"/>
          <w:smallCaps w:val="false"/>
          <w:sz w:val="20"/>
          <w:u w:val="single"/>
        </w:rPr>
        <w:t>..... Financial Statements; No Material Adverse Effect</w:t>
      </w:r>
      <w:r>
        <w:rPr>
          <w:rFonts w:ascii="Times New Roman" w:hAnsi="Times New Roman"/>
          <w:caps w:val="false"/>
          <w:smallCaps w:val="false"/>
          <w:sz w:val="20"/>
          <w:u w:val="single"/>
        </w:rPr>
        <w:t>............................................................. 90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5.06</w:t>
      </w:r>
      <w:r>
        <w:rPr>
          <w:rFonts w:ascii="Times New Roman" w:hAnsi="Times New Roman"/>
          <w:b/>
          <w:caps w:val="false"/>
          <w:smallCaps w:val="false"/>
          <w:sz w:val="20"/>
          <w:u w:val="single"/>
        </w:rPr>
        <w:t>..... Litigation and Environmental Matters</w:t>
      </w:r>
      <w:r>
        <w:rPr>
          <w:rFonts w:ascii="Times New Roman" w:hAnsi="Times New Roman"/>
          <w:caps w:val="false"/>
          <w:smallCaps w:val="false"/>
          <w:sz w:val="20"/>
          <w:u w:val="single"/>
        </w:rPr>
        <w:t>.......... 90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5.07</w:t>
      </w:r>
      <w:r>
        <w:rPr>
          <w:rFonts w:ascii="Times New Roman" w:hAnsi="Times New Roman"/>
          <w:b/>
          <w:caps w:val="false"/>
          <w:smallCaps w:val="false"/>
          <w:sz w:val="20"/>
          <w:u w:val="single"/>
        </w:rPr>
        <w:t>..... No Default</w:t>
      </w:r>
      <w:r>
        <w:rPr>
          <w:rFonts w:ascii="Times New Roman" w:hAnsi="Times New Roman"/>
          <w:caps w:val="false"/>
          <w:smallCaps w:val="false"/>
          <w:sz w:val="20"/>
          <w:u w:val="single"/>
        </w:rPr>
        <w:t>..................................................... 90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5.08</w:t>
      </w:r>
      <w:r>
        <w:rPr>
          <w:rFonts w:ascii="Times New Roman" w:hAnsi="Times New Roman"/>
          <w:b/>
          <w:caps w:val="false"/>
          <w:smallCaps w:val="false"/>
          <w:sz w:val="20"/>
          <w:u w:val="single"/>
        </w:rPr>
        <w:t>..... Ownership of Property/Insurance</w:t>
      </w:r>
      <w:r>
        <w:rPr>
          <w:rFonts w:ascii="Times New Roman" w:hAnsi="Times New Roman"/>
          <w:caps w:val="false"/>
          <w:smallCaps w:val="false"/>
          <w:sz w:val="20"/>
          <w:u w:val="single"/>
        </w:rPr>
        <w:t>................. 90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5.09</w:t>
      </w:r>
      <w:r>
        <w:rPr>
          <w:rFonts w:ascii="Times New Roman" w:hAnsi="Times New Roman"/>
          <w:b/>
          <w:caps w:val="false"/>
          <w:smallCaps w:val="false"/>
          <w:sz w:val="20"/>
          <w:u w:val="single"/>
        </w:rPr>
        <w:t>..... Labor Matters</w:t>
      </w:r>
      <w:r>
        <w:rPr>
          <w:rFonts w:ascii="Times New Roman" w:hAnsi="Times New Roman"/>
          <w:caps w:val="false"/>
          <w:smallCaps w:val="false"/>
          <w:sz w:val="20"/>
          <w:u w:val="single"/>
        </w:rPr>
        <w:t>............................................... 91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5.10</w:t>
      </w:r>
      <w:r>
        <w:rPr>
          <w:rFonts w:ascii="Times New Roman" w:hAnsi="Times New Roman"/>
          <w:b/>
          <w:caps w:val="false"/>
          <w:smallCaps w:val="false"/>
          <w:sz w:val="20"/>
          <w:u w:val="single"/>
        </w:rPr>
        <w:t>..... Responsible Officers</w:t>
      </w:r>
      <w:r>
        <w:rPr>
          <w:rFonts w:ascii="Times New Roman" w:hAnsi="Times New Roman"/>
          <w:caps w:val="false"/>
          <w:smallCaps w:val="false"/>
          <w:sz w:val="20"/>
          <w:u w:val="single"/>
        </w:rPr>
        <w:t>...................................... 91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5.11</w:t>
      </w:r>
      <w:r>
        <w:rPr>
          <w:rFonts w:ascii="Times New Roman" w:hAnsi="Times New Roman"/>
          <w:b/>
          <w:caps w:val="false"/>
          <w:smallCaps w:val="false"/>
          <w:sz w:val="20"/>
          <w:u w:val="single"/>
        </w:rPr>
        <w:t>..... Taxes</w:t>
      </w:r>
      <w:r>
        <w:rPr>
          <w:rFonts w:ascii="Times New Roman" w:hAnsi="Times New Roman"/>
          <w:caps w:val="false"/>
          <w:smallCaps w:val="false"/>
          <w:sz w:val="20"/>
          <w:u w:val="single"/>
        </w:rPr>
        <w:t>............................................................. 91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5.12</w:t>
      </w:r>
      <w:r>
        <w:rPr>
          <w:rFonts w:ascii="Times New Roman" w:hAnsi="Times New Roman"/>
          <w:b/>
          <w:caps w:val="false"/>
          <w:smallCaps w:val="false"/>
          <w:sz w:val="20"/>
          <w:u w:val="single"/>
        </w:rPr>
        <w:t>..... ERISA Compliance</w:t>
      </w:r>
      <w:r>
        <w:rPr>
          <w:rFonts w:ascii="Times New Roman" w:hAnsi="Times New Roman"/>
          <w:caps w:val="false"/>
          <w:smallCaps w:val="false"/>
          <w:sz w:val="20"/>
          <w:u w:val="single"/>
        </w:rPr>
        <w:t>....................................... 91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5.13</w:t>
      </w:r>
      <w:r>
        <w:rPr>
          <w:rFonts w:ascii="Times New Roman" w:hAnsi="Times New Roman"/>
          <w:b/>
          <w:caps w:val="false"/>
          <w:smallCaps w:val="false"/>
          <w:sz w:val="20"/>
          <w:u w:val="single"/>
        </w:rPr>
        <w:t>..... Margin Regulations; Investment Company Act</w:t>
      </w:r>
      <w:r>
        <w:rPr>
          <w:rFonts w:ascii="Times New Roman" w:hAnsi="Times New Roman"/>
          <w:caps w:val="false"/>
          <w:smallCaps w:val="false"/>
          <w:sz w:val="20"/>
          <w:u w:val="single"/>
        </w:rPr>
        <w:t>....................................................................... 92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5.14</w:t>
      </w:r>
      <w:r>
        <w:rPr>
          <w:rFonts w:ascii="Times New Roman" w:hAnsi="Times New Roman"/>
          <w:b/>
          <w:caps w:val="false"/>
          <w:smallCaps w:val="false"/>
          <w:sz w:val="20"/>
          <w:u w:val="single"/>
        </w:rPr>
        <w:t>..... Disclosure</w:t>
      </w:r>
      <w:r>
        <w:rPr>
          <w:rFonts w:ascii="Times New Roman" w:hAnsi="Times New Roman"/>
          <w:caps w:val="false"/>
          <w:smallCaps w:val="false"/>
          <w:sz w:val="20"/>
          <w:u w:val="single"/>
        </w:rPr>
        <w:t>...................................................... 93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5.15</w:t>
      </w:r>
      <w:r>
        <w:rPr>
          <w:rFonts w:ascii="Times New Roman" w:hAnsi="Times New Roman"/>
          <w:b/>
          <w:caps w:val="false"/>
          <w:smallCaps w:val="false"/>
          <w:sz w:val="20"/>
          <w:u w:val="single"/>
        </w:rPr>
        <w:t>..... Compliance with Laws and Agreements</w:t>
      </w:r>
      <w:r>
        <w:rPr>
          <w:rFonts w:ascii="Times New Roman" w:hAnsi="Times New Roman"/>
          <w:caps w:val="false"/>
          <w:smallCaps w:val="false"/>
          <w:sz w:val="20"/>
          <w:u w:val="single"/>
        </w:rPr>
        <w:t>........ 93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5.16</w:t>
      </w:r>
      <w:r>
        <w:rPr>
          <w:rFonts w:ascii="Times New Roman" w:hAnsi="Times New Roman"/>
          <w:b/>
          <w:caps w:val="false"/>
          <w:smallCaps w:val="false"/>
          <w:sz w:val="20"/>
          <w:u w:val="single"/>
        </w:rPr>
        <w:t>..... Solvency</w:t>
      </w:r>
      <w:r>
        <w:rPr>
          <w:rFonts w:ascii="Times New Roman" w:hAnsi="Times New Roman"/>
          <w:caps w:val="false"/>
          <w:smallCaps w:val="false"/>
          <w:sz w:val="20"/>
          <w:u w:val="single"/>
        </w:rPr>
        <w:t>........................................................ 93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5.17</w:t>
      </w:r>
      <w:r>
        <w:rPr>
          <w:rFonts w:ascii="Times New Roman" w:hAnsi="Times New Roman"/>
          <w:b/>
          <w:caps w:val="false"/>
          <w:smallCaps w:val="false"/>
          <w:sz w:val="20"/>
          <w:u w:val="single"/>
        </w:rPr>
        <w:t>..... Intellectual Property</w:t>
      </w:r>
      <w:r>
        <w:rPr>
          <w:rFonts w:ascii="Times New Roman" w:hAnsi="Times New Roman"/>
          <w:caps w:val="false"/>
          <w:smallCaps w:val="false"/>
          <w:sz w:val="20"/>
          <w:u w:val="single"/>
        </w:rPr>
        <w:t>..................................... 93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5.18</w:t>
      </w:r>
      <w:r>
        <w:rPr>
          <w:rFonts w:ascii="Times New Roman" w:hAnsi="Times New Roman"/>
          <w:b/>
          <w:caps w:val="false"/>
          <w:smallCaps w:val="false"/>
          <w:sz w:val="20"/>
          <w:u w:val="single"/>
        </w:rPr>
        <w:t>..... Sanctions Concerns and Anti-Corruption Laws</w:t>
      </w:r>
      <w:r>
        <w:rPr>
          <w:rFonts w:ascii="Times New Roman" w:hAnsi="Times New Roman"/>
          <w:caps w:val="false"/>
          <w:smallCaps w:val="false"/>
          <w:sz w:val="20"/>
          <w:u w:val="single"/>
        </w:rPr>
        <w:t>....................................................................... 94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5.19</w:t>
      </w:r>
      <w:r>
        <w:rPr>
          <w:rFonts w:ascii="Times New Roman" w:hAnsi="Times New Roman"/>
          <w:b/>
          <w:caps w:val="false"/>
          <w:smallCaps w:val="false"/>
          <w:sz w:val="20"/>
          <w:u w:val="single"/>
        </w:rPr>
        <w:t>..... Subsidiaries; Loan Parties</w:t>
      </w:r>
      <w:r>
        <w:rPr>
          <w:rFonts w:ascii="Times New Roman" w:hAnsi="Times New Roman"/>
          <w:caps w:val="false"/>
          <w:smallCaps w:val="false"/>
          <w:sz w:val="20"/>
          <w:u w:val="single"/>
        </w:rPr>
        <w:t>............................. 94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5.20</w:t>
      </w:r>
      <w:r>
        <w:rPr>
          <w:rFonts w:ascii="Times New Roman" w:hAnsi="Times New Roman"/>
          <w:b/>
          <w:caps w:val="false"/>
          <w:smallCaps w:val="false"/>
          <w:sz w:val="20"/>
          <w:u w:val="single"/>
        </w:rPr>
        <w:t>..... Collateral Representations</w:t>
      </w:r>
      <w:r>
        <w:rPr>
          <w:rFonts w:ascii="Times New Roman" w:hAnsi="Times New Roman"/>
          <w:caps w:val="false"/>
          <w:smallCaps w:val="false"/>
          <w:sz w:val="20"/>
          <w:u w:val="single"/>
        </w:rPr>
        <w:t>............................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5.21</w:t>
      </w:r>
      <w:r>
        <w:rPr>
          <w:rFonts w:ascii="Times New Roman" w:hAnsi="Times New Roman"/>
          <w:b/>
          <w:caps w:val="false"/>
          <w:smallCaps w:val="false"/>
          <w:sz w:val="20"/>
          <w:u w:val="single"/>
        </w:rPr>
        <w:t>..... Affected Financial Institutions</w:t>
      </w:r>
      <w:r>
        <w:rPr>
          <w:rFonts w:ascii="Times New Roman" w:hAnsi="Times New Roman"/>
          <w:caps w:val="false"/>
          <w:smallCaps w:val="false"/>
          <w:sz w:val="20"/>
          <w:u w:val="single"/>
        </w:rPr>
        <w:t>......................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5.22</w:t>
      </w:r>
      <w:r>
        <w:rPr>
          <w:rFonts w:ascii="Times New Roman" w:hAnsi="Times New Roman"/>
          <w:b/>
          <w:caps w:val="false"/>
          <w:smallCaps w:val="false"/>
          <w:sz w:val="20"/>
          <w:u w:val="single"/>
        </w:rPr>
        <w:t>..... Covered Entities</w:t>
      </w:r>
      <w:r>
        <w:rPr>
          <w:rFonts w:ascii="Times New Roman" w:hAnsi="Times New Roman"/>
          <w:caps w:val="false"/>
          <w:smallCaps w:val="false"/>
          <w:sz w:val="20"/>
          <w:u w:val="single"/>
        </w:rPr>
        <w:t>............................................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5.23</w:t>
      </w:r>
      <w:r>
        <w:rPr>
          <w:rFonts w:ascii="Times New Roman" w:hAnsi="Times New Roman"/>
          <w:b/>
          <w:caps w:val="false"/>
          <w:smallCaps w:val="false"/>
          <w:sz w:val="20"/>
          <w:u w:val="single"/>
        </w:rPr>
        <w:t>..... Beneficial Ownership Certification</w:t>
      </w:r>
      <w:r>
        <w:rPr>
          <w:rFonts w:ascii="Times New Roman" w:hAnsi="Times New Roman"/>
          <w:caps w:val="false"/>
          <w:smallCaps w:val="false"/>
          <w:sz w:val="20"/>
          <w:u w:val="single"/>
        </w:rPr>
        <w:t>................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5.24</w:t>
      </w:r>
      <w:r>
        <w:rPr>
          <w:rFonts w:ascii="Times New Roman" w:hAnsi="Times New Roman"/>
          <w:b/>
          <w:caps w:val="false"/>
          <w:smallCaps w:val="false"/>
          <w:sz w:val="20"/>
          <w:u w:val="single"/>
        </w:rPr>
        <w:t>..... Outbound Investment</w:t>
      </w:r>
      <w:r>
        <w:rPr>
          <w:rFonts w:ascii="Times New Roman" w:hAnsi="Times New Roman"/>
          <w:caps w:val="false"/>
          <w:smallCaps w:val="false"/>
          <w:sz w:val="20"/>
          <w:u w:val="single"/>
        </w:rPr>
        <w:t>....................................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VI.       </w:t>
      </w:r>
      <w:r>
        <w:rPr>
          <w:rFonts w:ascii="Times New Roman" w:hAnsi="Times New Roman"/>
          <w:b/>
          <w:caps w:val="false"/>
          <w:smallCaps w:val="false"/>
          <w:sz w:val="20"/>
          <w:u w:val="single"/>
        </w:rPr>
        <w:t>AFFIRMATIVE COVENANTS</w:t>
      </w:r>
      <w:r>
        <w:rPr>
          <w:rFonts w:ascii="Times New Roman" w:hAnsi="Times New Roman"/>
          <w:caps w:val="false"/>
          <w:smallCaps w:val="false"/>
          <w:sz w:val="20"/>
          <w:u w:val="single"/>
        </w:rPr>
        <w:t>................................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6.01</w:t>
      </w:r>
      <w:r>
        <w:rPr>
          <w:rFonts w:ascii="Times New Roman" w:hAnsi="Times New Roman"/>
          <w:b/>
          <w:caps w:val="false"/>
          <w:smallCaps w:val="false"/>
          <w:sz w:val="20"/>
          <w:u w:val="single"/>
        </w:rPr>
        <w:t>..... Financial Statements and Other Information</w:t>
      </w:r>
      <w:r>
        <w:rPr>
          <w:rFonts w:ascii="Times New Roman" w:hAnsi="Times New Roman"/>
          <w:caps w:val="false"/>
          <w:smallCaps w:val="false"/>
          <w:sz w:val="20"/>
          <w:u w:val="single"/>
        </w:rPr>
        <w:t xml:space="preserve"> 95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6.02</w:t>
      </w:r>
      <w:r>
        <w:rPr>
          <w:rFonts w:ascii="Times New Roman" w:hAnsi="Times New Roman"/>
          <w:b/>
          <w:caps w:val="false"/>
          <w:smallCaps w:val="false"/>
          <w:sz w:val="20"/>
          <w:u w:val="single"/>
        </w:rPr>
        <w:t>..... [Reserved]</w:t>
      </w:r>
      <w:r>
        <w:rPr>
          <w:rFonts w:ascii="Times New Roman" w:hAnsi="Times New Roman"/>
          <w:caps w:val="false"/>
          <w:smallCaps w:val="false"/>
          <w:sz w:val="20"/>
          <w:u w:val="single"/>
        </w:rPr>
        <w:t>..................................................... 98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6.03</w:t>
      </w:r>
      <w:r>
        <w:rPr>
          <w:rFonts w:ascii="Times New Roman" w:hAnsi="Times New Roman"/>
          <w:b/>
          <w:caps w:val="false"/>
          <w:smallCaps w:val="false"/>
          <w:sz w:val="20"/>
          <w:u w:val="single"/>
        </w:rPr>
        <w:t>..... Notices</w:t>
      </w:r>
      <w:r>
        <w:rPr>
          <w:rFonts w:ascii="Times New Roman" w:hAnsi="Times New Roman"/>
          <w:caps w:val="false"/>
          <w:smallCaps w:val="false"/>
          <w:sz w:val="20"/>
          <w:u w:val="single"/>
        </w:rPr>
        <w:t>........................................................... 98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6.04</w:t>
      </w:r>
      <w:r>
        <w:rPr>
          <w:rFonts w:ascii="Times New Roman" w:hAnsi="Times New Roman"/>
          <w:b/>
          <w:caps w:val="false"/>
          <w:smallCaps w:val="false"/>
          <w:sz w:val="20"/>
          <w:u w:val="single"/>
        </w:rPr>
        <w:t>..... Payment of Obligations</w:t>
      </w:r>
      <w:r>
        <w:rPr>
          <w:rFonts w:ascii="Times New Roman" w:hAnsi="Times New Roman"/>
          <w:caps w:val="false"/>
          <w:smallCaps w:val="false"/>
          <w:sz w:val="20"/>
          <w:u w:val="single"/>
        </w:rPr>
        <w:t>................................. 99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6.05</w:t>
      </w:r>
      <w:r>
        <w:rPr>
          <w:rFonts w:ascii="Times New Roman" w:hAnsi="Times New Roman"/>
          <w:b/>
          <w:caps w:val="false"/>
          <w:smallCaps w:val="false"/>
          <w:sz w:val="20"/>
          <w:u w:val="single"/>
        </w:rPr>
        <w:t>..... Existence, Conduct of Business</w:t>
      </w:r>
      <w:r>
        <w:rPr>
          <w:rFonts w:ascii="Times New Roman" w:hAnsi="Times New Roman"/>
          <w:caps w:val="false"/>
          <w:smallCaps w:val="false"/>
          <w:sz w:val="20"/>
          <w:u w:val="single"/>
        </w:rPr>
        <w:t>.................... 100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6.06</w:t>
      </w:r>
      <w:r>
        <w:rPr>
          <w:rFonts w:ascii="Times New Roman" w:hAnsi="Times New Roman"/>
          <w:b/>
          <w:caps w:val="false"/>
          <w:smallCaps w:val="false"/>
          <w:sz w:val="20"/>
          <w:u w:val="single"/>
        </w:rPr>
        <w:t>..... Maintenance of Properties; Insurance</w:t>
      </w:r>
      <w:r>
        <w:rPr>
          <w:rFonts w:ascii="Times New Roman" w:hAnsi="Times New Roman"/>
          <w:caps w:val="false"/>
          <w:smallCaps w:val="false"/>
          <w:sz w:val="20"/>
          <w:u w:val="single"/>
        </w:rPr>
        <w:t>......... 100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6.07</w:t>
      </w:r>
      <w:r>
        <w:rPr>
          <w:rFonts w:ascii="Times New Roman" w:hAnsi="Times New Roman"/>
          <w:b/>
          <w:caps w:val="false"/>
          <w:smallCaps w:val="false"/>
          <w:sz w:val="20"/>
          <w:u w:val="single"/>
        </w:rPr>
        <w:t>..... [Reserved]</w:t>
      </w:r>
      <w:r>
        <w:rPr>
          <w:rFonts w:ascii="Times New Roman" w:hAnsi="Times New Roman"/>
          <w:caps w:val="false"/>
          <w:smallCaps w:val="false"/>
          <w:sz w:val="20"/>
          <w:u w:val="single"/>
        </w:rPr>
        <w:t>................................................... 100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6.08</w:t>
      </w:r>
      <w:r>
        <w:rPr>
          <w:rFonts w:ascii="Times New Roman" w:hAnsi="Times New Roman"/>
          <w:b/>
          <w:caps w:val="false"/>
          <w:smallCaps w:val="false"/>
          <w:sz w:val="20"/>
          <w:u w:val="single"/>
        </w:rPr>
        <w:t>..... Compliance with Laws; Etc</w:t>
      </w:r>
      <w:r>
        <w:rPr>
          <w:rFonts w:ascii="Times New Roman" w:hAnsi="Times New Roman"/>
          <w:caps w:val="false"/>
          <w:smallCaps w:val="false"/>
          <w:sz w:val="20"/>
          <w:u w:val="single"/>
        </w:rPr>
        <w:t>......................... 100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6.09</w:t>
      </w:r>
      <w:r>
        <w:rPr>
          <w:rFonts w:ascii="Times New Roman" w:hAnsi="Times New Roman"/>
          <w:b/>
          <w:caps w:val="false"/>
          <w:smallCaps w:val="false"/>
          <w:sz w:val="20"/>
          <w:u w:val="single"/>
        </w:rPr>
        <w:t>..... Books and Records</w:t>
      </w:r>
      <w:r>
        <w:rPr>
          <w:rFonts w:ascii="Times New Roman" w:hAnsi="Times New Roman"/>
          <w:caps w:val="false"/>
          <w:smallCaps w:val="false"/>
          <w:sz w:val="20"/>
          <w:u w:val="single"/>
        </w:rPr>
        <w:t>...................................... 100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6.10</w:t>
      </w:r>
      <w:r>
        <w:rPr>
          <w:rFonts w:ascii="Times New Roman" w:hAnsi="Times New Roman"/>
          <w:b/>
          <w:caps w:val="false"/>
          <w:smallCaps w:val="false"/>
          <w:sz w:val="20"/>
          <w:u w:val="single"/>
        </w:rPr>
        <w:t>..... Visitation, Inspection, Etc</w:t>
      </w:r>
      <w:r>
        <w:rPr>
          <w:rFonts w:ascii="Times New Roman" w:hAnsi="Times New Roman"/>
          <w:caps w:val="false"/>
          <w:smallCaps w:val="false"/>
          <w:sz w:val="20"/>
          <w:u w:val="single"/>
        </w:rPr>
        <w:t>............................ 101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6.11</w:t>
      </w:r>
      <w:r>
        <w:rPr>
          <w:rFonts w:ascii="Times New Roman" w:hAnsi="Times New Roman"/>
          <w:b/>
          <w:caps w:val="false"/>
          <w:smallCaps w:val="false"/>
          <w:sz w:val="20"/>
          <w:u w:val="single"/>
        </w:rPr>
        <w:t>..... Use of Proceeds; Margin Regulations</w:t>
      </w:r>
      <w:r>
        <w:rPr>
          <w:rFonts w:ascii="Times New Roman" w:hAnsi="Times New Roman"/>
          <w:caps w:val="false"/>
          <w:smallCaps w:val="false"/>
          <w:sz w:val="20"/>
          <w:u w:val="single"/>
        </w:rPr>
        <w:t>.......... 101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6.12</w:t>
      </w:r>
      <w:r>
        <w:rPr>
          <w:rFonts w:ascii="Times New Roman" w:hAnsi="Times New Roman"/>
          <w:b/>
          <w:caps w:val="false"/>
          <w:smallCaps w:val="false"/>
          <w:sz w:val="20"/>
          <w:u w:val="single"/>
        </w:rPr>
        <w:t>..... Material Contracts</w:t>
      </w:r>
      <w:r>
        <w:rPr>
          <w:rFonts w:ascii="Times New Roman" w:hAnsi="Times New Roman"/>
          <w:caps w:val="false"/>
          <w:smallCaps w:val="false"/>
          <w:sz w:val="20"/>
          <w:u w:val="single"/>
        </w:rPr>
        <w:t>...................................... 102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6.13</w:t>
      </w:r>
      <w:r>
        <w:rPr>
          <w:rFonts w:ascii="Times New Roman" w:hAnsi="Times New Roman"/>
          <w:b/>
          <w:caps w:val="false"/>
          <w:smallCaps w:val="false"/>
          <w:sz w:val="20"/>
          <w:u w:val="single"/>
        </w:rPr>
        <w:t>..... Additional Guarantors</w:t>
      </w:r>
      <w:r>
        <w:rPr>
          <w:rFonts w:ascii="Times New Roman" w:hAnsi="Times New Roman"/>
          <w:caps w:val="false"/>
          <w:smallCaps w:val="false"/>
          <w:sz w:val="20"/>
          <w:u w:val="single"/>
        </w:rPr>
        <w:t>................................ 102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6.14</w:t>
      </w:r>
      <w:r>
        <w:rPr>
          <w:rFonts w:ascii="Times New Roman" w:hAnsi="Times New Roman"/>
          <w:b/>
          <w:caps w:val="false"/>
          <w:smallCaps w:val="false"/>
          <w:sz w:val="20"/>
          <w:u w:val="single"/>
        </w:rPr>
        <w:t>..... Pledged Assets</w:t>
      </w:r>
      <w:r>
        <w:rPr>
          <w:rFonts w:ascii="Times New Roman" w:hAnsi="Times New Roman"/>
          <w:caps w:val="false"/>
          <w:smallCaps w:val="false"/>
          <w:sz w:val="20"/>
          <w:u w:val="single"/>
        </w:rPr>
        <w:t>............................................. 102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6.15</w:t>
      </w:r>
      <w:r>
        <w:rPr>
          <w:rFonts w:ascii="Times New Roman" w:hAnsi="Times New Roman"/>
          <w:b/>
          <w:caps w:val="false"/>
          <w:smallCaps w:val="false"/>
          <w:sz w:val="20"/>
          <w:u w:val="single"/>
        </w:rPr>
        <w:t>..... Anti-Corruption Laws; Sanctions</w:t>
      </w:r>
      <w:r>
        <w:rPr>
          <w:rFonts w:ascii="Times New Roman" w:hAnsi="Times New Roman"/>
          <w:caps w:val="false"/>
          <w:smallCaps w:val="false"/>
          <w:sz w:val="20"/>
          <w:u w:val="single"/>
        </w:rPr>
        <w:t>................ 103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6.16</w:t>
      </w:r>
      <w:r>
        <w:rPr>
          <w:rFonts w:ascii="Times New Roman" w:hAnsi="Times New Roman"/>
          <w:b/>
          <w:caps w:val="false"/>
          <w:smallCaps w:val="false"/>
          <w:sz w:val="20"/>
          <w:u w:val="single"/>
        </w:rPr>
        <w:t>..... Fifth Amendment Post-Closing Covenants</w:t>
      </w:r>
      <w:r>
        <w:rPr>
          <w:rFonts w:ascii="Times New Roman" w:hAnsi="Times New Roman"/>
          <w:caps w:val="false"/>
          <w:smallCaps w:val="false"/>
          <w:sz w:val="20"/>
          <w:u w:val="single"/>
        </w:rPr>
        <w:t>.. 103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VII.      </w:t>
      </w:r>
      <w:r>
        <w:rPr>
          <w:rFonts w:ascii="Times New Roman" w:hAnsi="Times New Roman"/>
          <w:b/>
          <w:caps w:val="false"/>
          <w:smallCaps w:val="false"/>
          <w:sz w:val="20"/>
          <w:u w:val="single"/>
        </w:rPr>
        <w:t>NEGATIVE COVENANTS</w:t>
      </w:r>
      <w:r>
        <w:rPr>
          <w:rFonts w:ascii="Times New Roman" w:hAnsi="Times New Roman"/>
          <w:caps w:val="false"/>
          <w:smallCaps w:val="false"/>
          <w:sz w:val="20"/>
          <w:u w:val="single"/>
        </w:rPr>
        <w:t>..................................... 104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7.01</w:t>
      </w:r>
      <w:r>
        <w:rPr>
          <w:rFonts w:ascii="Times New Roman" w:hAnsi="Times New Roman"/>
          <w:b/>
          <w:caps w:val="false"/>
          <w:smallCaps w:val="false"/>
          <w:sz w:val="20"/>
          <w:u w:val="single"/>
        </w:rPr>
        <w:t>..... Liens</w:t>
      </w:r>
      <w:r>
        <w:rPr>
          <w:rFonts w:ascii="Times New Roman" w:hAnsi="Times New Roman"/>
          <w:caps w:val="false"/>
          <w:smallCaps w:val="false"/>
          <w:sz w:val="20"/>
          <w:u w:val="single"/>
        </w:rPr>
        <w:t>............................................................ 104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7.02</w:t>
      </w:r>
      <w:r>
        <w:rPr>
          <w:rFonts w:ascii="Times New Roman" w:hAnsi="Times New Roman"/>
          <w:b/>
          <w:caps w:val="false"/>
          <w:smallCaps w:val="false"/>
          <w:sz w:val="20"/>
          <w:u w:val="single"/>
        </w:rPr>
        <w:t>..... Indebtedness</w:t>
      </w:r>
      <w:r>
        <w:rPr>
          <w:rFonts w:ascii="Times New Roman" w:hAnsi="Times New Roman"/>
          <w:caps w:val="false"/>
          <w:smallCaps w:val="false"/>
          <w:sz w:val="20"/>
          <w:u w:val="single"/>
        </w:rPr>
        <w:t>................................................ 105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7.03</w:t>
      </w:r>
      <w:r>
        <w:rPr>
          <w:rFonts w:ascii="Times New Roman" w:hAnsi="Times New Roman"/>
          <w:b/>
          <w:caps w:val="false"/>
          <w:smallCaps w:val="false"/>
          <w:sz w:val="20"/>
          <w:u w:val="single"/>
        </w:rPr>
        <w:t>..... Investments, Loans, Etc</w:t>
      </w:r>
      <w:r>
        <w:rPr>
          <w:rFonts w:ascii="Times New Roman" w:hAnsi="Times New Roman"/>
          <w:caps w:val="false"/>
          <w:smallCaps w:val="false"/>
          <w:sz w:val="20"/>
          <w:u w:val="single"/>
        </w:rPr>
        <w:t>............................... 107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7.04</w:t>
      </w:r>
      <w:r>
        <w:rPr>
          <w:rFonts w:ascii="Times New Roman" w:hAnsi="Times New Roman"/>
          <w:b/>
          <w:caps w:val="false"/>
          <w:smallCaps w:val="false"/>
          <w:sz w:val="20"/>
          <w:u w:val="single"/>
        </w:rPr>
        <w:t>..... Fundamental Changes; Conduct of Business</w:t>
      </w:r>
      <w:r>
        <w:rPr>
          <w:rFonts w:ascii="Times New Roman" w:hAnsi="Times New Roman"/>
          <w:caps w:val="false"/>
          <w:smallCaps w:val="false"/>
          <w:sz w:val="20"/>
          <w:u w:val="single"/>
        </w:rPr>
        <w:t>..................................................................... 108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7.05</w:t>
      </w:r>
      <w:r>
        <w:rPr>
          <w:rFonts w:ascii="Times New Roman" w:hAnsi="Times New Roman"/>
          <w:b/>
          <w:caps w:val="false"/>
          <w:smallCaps w:val="false"/>
          <w:sz w:val="20"/>
          <w:u w:val="single"/>
        </w:rPr>
        <w:t>..... Dispositions</w:t>
      </w:r>
      <w:r>
        <w:rPr>
          <w:rFonts w:ascii="Times New Roman" w:hAnsi="Times New Roman"/>
          <w:caps w:val="false"/>
          <w:smallCaps w:val="false"/>
          <w:sz w:val="20"/>
          <w:u w:val="single"/>
        </w:rPr>
        <w:t>................................................. 109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7.06</w:t>
      </w:r>
      <w:r>
        <w:rPr>
          <w:rFonts w:ascii="Times New Roman" w:hAnsi="Times New Roman"/>
          <w:b/>
          <w:caps w:val="false"/>
          <w:smallCaps w:val="false"/>
          <w:sz w:val="20"/>
          <w:u w:val="single"/>
        </w:rPr>
        <w:t>..... Restricted Payments</w:t>
      </w:r>
      <w:r>
        <w:rPr>
          <w:rFonts w:ascii="Times New Roman" w:hAnsi="Times New Roman"/>
          <w:caps w:val="false"/>
          <w:smallCaps w:val="false"/>
          <w:sz w:val="20"/>
          <w:u w:val="single"/>
        </w:rPr>
        <w:t>.................................... 109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7.07</w:t>
      </w:r>
      <w:r>
        <w:rPr>
          <w:rFonts w:ascii="Times New Roman" w:hAnsi="Times New Roman"/>
          <w:b/>
          <w:caps w:val="false"/>
          <w:smallCaps w:val="false"/>
          <w:sz w:val="20"/>
          <w:u w:val="single"/>
        </w:rPr>
        <w:t>..... Payment of Holdings Note</w:t>
      </w:r>
      <w:r>
        <w:rPr>
          <w:rFonts w:ascii="Times New Roman" w:hAnsi="Times New Roman"/>
          <w:caps w:val="false"/>
          <w:smallCaps w:val="false"/>
          <w:sz w:val="20"/>
          <w:u w:val="single"/>
        </w:rPr>
        <w:t>........................... 109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7.08</w:t>
      </w:r>
      <w:r>
        <w:rPr>
          <w:rFonts w:ascii="Times New Roman" w:hAnsi="Times New Roman"/>
          <w:b/>
          <w:caps w:val="false"/>
          <w:smallCaps w:val="false"/>
          <w:sz w:val="20"/>
          <w:u w:val="single"/>
        </w:rPr>
        <w:t>..... Transactions with Affiliates</w:t>
      </w:r>
      <w:r>
        <w:rPr>
          <w:rFonts w:ascii="Times New Roman" w:hAnsi="Times New Roman"/>
          <w:caps w:val="false"/>
          <w:smallCaps w:val="false"/>
          <w:sz w:val="20"/>
          <w:u w:val="single"/>
        </w:rPr>
        <w:t>......................... 109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7.09</w:t>
      </w:r>
      <w:r>
        <w:rPr>
          <w:rFonts w:ascii="Times New Roman" w:hAnsi="Times New Roman"/>
          <w:b/>
          <w:caps w:val="false"/>
          <w:smallCaps w:val="false"/>
          <w:sz w:val="20"/>
          <w:u w:val="single"/>
        </w:rPr>
        <w:t>..... Burdensome Agreements</w:t>
      </w:r>
      <w:r>
        <w:rPr>
          <w:rFonts w:ascii="Times New Roman" w:hAnsi="Times New Roman"/>
          <w:caps w:val="false"/>
          <w:smallCaps w:val="false"/>
          <w:sz w:val="20"/>
          <w:u w:val="single"/>
        </w:rPr>
        <w:t>............................. 110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7.10</w:t>
      </w:r>
      <w:r>
        <w:rPr>
          <w:rFonts w:ascii="Times New Roman" w:hAnsi="Times New Roman"/>
          <w:b/>
          <w:caps w:val="false"/>
          <w:smallCaps w:val="false"/>
          <w:sz w:val="20"/>
          <w:u w:val="single"/>
        </w:rPr>
        <w:t>..... Use of Proceeds</w:t>
      </w:r>
      <w:r>
        <w:rPr>
          <w:rFonts w:ascii="Times New Roman" w:hAnsi="Times New Roman"/>
          <w:caps w:val="false"/>
          <w:smallCaps w:val="false"/>
          <w:sz w:val="20"/>
          <w:u w:val="single"/>
        </w:rPr>
        <w:t>............................................ 111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7.11</w:t>
      </w:r>
      <w:r>
        <w:rPr>
          <w:rFonts w:ascii="Times New Roman" w:hAnsi="Times New Roman"/>
          <w:b/>
          <w:caps w:val="false"/>
          <w:smallCaps w:val="false"/>
          <w:sz w:val="20"/>
          <w:u w:val="single"/>
        </w:rPr>
        <w:t>..... Financial Covenants</w:t>
      </w:r>
      <w:r>
        <w:rPr>
          <w:rFonts w:ascii="Times New Roman" w:hAnsi="Times New Roman"/>
          <w:caps w:val="false"/>
          <w:smallCaps w:val="false"/>
          <w:sz w:val="20"/>
          <w:u w:val="single"/>
        </w:rPr>
        <w:t>.................................... 111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7.12</w:t>
      </w:r>
      <w:r>
        <w:rPr>
          <w:rFonts w:ascii="Times New Roman" w:hAnsi="Times New Roman"/>
          <w:b/>
          <w:caps w:val="false"/>
          <w:smallCaps w:val="false"/>
          <w:sz w:val="20"/>
          <w:u w:val="single"/>
        </w:rPr>
        <w:t>..... Restricted Activities</w:t>
      </w:r>
      <w:r>
        <w:rPr>
          <w:rFonts w:ascii="Times New Roman" w:hAnsi="Times New Roman"/>
          <w:caps w:val="false"/>
          <w:smallCaps w:val="false"/>
          <w:sz w:val="20"/>
          <w:u w:val="single"/>
        </w:rPr>
        <w:t>..................................... 112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7.13</w:t>
      </w:r>
      <w:r>
        <w:rPr>
          <w:rFonts w:ascii="Times New Roman" w:hAnsi="Times New Roman"/>
          <w:b/>
          <w:caps w:val="false"/>
          <w:smallCaps w:val="false"/>
          <w:sz w:val="20"/>
          <w:u w:val="single"/>
        </w:rPr>
        <w:t>..... Amendments of Organization Documents; Fiscal Year; Legal Name, State of Formation; Form of Entity and Accounting Changes</w:t>
      </w:r>
      <w:r>
        <w:rPr>
          <w:rFonts w:ascii="Times New Roman" w:hAnsi="Times New Roman"/>
          <w:caps w:val="false"/>
          <w:smallCaps w:val="false"/>
          <w:sz w:val="20"/>
          <w:u w:val="single"/>
        </w:rPr>
        <w:t>..... 112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7.14</w:t>
      </w:r>
      <w:r>
        <w:rPr>
          <w:rFonts w:ascii="Times New Roman" w:hAnsi="Times New Roman"/>
          <w:b/>
          <w:caps w:val="false"/>
          <w:smallCaps w:val="false"/>
          <w:sz w:val="20"/>
          <w:u w:val="single"/>
        </w:rPr>
        <w:t>..... Sale and Leaseback Transactions</w:t>
      </w:r>
      <w:r>
        <w:rPr>
          <w:rFonts w:ascii="Times New Roman" w:hAnsi="Times New Roman"/>
          <w:caps w:val="false"/>
          <w:smallCaps w:val="false"/>
          <w:sz w:val="20"/>
          <w:u w:val="single"/>
        </w:rPr>
        <w:t>................ 112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7.15</w:t>
      </w:r>
      <w:r>
        <w:rPr>
          <w:rFonts w:ascii="Times New Roman" w:hAnsi="Times New Roman"/>
          <w:b/>
          <w:caps w:val="false"/>
          <w:smallCaps w:val="false"/>
          <w:sz w:val="20"/>
          <w:u w:val="single"/>
        </w:rPr>
        <w:t>..... Sanctions</w:t>
      </w:r>
      <w:r>
        <w:rPr>
          <w:rFonts w:ascii="Times New Roman" w:hAnsi="Times New Roman"/>
          <w:caps w:val="false"/>
          <w:smallCaps w:val="false"/>
          <w:sz w:val="20"/>
          <w:u w:val="single"/>
        </w:rPr>
        <w:t>..................................................... 112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7.16</w:t>
      </w:r>
      <w:r>
        <w:rPr>
          <w:rFonts w:ascii="Times New Roman" w:hAnsi="Times New Roman"/>
          <w:b/>
          <w:caps w:val="false"/>
          <w:smallCaps w:val="false"/>
          <w:sz w:val="20"/>
          <w:u w:val="single"/>
        </w:rPr>
        <w:t>..... Anti-Corruption Laws</w:t>
      </w:r>
      <w:r>
        <w:rPr>
          <w:rFonts w:ascii="Times New Roman" w:hAnsi="Times New Roman"/>
          <w:caps w:val="false"/>
          <w:smallCaps w:val="false"/>
          <w:sz w:val="20"/>
          <w:u w:val="single"/>
        </w:rPr>
        <w:t>................................. 113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7.17</w:t>
      </w:r>
      <w:r>
        <w:rPr>
          <w:rFonts w:ascii="Times New Roman" w:hAnsi="Times New Roman"/>
          <w:b/>
          <w:caps w:val="false"/>
          <w:smallCaps w:val="false"/>
          <w:sz w:val="20"/>
          <w:u w:val="single"/>
        </w:rPr>
        <w:t>..... [Reserved]</w:t>
      </w:r>
      <w:r>
        <w:rPr>
          <w:rFonts w:ascii="Times New Roman" w:hAnsi="Times New Roman"/>
          <w:caps w:val="false"/>
          <w:smallCaps w:val="false"/>
          <w:sz w:val="20"/>
          <w:u w:val="single"/>
        </w:rPr>
        <w:t>................................................... 113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7.18</w:t>
      </w:r>
      <w:r>
        <w:rPr>
          <w:rFonts w:ascii="Times New Roman" w:hAnsi="Times New Roman"/>
          <w:b/>
          <w:caps w:val="false"/>
          <w:smallCaps w:val="false"/>
          <w:sz w:val="20"/>
          <w:u w:val="single"/>
        </w:rPr>
        <w:t>..... Grower Basket</w:t>
      </w:r>
      <w:r>
        <w:rPr>
          <w:rFonts w:ascii="Times New Roman" w:hAnsi="Times New Roman"/>
          <w:caps w:val="false"/>
          <w:smallCaps w:val="false"/>
          <w:sz w:val="20"/>
          <w:u w:val="single"/>
        </w:rPr>
        <w:t>............................................. 113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7.19</w:t>
      </w:r>
      <w:r>
        <w:rPr>
          <w:rFonts w:ascii="Times New Roman" w:hAnsi="Times New Roman"/>
          <w:b/>
          <w:caps w:val="false"/>
          <w:smallCaps w:val="false"/>
          <w:sz w:val="20"/>
          <w:u w:val="single"/>
        </w:rPr>
        <w:t>..... Outbound Investment</w:t>
      </w:r>
      <w:r>
        <w:rPr>
          <w:rFonts w:ascii="Times New Roman" w:hAnsi="Times New Roman"/>
          <w:caps w:val="false"/>
          <w:smallCaps w:val="false"/>
          <w:sz w:val="20"/>
          <w:u w:val="single"/>
        </w:rPr>
        <w:t>.................................. 113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VIII.     </w:t>
      </w:r>
      <w:r>
        <w:rPr>
          <w:rFonts w:ascii="Times New Roman" w:hAnsi="Times New Roman"/>
          <w:b/>
          <w:caps w:val="false"/>
          <w:smallCaps w:val="false"/>
          <w:sz w:val="20"/>
          <w:u w:val="single"/>
        </w:rPr>
        <w:t>EVENTS OF DEFAULT AND REMEDIES</w:t>
      </w:r>
      <w:r>
        <w:rPr>
          <w:rFonts w:ascii="Times New Roman" w:hAnsi="Times New Roman"/>
          <w:caps w:val="false"/>
          <w:smallCaps w:val="false"/>
          <w:sz w:val="20"/>
          <w:u w:val="single"/>
        </w:rPr>
        <w:t>............ 113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8.01</w:t>
      </w:r>
      <w:r>
        <w:rPr>
          <w:rFonts w:ascii="Times New Roman" w:hAnsi="Times New Roman"/>
          <w:b/>
          <w:caps w:val="false"/>
          <w:smallCaps w:val="false"/>
          <w:sz w:val="20"/>
          <w:u w:val="single"/>
        </w:rPr>
        <w:t>..... Events of Default</w:t>
      </w:r>
      <w:r>
        <w:rPr>
          <w:rFonts w:ascii="Times New Roman" w:hAnsi="Times New Roman"/>
          <w:caps w:val="false"/>
          <w:smallCaps w:val="false"/>
          <w:sz w:val="20"/>
          <w:u w:val="single"/>
        </w:rPr>
        <w:t>......................................... 113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8.02</w:t>
      </w:r>
      <w:r>
        <w:rPr>
          <w:rFonts w:ascii="Times New Roman" w:hAnsi="Times New Roman"/>
          <w:b/>
          <w:caps w:val="false"/>
          <w:smallCaps w:val="false"/>
          <w:sz w:val="20"/>
          <w:u w:val="single"/>
        </w:rPr>
        <w:t>..... Remedies upon Event of Default</w:t>
      </w:r>
      <w:r>
        <w:rPr>
          <w:rFonts w:ascii="Times New Roman" w:hAnsi="Times New Roman"/>
          <w:caps w:val="false"/>
          <w:smallCaps w:val="false"/>
          <w:sz w:val="20"/>
          <w:u w:val="single"/>
        </w:rPr>
        <w:t>.................. 115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8.03</w:t>
      </w:r>
      <w:r>
        <w:rPr>
          <w:rFonts w:ascii="Times New Roman" w:hAnsi="Times New Roman"/>
          <w:b/>
          <w:caps w:val="false"/>
          <w:smallCaps w:val="false"/>
          <w:sz w:val="20"/>
          <w:u w:val="single"/>
        </w:rPr>
        <w:t>..... Application of Funds</w:t>
      </w:r>
      <w:r>
        <w:rPr>
          <w:rFonts w:ascii="Times New Roman" w:hAnsi="Times New Roman"/>
          <w:caps w:val="false"/>
          <w:smallCaps w:val="false"/>
          <w:sz w:val="20"/>
          <w:u w:val="single"/>
        </w:rPr>
        <w:t>................................... 116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IX.       </w:t>
      </w:r>
      <w:r>
        <w:rPr>
          <w:rFonts w:ascii="Times New Roman" w:hAnsi="Times New Roman"/>
          <w:b/>
          <w:caps w:val="false"/>
          <w:smallCaps w:val="false"/>
          <w:sz w:val="20"/>
          <w:u w:val="single"/>
        </w:rPr>
        <w:t>ADMINISTRATIVE AGENT</w:t>
      </w:r>
      <w:r>
        <w:rPr>
          <w:rFonts w:ascii="Times New Roman" w:hAnsi="Times New Roman"/>
          <w:caps w:val="false"/>
          <w:smallCaps w:val="false"/>
          <w:sz w:val="20"/>
          <w:u w:val="single"/>
        </w:rPr>
        <w:t>................................. 117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9.01</w:t>
      </w:r>
      <w:r>
        <w:rPr>
          <w:rFonts w:ascii="Times New Roman" w:hAnsi="Times New Roman"/>
          <w:b/>
          <w:caps w:val="false"/>
          <w:smallCaps w:val="false"/>
          <w:sz w:val="20"/>
          <w:u w:val="single"/>
        </w:rPr>
        <w:t>..... Appointment and Authority</w:t>
      </w:r>
      <w:r>
        <w:rPr>
          <w:rFonts w:ascii="Times New Roman" w:hAnsi="Times New Roman"/>
          <w:caps w:val="false"/>
          <w:smallCaps w:val="false"/>
          <w:sz w:val="20"/>
          <w:u w:val="single"/>
        </w:rPr>
        <w:t>........................ 117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9.02</w:t>
      </w:r>
      <w:r>
        <w:rPr>
          <w:rFonts w:ascii="Times New Roman" w:hAnsi="Times New Roman"/>
          <w:b/>
          <w:caps w:val="false"/>
          <w:smallCaps w:val="false"/>
          <w:sz w:val="20"/>
          <w:u w:val="single"/>
        </w:rPr>
        <w:t>..... Rights as a Lender</w:t>
      </w:r>
      <w:r>
        <w:rPr>
          <w:rFonts w:ascii="Times New Roman" w:hAnsi="Times New Roman"/>
          <w:caps w:val="false"/>
          <w:smallCaps w:val="false"/>
          <w:sz w:val="20"/>
          <w:u w:val="single"/>
        </w:rPr>
        <w:t>....................................... 118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9.03</w:t>
      </w:r>
      <w:r>
        <w:rPr>
          <w:rFonts w:ascii="Times New Roman" w:hAnsi="Times New Roman"/>
          <w:b/>
          <w:caps w:val="false"/>
          <w:smallCaps w:val="false"/>
          <w:sz w:val="20"/>
          <w:u w:val="single"/>
        </w:rPr>
        <w:t>..... Exculpatory Provisions</w:t>
      </w:r>
      <w:r>
        <w:rPr>
          <w:rFonts w:ascii="Times New Roman" w:hAnsi="Times New Roman"/>
          <w:caps w:val="false"/>
          <w:smallCaps w:val="false"/>
          <w:sz w:val="20"/>
          <w:u w:val="single"/>
        </w:rPr>
        <w:t>................................ 118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9.04</w:t>
      </w:r>
      <w:r>
        <w:rPr>
          <w:rFonts w:ascii="Times New Roman" w:hAnsi="Times New Roman"/>
          <w:b/>
          <w:caps w:val="false"/>
          <w:smallCaps w:val="false"/>
          <w:sz w:val="20"/>
          <w:u w:val="single"/>
        </w:rPr>
        <w:t>..... Reliance by Administrative Agent</w:t>
      </w:r>
      <w:r>
        <w:rPr>
          <w:rFonts w:ascii="Times New Roman" w:hAnsi="Times New Roman"/>
          <w:caps w:val="false"/>
          <w:smallCaps w:val="false"/>
          <w:sz w:val="20"/>
          <w:u w:val="single"/>
        </w:rPr>
        <w:t>............... 119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9.05</w:t>
      </w:r>
      <w:r>
        <w:rPr>
          <w:rFonts w:ascii="Times New Roman" w:hAnsi="Times New Roman"/>
          <w:b/>
          <w:caps w:val="false"/>
          <w:smallCaps w:val="false"/>
          <w:sz w:val="20"/>
          <w:u w:val="single"/>
        </w:rPr>
        <w:t>..... Delegation of Duties</w:t>
      </w:r>
      <w:r>
        <w:rPr>
          <w:rFonts w:ascii="Times New Roman" w:hAnsi="Times New Roman"/>
          <w:caps w:val="false"/>
          <w:smallCaps w:val="false"/>
          <w:sz w:val="20"/>
          <w:u w:val="single"/>
        </w:rPr>
        <w:t>..................................... 120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9.06</w:t>
      </w:r>
      <w:r>
        <w:rPr>
          <w:rFonts w:ascii="Times New Roman" w:hAnsi="Times New Roman"/>
          <w:b/>
          <w:caps w:val="false"/>
          <w:smallCaps w:val="false"/>
          <w:sz w:val="20"/>
          <w:u w:val="single"/>
        </w:rPr>
        <w:t>..... Resignation of Administrative Agent</w:t>
      </w:r>
      <w:r>
        <w:rPr>
          <w:rFonts w:ascii="Times New Roman" w:hAnsi="Times New Roman"/>
          <w:caps w:val="false"/>
          <w:smallCaps w:val="false"/>
          <w:sz w:val="20"/>
          <w:u w:val="single"/>
        </w:rPr>
        <w:t>........... 120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9.07</w:t>
      </w:r>
      <w:r>
        <w:rPr>
          <w:rFonts w:ascii="Times New Roman" w:hAnsi="Times New Roman"/>
          <w:b/>
          <w:caps w:val="false"/>
          <w:smallCaps w:val="false"/>
          <w:sz w:val="20"/>
          <w:u w:val="single"/>
        </w:rPr>
        <w:t>..... Non-Reliance on Administrative Agent and Other Lenders</w:t>
      </w:r>
      <w:r>
        <w:rPr>
          <w:rFonts w:ascii="Times New Roman" w:hAnsi="Times New Roman"/>
          <w:caps w:val="false"/>
          <w:smallCaps w:val="false"/>
          <w:sz w:val="20"/>
          <w:u w:val="single"/>
        </w:rPr>
        <w:t>............................................. 121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9.08</w:t>
      </w:r>
      <w:r>
        <w:rPr>
          <w:rFonts w:ascii="Times New Roman" w:hAnsi="Times New Roman"/>
          <w:b/>
          <w:caps w:val="false"/>
          <w:smallCaps w:val="false"/>
          <w:sz w:val="20"/>
          <w:u w:val="single"/>
        </w:rPr>
        <w:t>..... No Other Duties, Etc</w:t>
      </w:r>
      <w:r>
        <w:rPr>
          <w:rFonts w:ascii="Times New Roman" w:hAnsi="Times New Roman"/>
          <w:caps w:val="false"/>
          <w:smallCaps w:val="false"/>
          <w:sz w:val="20"/>
          <w:u w:val="single"/>
        </w:rPr>
        <w:t>................................... 122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9.09</w:t>
      </w:r>
      <w:r>
        <w:rPr>
          <w:rFonts w:ascii="Times New Roman" w:hAnsi="Times New Roman"/>
          <w:b/>
          <w:caps w:val="false"/>
          <w:smallCaps w:val="false"/>
          <w:sz w:val="20"/>
          <w:u w:val="single"/>
        </w:rPr>
        <w:t>..... Administrative Agent May File Proofs of Claim; Credit Bidding</w:t>
      </w:r>
      <w:r>
        <w:rPr>
          <w:rFonts w:ascii="Times New Roman" w:hAnsi="Times New Roman"/>
          <w:caps w:val="false"/>
          <w:smallCaps w:val="false"/>
          <w:sz w:val="20"/>
          <w:u w:val="single"/>
        </w:rPr>
        <w:t>............................................. 122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9.10</w:t>
      </w:r>
      <w:r>
        <w:rPr>
          <w:rFonts w:ascii="Times New Roman" w:hAnsi="Times New Roman"/>
          <w:b/>
          <w:caps w:val="false"/>
          <w:smallCaps w:val="false"/>
          <w:sz w:val="20"/>
          <w:u w:val="single"/>
        </w:rPr>
        <w:t>..... Collateral and Guaranty Matters</w:t>
      </w:r>
      <w:r>
        <w:rPr>
          <w:rFonts w:ascii="Times New Roman" w:hAnsi="Times New Roman"/>
          <w:caps w:val="false"/>
          <w:smallCaps w:val="false"/>
          <w:sz w:val="20"/>
          <w:u w:val="single"/>
        </w:rPr>
        <w:t>................ 123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9.11</w:t>
      </w:r>
      <w:r>
        <w:rPr>
          <w:rFonts w:ascii="Times New Roman" w:hAnsi="Times New Roman"/>
          <w:b/>
          <w:caps w:val="false"/>
          <w:smallCaps w:val="false"/>
          <w:sz w:val="20"/>
          <w:u w:val="single"/>
        </w:rPr>
        <w:t>..... Secured Cash Management Agreements and Secured Hedge Agreements</w:t>
      </w:r>
      <w:r>
        <w:rPr>
          <w:rFonts w:ascii="Times New Roman" w:hAnsi="Times New Roman"/>
          <w:caps w:val="false"/>
          <w:smallCaps w:val="false"/>
          <w:sz w:val="20"/>
          <w:u w:val="single"/>
        </w:rPr>
        <w:t>......................... 124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9.12</w:t>
      </w:r>
      <w:r>
        <w:rPr>
          <w:rFonts w:ascii="Times New Roman" w:hAnsi="Times New Roman"/>
          <w:b/>
          <w:caps w:val="false"/>
          <w:smallCaps w:val="false"/>
          <w:sz w:val="20"/>
          <w:u w:val="single"/>
        </w:rPr>
        <w:t>..... Certain ERISA Matters</w:t>
      </w:r>
      <w:r>
        <w:rPr>
          <w:rFonts w:ascii="Times New Roman" w:hAnsi="Times New Roman"/>
          <w:caps w:val="false"/>
          <w:smallCaps w:val="false"/>
          <w:sz w:val="20"/>
          <w:u w:val="single"/>
        </w:rPr>
        <w:t>............................... 125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9.13</w:t>
      </w:r>
      <w:r>
        <w:rPr>
          <w:rFonts w:ascii="Times New Roman" w:hAnsi="Times New Roman"/>
          <w:b/>
          <w:caps w:val="false"/>
          <w:smallCaps w:val="false"/>
          <w:sz w:val="20"/>
          <w:u w:val="single"/>
        </w:rPr>
        <w:t>..... Recovery of Erroneous Payments</w:t>
      </w:r>
      <w:r>
        <w:rPr>
          <w:rFonts w:ascii="Times New Roman" w:hAnsi="Times New Roman"/>
          <w:caps w:val="false"/>
          <w:smallCaps w:val="false"/>
          <w:sz w:val="20"/>
          <w:u w:val="single"/>
        </w:rPr>
        <w:t>................ 126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9.14</w:t>
      </w:r>
      <w:r>
        <w:rPr>
          <w:rFonts w:ascii="Times New Roman" w:hAnsi="Times New Roman"/>
          <w:b/>
          <w:caps w:val="false"/>
          <w:smallCaps w:val="false"/>
          <w:sz w:val="20"/>
          <w:u w:val="single"/>
        </w:rPr>
        <w:t>..... Holdings Guaranty and Holdings Pledge Agreement</w:t>
      </w:r>
      <w:r>
        <w:rPr>
          <w:rFonts w:ascii="Times New Roman" w:hAnsi="Times New Roman"/>
          <w:caps w:val="false"/>
          <w:smallCaps w:val="false"/>
          <w:sz w:val="20"/>
          <w:u w:val="single"/>
        </w:rPr>
        <w:t>................................................... 126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9.15</w:t>
      </w:r>
      <w:r>
        <w:rPr>
          <w:rFonts w:ascii="Times New Roman" w:hAnsi="Times New Roman"/>
          <w:b/>
          <w:caps w:val="false"/>
          <w:smallCaps w:val="false"/>
          <w:sz w:val="20"/>
          <w:u w:val="single"/>
        </w:rPr>
        <w:t>..... Specified Declining Secured Parties.</w:t>
      </w:r>
      <w:r>
        <w:rPr>
          <w:rFonts w:ascii="Times New Roman" w:hAnsi="Times New Roman"/>
          <w:caps w:val="false"/>
          <w:smallCaps w:val="false"/>
          <w:sz w:val="20"/>
          <w:u w:val="single"/>
        </w:rPr>
        <w:t>............ 127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X.        </w:t>
      </w:r>
      <w:r>
        <w:rPr>
          <w:rFonts w:ascii="Times New Roman" w:hAnsi="Times New Roman"/>
          <w:b/>
          <w:caps w:val="false"/>
          <w:smallCaps w:val="false"/>
          <w:sz w:val="20"/>
          <w:u w:val="single"/>
        </w:rPr>
        <w:t>CONTINUING GUARANTY</w:t>
      </w:r>
      <w:r>
        <w:rPr>
          <w:rFonts w:ascii="Times New Roman" w:hAnsi="Times New Roman"/>
          <w:caps w:val="false"/>
          <w:smallCaps w:val="false"/>
          <w:sz w:val="20"/>
          <w:u w:val="single"/>
        </w:rPr>
        <w:t>.................................. 127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10.01</w:t>
      </w:r>
      <w:r>
        <w:rPr>
          <w:rFonts w:ascii="Times New Roman" w:hAnsi="Times New Roman"/>
          <w:b/>
          <w:caps w:val="false"/>
          <w:smallCaps w:val="false"/>
          <w:sz w:val="20"/>
          <w:u w:val="single"/>
        </w:rPr>
        <w:t>... Guaranty</w:t>
      </w:r>
      <w:r>
        <w:rPr>
          <w:rFonts w:ascii="Times New Roman" w:hAnsi="Times New Roman"/>
          <w:caps w:val="false"/>
          <w:smallCaps w:val="false"/>
          <w:sz w:val="20"/>
          <w:u w:val="single"/>
        </w:rPr>
        <w:t>..................................................... 127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10.02</w:t>
      </w:r>
      <w:r>
        <w:rPr>
          <w:rFonts w:ascii="Times New Roman" w:hAnsi="Times New Roman"/>
          <w:b/>
          <w:caps w:val="false"/>
          <w:smallCaps w:val="false"/>
          <w:sz w:val="20"/>
          <w:u w:val="single"/>
        </w:rPr>
        <w:t>... Rights of Lenders</w:t>
      </w:r>
      <w:r>
        <w:rPr>
          <w:rFonts w:ascii="Times New Roman" w:hAnsi="Times New Roman"/>
          <w:caps w:val="false"/>
          <w:smallCaps w:val="false"/>
          <w:sz w:val="20"/>
          <w:u w:val="single"/>
        </w:rPr>
        <w:t>........................................ 127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10.03</w:t>
      </w:r>
      <w:r>
        <w:rPr>
          <w:rFonts w:ascii="Times New Roman" w:hAnsi="Times New Roman"/>
          <w:b/>
          <w:caps w:val="false"/>
          <w:smallCaps w:val="false"/>
          <w:sz w:val="20"/>
          <w:u w:val="single"/>
        </w:rPr>
        <w:t>... Certain Waivers</w:t>
      </w:r>
      <w:r>
        <w:rPr>
          <w:rFonts w:ascii="Times New Roman" w:hAnsi="Times New Roman"/>
          <w:caps w:val="false"/>
          <w:smallCaps w:val="false"/>
          <w:sz w:val="20"/>
          <w:u w:val="single"/>
        </w:rPr>
        <w:t>.......................................... 128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10.04</w:t>
      </w:r>
      <w:r>
        <w:rPr>
          <w:rFonts w:ascii="Times New Roman" w:hAnsi="Times New Roman"/>
          <w:b/>
          <w:caps w:val="false"/>
          <w:smallCaps w:val="false"/>
          <w:sz w:val="20"/>
          <w:u w:val="single"/>
        </w:rPr>
        <w:t>... Obligations Independent</w:t>
      </w:r>
      <w:r>
        <w:rPr>
          <w:rFonts w:ascii="Times New Roman" w:hAnsi="Times New Roman"/>
          <w:caps w:val="false"/>
          <w:smallCaps w:val="false"/>
          <w:sz w:val="20"/>
          <w:u w:val="single"/>
        </w:rPr>
        <w:t>............................. 128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10.05</w:t>
      </w:r>
      <w:r>
        <w:rPr>
          <w:rFonts w:ascii="Times New Roman" w:hAnsi="Times New Roman"/>
          <w:b/>
          <w:caps w:val="false"/>
          <w:smallCaps w:val="false"/>
          <w:sz w:val="20"/>
          <w:u w:val="single"/>
        </w:rPr>
        <w:t>... Subrogation</w:t>
      </w:r>
      <w:r>
        <w:rPr>
          <w:rFonts w:ascii="Times New Roman" w:hAnsi="Times New Roman"/>
          <w:caps w:val="false"/>
          <w:smallCaps w:val="false"/>
          <w:sz w:val="20"/>
          <w:u w:val="single"/>
        </w:rPr>
        <w:t>................................................. 128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10.06</w:t>
      </w:r>
      <w:r>
        <w:rPr>
          <w:rFonts w:ascii="Times New Roman" w:hAnsi="Times New Roman"/>
          <w:b/>
          <w:caps w:val="false"/>
          <w:smallCaps w:val="false"/>
          <w:sz w:val="20"/>
          <w:u w:val="single"/>
        </w:rPr>
        <w:t>... Termination; Reinstatement</w:t>
      </w:r>
      <w:r>
        <w:rPr>
          <w:rFonts w:ascii="Times New Roman" w:hAnsi="Times New Roman"/>
          <w:caps w:val="false"/>
          <w:smallCaps w:val="false"/>
          <w:sz w:val="20"/>
          <w:u w:val="single"/>
        </w:rPr>
        <w:t>........................ 128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10.07</w:t>
      </w:r>
      <w:r>
        <w:rPr>
          <w:rFonts w:ascii="Times New Roman" w:hAnsi="Times New Roman"/>
          <w:b/>
          <w:caps w:val="false"/>
          <w:smallCaps w:val="false"/>
          <w:sz w:val="20"/>
          <w:u w:val="single"/>
        </w:rPr>
        <w:t>... Stay of Acceleration</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10.08</w:t>
      </w:r>
      <w:r>
        <w:rPr>
          <w:rFonts w:ascii="Times New Roman" w:hAnsi="Times New Roman"/>
          <w:b/>
          <w:caps w:val="false"/>
          <w:smallCaps w:val="false"/>
          <w:sz w:val="20"/>
          <w:u w:val="single"/>
        </w:rPr>
        <w:t>... Condition of Borrower</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10.09</w:t>
      </w:r>
      <w:r>
        <w:rPr>
          <w:rFonts w:ascii="Times New Roman" w:hAnsi="Times New Roman"/>
          <w:b/>
          <w:caps w:val="false"/>
          <w:smallCaps w:val="false"/>
          <w:sz w:val="20"/>
          <w:u w:val="single"/>
        </w:rPr>
        <w:t>... Appointment of Borrower</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10.10</w:t>
      </w:r>
      <w:r>
        <w:rPr>
          <w:rFonts w:ascii="Times New Roman" w:hAnsi="Times New Roman"/>
          <w:b/>
          <w:caps w:val="false"/>
          <w:smallCaps w:val="false"/>
          <w:sz w:val="20"/>
          <w:u w:val="single"/>
        </w:rPr>
        <w:t>... Right of Contribution</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10.11</w:t>
      </w:r>
      <w:r>
        <w:rPr>
          <w:rFonts w:ascii="Times New Roman" w:hAnsi="Times New Roman"/>
          <w:b/>
          <w:caps w:val="false"/>
          <w:smallCaps w:val="false"/>
          <w:sz w:val="20"/>
          <w:u w:val="single"/>
        </w:rPr>
        <w:t>... Keepwell</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XI.       </w:t>
      </w:r>
      <w:r>
        <w:rPr>
          <w:rFonts w:ascii="Times New Roman" w:hAnsi="Times New Roman"/>
          <w:b/>
          <w:caps w:val="false"/>
          <w:smallCaps w:val="false"/>
          <w:sz w:val="20"/>
          <w:u w:val="single"/>
        </w:rPr>
        <w:t>MISCELLANEOUS</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11.01</w:t>
      </w:r>
      <w:r>
        <w:rPr>
          <w:rFonts w:ascii="Times New Roman" w:hAnsi="Times New Roman"/>
          <w:b/>
          <w:caps w:val="false"/>
          <w:smallCaps w:val="false"/>
          <w:sz w:val="20"/>
          <w:u w:val="single"/>
        </w:rPr>
        <w:t>... Amendments, Etc</w:t>
      </w:r>
      <w:r>
        <w:rPr>
          <w:rFonts w:ascii="Times New Roman" w:hAnsi="Times New Roman"/>
          <w:caps w:val="false"/>
          <w:smallCaps w:val="false"/>
          <w:sz w:val="20"/>
          <w:u w:val="single"/>
        </w:rPr>
        <w:t>........................................ 129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11.02</w:t>
      </w:r>
      <w:r>
        <w:rPr>
          <w:rFonts w:ascii="Times New Roman" w:hAnsi="Times New Roman"/>
          <w:b/>
          <w:caps w:val="false"/>
          <w:smallCaps w:val="false"/>
          <w:sz w:val="20"/>
          <w:u w:val="single"/>
        </w:rPr>
        <w:t>... Notices; Effectiveness; Electronic Communications</w:t>
      </w:r>
      <w:r>
        <w:rPr>
          <w:rFonts w:ascii="Times New Roman" w:hAnsi="Times New Roman"/>
          <w:caps w:val="false"/>
          <w:smallCaps w:val="false"/>
          <w:sz w:val="20"/>
          <w:u w:val="single"/>
        </w:rPr>
        <w:t>.......................................... 132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11.03</w:t>
      </w:r>
      <w:r>
        <w:rPr>
          <w:rFonts w:ascii="Times New Roman" w:hAnsi="Times New Roman"/>
          <w:b/>
          <w:caps w:val="false"/>
          <w:smallCaps w:val="false"/>
          <w:sz w:val="20"/>
          <w:u w:val="single"/>
        </w:rPr>
        <w:t>... No Waiver; Cumulative Remedies; Enforcement</w:t>
      </w:r>
      <w:r>
        <w:rPr>
          <w:rFonts w:ascii="Times New Roman" w:hAnsi="Times New Roman"/>
          <w:caps w:val="false"/>
          <w:smallCaps w:val="false"/>
          <w:sz w:val="20"/>
          <w:u w:val="single"/>
        </w:rPr>
        <w:t>................................................ 134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11.04</w:t>
      </w:r>
      <w:r>
        <w:rPr>
          <w:rFonts w:ascii="Times New Roman" w:hAnsi="Times New Roman"/>
          <w:b/>
          <w:caps w:val="false"/>
          <w:smallCaps w:val="false"/>
          <w:sz w:val="20"/>
          <w:u w:val="single"/>
        </w:rPr>
        <w:t>... Expenses; Indemnity; Damage Waiver</w:t>
      </w:r>
      <w:r>
        <w:rPr>
          <w:rFonts w:ascii="Times New Roman" w:hAnsi="Times New Roman"/>
          <w:caps w:val="false"/>
          <w:smallCaps w:val="false"/>
          <w:sz w:val="20"/>
          <w:u w:val="single"/>
        </w:rPr>
        <w:t>........ 135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11.05</w:t>
      </w:r>
      <w:r>
        <w:rPr>
          <w:rFonts w:ascii="Times New Roman" w:hAnsi="Times New Roman"/>
          <w:b/>
          <w:caps w:val="false"/>
          <w:smallCaps w:val="false"/>
          <w:sz w:val="20"/>
          <w:u w:val="single"/>
        </w:rPr>
        <w:t>... Payments Set Aside</w:t>
      </w:r>
      <w:r>
        <w:rPr>
          <w:rFonts w:ascii="Times New Roman" w:hAnsi="Times New Roman"/>
          <w:caps w:val="false"/>
          <w:smallCaps w:val="false"/>
          <w:sz w:val="20"/>
          <w:u w:val="single"/>
        </w:rPr>
        <w:t>...................................... 137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11.06</w:t>
      </w:r>
      <w:r>
        <w:rPr>
          <w:rFonts w:ascii="Times New Roman" w:hAnsi="Times New Roman"/>
          <w:b/>
          <w:caps w:val="false"/>
          <w:smallCaps w:val="false"/>
          <w:sz w:val="20"/>
          <w:u w:val="single"/>
        </w:rPr>
        <w:t>... Successors and Assigns</w:t>
      </w:r>
      <w:r>
        <w:rPr>
          <w:rFonts w:ascii="Times New Roman" w:hAnsi="Times New Roman"/>
          <w:caps w:val="false"/>
          <w:smallCaps w:val="false"/>
          <w:sz w:val="20"/>
          <w:u w:val="single"/>
        </w:rPr>
        <w:t>................................ 137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11.07</w:t>
      </w:r>
      <w:r>
        <w:rPr>
          <w:rFonts w:ascii="Times New Roman" w:hAnsi="Times New Roman"/>
          <w:b/>
          <w:caps w:val="false"/>
          <w:smallCaps w:val="false"/>
          <w:sz w:val="20"/>
          <w:u w:val="single"/>
        </w:rPr>
        <w:t>... Treatment of Certain Information; Confidentiality</w:t>
      </w:r>
      <w:r>
        <w:rPr>
          <w:rFonts w:ascii="Times New Roman" w:hAnsi="Times New Roman"/>
          <w:caps w:val="false"/>
          <w:smallCaps w:val="false"/>
          <w:sz w:val="20"/>
          <w:u w:val="single"/>
        </w:rPr>
        <w:t>............................................. 143</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11.08</w:t>
      </w:r>
      <w:r>
        <w:rPr>
          <w:rFonts w:ascii="Times New Roman" w:hAnsi="Times New Roman"/>
          <w:b/>
          <w:caps w:val="false"/>
          <w:smallCaps w:val="false"/>
          <w:sz w:val="20"/>
          <w:u w:val="single"/>
        </w:rPr>
        <w:t>... Right of Setoff</w:t>
      </w:r>
      <w:r>
        <w:rPr>
          <w:rFonts w:ascii="Times New Roman" w:hAnsi="Times New Roman"/>
          <w:caps w:val="false"/>
          <w:smallCaps w:val="false"/>
          <w:sz w:val="20"/>
          <w:u w:val="single"/>
        </w:rPr>
        <w:t>............................................. 144</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11.09</w:t>
      </w:r>
      <w:r>
        <w:rPr>
          <w:rFonts w:ascii="Times New Roman" w:hAnsi="Times New Roman"/>
          <w:b/>
          <w:caps w:val="false"/>
          <w:smallCaps w:val="false"/>
          <w:sz w:val="20"/>
          <w:u w:val="single"/>
        </w:rPr>
        <w:t>... Interest Rate Limitation</w:t>
      </w:r>
      <w:r>
        <w:rPr>
          <w:rFonts w:ascii="Times New Roman" w:hAnsi="Times New Roman"/>
          <w:caps w:val="false"/>
          <w:smallCaps w:val="false"/>
          <w:sz w:val="20"/>
          <w:u w:val="single"/>
        </w:rPr>
        <w:t>.............................. 145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11.10</w:t>
      </w:r>
      <w:r>
        <w:rPr>
          <w:rFonts w:ascii="Times New Roman" w:hAnsi="Times New Roman"/>
          <w:b/>
          <w:caps w:val="false"/>
          <w:smallCaps w:val="false"/>
          <w:sz w:val="20"/>
          <w:u w:val="single"/>
        </w:rPr>
        <w:t>... Integration; Effectiveness</w:t>
      </w:r>
      <w:r>
        <w:rPr>
          <w:rFonts w:ascii="Times New Roman" w:hAnsi="Times New Roman"/>
          <w:caps w:val="false"/>
          <w:smallCaps w:val="false"/>
          <w:sz w:val="20"/>
          <w:u w:val="single"/>
        </w:rPr>
        <w:t>............................ 145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11.11</w:t>
      </w:r>
      <w:r>
        <w:rPr>
          <w:rFonts w:ascii="Times New Roman" w:hAnsi="Times New Roman"/>
          <w:b/>
          <w:caps w:val="false"/>
          <w:smallCaps w:val="false"/>
          <w:sz w:val="20"/>
          <w:u w:val="single"/>
        </w:rPr>
        <w:t>... Survival of Representations and Warranties</w:t>
      </w:r>
      <w:r>
        <w:rPr>
          <w:rFonts w:ascii="Times New Roman" w:hAnsi="Times New Roman"/>
          <w:caps w:val="false"/>
          <w:smallCaps w:val="false"/>
          <w:sz w:val="20"/>
          <w:u w:val="single"/>
        </w:rPr>
        <w:t xml:space="preserve"> 145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11.12</w:t>
      </w:r>
      <w:r>
        <w:rPr>
          <w:rFonts w:ascii="Times New Roman" w:hAnsi="Times New Roman"/>
          <w:b/>
          <w:caps w:val="false"/>
          <w:smallCaps w:val="false"/>
          <w:sz w:val="20"/>
          <w:u w:val="single"/>
        </w:rPr>
        <w:t>... Severability</w:t>
      </w:r>
      <w:r>
        <w:rPr>
          <w:rFonts w:ascii="Times New Roman" w:hAnsi="Times New Roman"/>
          <w:caps w:val="false"/>
          <w:smallCaps w:val="false"/>
          <w:sz w:val="20"/>
          <w:u w:val="single"/>
        </w:rPr>
        <w:t>.................................................. 145</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11.13</w:t>
      </w:r>
      <w:r>
        <w:rPr>
          <w:rFonts w:ascii="Times New Roman" w:hAnsi="Times New Roman"/>
          <w:b/>
          <w:caps w:val="false"/>
          <w:smallCaps w:val="false"/>
          <w:sz w:val="20"/>
          <w:u w:val="single"/>
        </w:rPr>
        <w:t>... Replacement of Lenders</w:t>
      </w:r>
      <w:r>
        <w:rPr>
          <w:rFonts w:ascii="Times New Roman" w:hAnsi="Times New Roman"/>
          <w:caps w:val="false"/>
          <w:smallCaps w:val="false"/>
          <w:sz w:val="20"/>
          <w:u w:val="single"/>
        </w:rPr>
        <w:t>.............................. 146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11.14</w:t>
      </w:r>
      <w:r>
        <w:rPr>
          <w:rFonts w:ascii="Times New Roman" w:hAnsi="Times New Roman"/>
          <w:b/>
          <w:caps w:val="false"/>
          <w:smallCaps w:val="false"/>
          <w:sz w:val="20"/>
          <w:u w:val="single"/>
        </w:rPr>
        <w:t>... Governing Law; Jurisdiction; Etc</w:t>
      </w:r>
      <w:r>
        <w:rPr>
          <w:rFonts w:ascii="Times New Roman" w:hAnsi="Times New Roman"/>
          <w:caps w:val="false"/>
          <w:smallCaps w:val="false"/>
          <w:sz w:val="20"/>
          <w:u w:val="single"/>
        </w:rPr>
        <w:t>............... 147</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11.15</w:t>
      </w:r>
      <w:r>
        <w:rPr>
          <w:rFonts w:ascii="Times New Roman" w:hAnsi="Times New Roman"/>
          <w:b/>
          <w:caps w:val="false"/>
          <w:smallCaps w:val="false"/>
          <w:sz w:val="20"/>
          <w:u w:val="single"/>
        </w:rPr>
        <w:t>... Waiver of Jury Trial</w:t>
      </w:r>
      <w:r>
        <w:rPr>
          <w:rFonts w:ascii="Times New Roman" w:hAnsi="Times New Roman"/>
          <w:caps w:val="false"/>
          <w:smallCaps w:val="false"/>
          <w:sz w:val="20"/>
          <w:u w:val="single"/>
        </w:rPr>
        <w:t>.................................... 148</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11.16</w:t>
      </w:r>
      <w:r>
        <w:rPr>
          <w:rFonts w:ascii="Times New Roman" w:hAnsi="Times New Roman"/>
          <w:b/>
          <w:caps w:val="false"/>
          <w:smallCaps w:val="false"/>
          <w:sz w:val="20"/>
          <w:u w:val="single"/>
        </w:rPr>
        <w:t>... Subordination</w:t>
      </w:r>
      <w:r>
        <w:rPr>
          <w:rFonts w:ascii="Times New Roman" w:hAnsi="Times New Roman"/>
          <w:caps w:val="false"/>
          <w:smallCaps w:val="false"/>
          <w:sz w:val="20"/>
          <w:u w:val="single"/>
        </w:rPr>
        <w:t>.............................................. 149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11.17</w:t>
      </w:r>
      <w:r>
        <w:rPr>
          <w:rFonts w:ascii="Times New Roman" w:hAnsi="Times New Roman"/>
          <w:b/>
          <w:caps w:val="false"/>
          <w:smallCaps w:val="false"/>
          <w:sz w:val="20"/>
          <w:u w:val="single"/>
        </w:rPr>
        <w:t>... No Advisory or Fiduciary Responsibility</w:t>
      </w:r>
      <w:r>
        <w:rPr>
          <w:rFonts w:ascii="Times New Roman" w:hAnsi="Times New Roman"/>
          <w:caps w:val="false"/>
          <w:smallCaps w:val="false"/>
          <w:sz w:val="20"/>
          <w:u w:val="single"/>
        </w:rPr>
        <w:t>..... 149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11.18</w:t>
      </w:r>
      <w:r>
        <w:rPr>
          <w:rFonts w:ascii="Times New Roman" w:hAnsi="Times New Roman"/>
          <w:b/>
          <w:caps w:val="false"/>
          <w:smallCaps w:val="false"/>
          <w:sz w:val="20"/>
          <w:u w:val="single"/>
        </w:rPr>
        <w:t>... Electronic Execution; Electronic Records; Counterparts</w:t>
      </w:r>
      <w:r>
        <w:rPr>
          <w:rFonts w:ascii="Times New Roman" w:hAnsi="Times New Roman"/>
          <w:caps w:val="false"/>
          <w:smallCaps w:val="false"/>
          <w:sz w:val="20"/>
          <w:u w:val="single"/>
        </w:rPr>
        <w:t>............................................... 149</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11.19</w:t>
      </w:r>
      <w:r>
        <w:rPr>
          <w:rFonts w:ascii="Times New Roman" w:hAnsi="Times New Roman"/>
          <w:b/>
          <w:caps w:val="false"/>
          <w:smallCaps w:val="false"/>
          <w:sz w:val="20"/>
          <w:u w:val="single"/>
        </w:rPr>
        <w:t>... USA Patriot Act Notice</w:t>
      </w:r>
      <w:r>
        <w:rPr>
          <w:rFonts w:ascii="Times New Roman" w:hAnsi="Times New Roman"/>
          <w:caps w:val="false"/>
          <w:smallCaps w:val="false"/>
          <w:sz w:val="20"/>
          <w:u w:val="single"/>
        </w:rPr>
        <w:t>................................ 150</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11.20</w:t>
      </w:r>
      <w:r>
        <w:rPr>
          <w:rFonts w:ascii="Times New Roman" w:hAnsi="Times New Roman"/>
          <w:b/>
          <w:caps w:val="false"/>
          <w:smallCaps w:val="false"/>
          <w:sz w:val="20"/>
          <w:u w:val="single"/>
        </w:rPr>
        <w:t>... Acknowledgement and Consent to Bail-In of Affected Financial Institutions</w:t>
      </w:r>
      <w:r>
        <w:rPr>
          <w:rFonts w:ascii="Times New Roman" w:hAnsi="Times New Roman"/>
          <w:caps w:val="false"/>
          <w:smallCaps w:val="false"/>
          <w:sz w:val="20"/>
          <w:u w:val="single"/>
        </w:rPr>
        <w:t>..................... 151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11.21</w:t>
      </w:r>
      <w:r>
        <w:rPr>
          <w:rFonts w:ascii="Times New Roman" w:hAnsi="Times New Roman"/>
          <w:b/>
          <w:caps w:val="false"/>
          <w:smallCaps w:val="false"/>
          <w:sz w:val="20"/>
          <w:u w:val="single"/>
        </w:rPr>
        <w:t>... Acknowledgement Regarding Any Supported QFCs</w:t>
      </w:r>
      <w:r>
        <w:rPr>
          <w:rFonts w:ascii="Times New Roman" w:hAnsi="Times New Roman"/>
          <w:caps w:val="false"/>
          <w:smallCaps w:val="false"/>
          <w:sz w:val="20"/>
          <w:u w:val="single"/>
        </w:rPr>
        <w:t>........................................................... 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Conformed Credit Agreement including First Amendment, Second Amendment, Third Amendment, Fourth Amendment and Fifth Amendment</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CREDIT AGREEMENT</w:t>
      </w:r>
      <w:r>
        <w:rPr>
          <w:rFonts w:ascii="Times New Roman" w:hAnsi="Times New Roman"/>
          <w:caps w:val="false"/>
          <w:smallCaps w:val="false"/>
          <w:sz w:val="20"/>
        </w:rPr>
        <w:t xml:space="preserve"> is entered into as of June 30, 2023, among </w:t>
      </w:r>
      <w:r>
        <w:rPr>
          <w:rFonts w:ascii="Times New Roman" w:hAnsi="Times New Roman"/>
          <w:b/>
          <w:caps w:val="false"/>
          <w:smallCaps w:val="false"/>
          <w:sz w:val="20"/>
        </w:rPr>
        <w:t>FOUR TWENTY CORPORATION</w:t>
      </w:r>
      <w:r>
        <w:rPr>
          <w:rFonts w:ascii="Times New Roman" w:hAnsi="Times New Roman"/>
          <w:caps w:val="false"/>
          <w:smallCaps w:val="false"/>
          <w:sz w:val="20"/>
        </w:rPr>
        <w:t>, a Delaware corporation (the “</w:t>
      </w:r>
      <w:r>
        <w:rPr>
          <w:rFonts w:ascii="Times New Roman" w:hAnsi="Times New Roman"/>
          <w:b/>
          <w:i/>
          <w:caps w:val="false"/>
          <w:smallCaps w:val="false"/>
          <w:sz w:val="20"/>
        </w:rPr>
        <w:t>Borrower</w:t>
      </w:r>
      <w:r>
        <w:rPr>
          <w:rFonts w:ascii="Times New Roman" w:hAnsi="Times New Roman"/>
          <w:caps w:val="false"/>
          <w:smallCaps w:val="false"/>
          <w:sz w:val="20"/>
        </w:rPr>
        <w:t xml:space="preserve">”), the Guarantors (defined herein), the Lenders (defined herein), and </w:t>
      </w:r>
      <w:r>
        <w:rPr>
          <w:rFonts w:ascii="Times New Roman" w:hAnsi="Times New Roman"/>
          <w:b/>
          <w:caps w:val="false"/>
          <w:smallCaps w:val="false"/>
          <w:sz w:val="20"/>
        </w:rPr>
        <w:t>BANK OF AMERICA, N.A.</w:t>
      </w:r>
      <w:r>
        <w:rPr>
          <w:rFonts w:ascii="Times New Roman" w:hAnsi="Times New Roman"/>
          <w:caps w:val="false"/>
          <w:smallCaps w:val="false"/>
          <w:sz w:val="20"/>
        </w:rPr>
        <w:t>, as Administrative Agent, Swingline Lender and L/C Issuer.</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PRELIMINARY STATEMENTS: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Loan Parties (as hereinafter defined) have requested that the Lenders, the Swingline Lender and the L/C Issuer make loans and other financial accommodations to the Loan Parties.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Lenders, the Swingline Lender and the L/C Issuer have agreed to make such loans and other financial accommodations to the Loan Parties on the terms and subject to the conditions set forth herein.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NOW</w:t>
      </w:r>
      <w:r>
        <w:rPr>
          <w:rFonts w:ascii="Times New Roman" w:hAnsi="Times New Roman"/>
          <w:caps w:val="false"/>
          <w:smallCaps w:val="false"/>
          <w:sz w:val="20"/>
        </w:rPr>
        <w:t xml:space="preserve"> </w:t>
      </w:r>
      <w:r>
        <w:rPr>
          <w:rFonts w:ascii="Times New Roman" w:hAnsi="Times New Roman"/>
          <w:b/>
          <w:caps w:val="false"/>
          <w:smallCaps w:val="false"/>
          <w:sz w:val="20"/>
        </w:rPr>
        <w:t>THEREFORE</w:t>
      </w:r>
      <w:r>
        <w:rPr>
          <w:rFonts w:ascii="Times New Roman" w:hAnsi="Times New Roman"/>
          <w:caps w:val="false"/>
          <w:smallCaps w:val="false"/>
          <w:sz w:val="20"/>
        </w:rPr>
        <w:t>, in consideration of the mutual covenants and agreements herein contained,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25"/>
        <w:gridCol w:w="38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3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DEFINITIONS AND ACCOUNTING TERMS</w:t>
            </w:r>
            <w:r>
              <w:rPr>
                <w:rFonts w:ascii="Times New Roman" w:hAnsi="Times New Roman"/>
                <w:caps w:val="false"/>
                <w:smallCaps w:val="false"/>
                <w:sz w:val="20"/>
              </w:rPr>
              <w:t>.</w:t>
            </w:r>
          </w:p>
        </w:tc>
      </w:tr>
    </w:tbl>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Defined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As used in this Agreement, the following terms shall have the meanings set forth below: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Acquisition</w:t>
      </w:r>
      <w:r>
        <w:rPr>
          <w:rFonts w:ascii="Times New Roman" w:hAnsi="Times New Roman"/>
          <w:caps w:val="false"/>
          <w:smallCaps w:val="false"/>
          <w:sz w:val="20"/>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Additional Secured Obligations</w:t>
      </w:r>
      <w:r>
        <w:rPr>
          <w:rFonts w:ascii="Times New Roman" w:hAnsi="Times New Roman"/>
          <w:caps w:val="false"/>
          <w:smallCaps w:val="false"/>
          <w:sz w:val="20"/>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hAnsi="Times New Roman"/>
          <w:i/>
          <w:caps w:val="false"/>
          <w:smallCaps w:val="false"/>
          <w:sz w:val="20"/>
        </w:rPr>
        <w:t>provided</w:t>
      </w:r>
      <w:r>
        <w:rPr>
          <w:rFonts w:ascii="Times New Roman" w:hAnsi="Times New Roman"/>
          <w:caps w:val="false"/>
          <w:smallCaps w:val="false"/>
          <w:sz w:val="20"/>
        </w:rPr>
        <w:t xml:space="preserve"> that Additional Secured Obligations of a Guarantor shall exclude any Excluded Swap Obligations with respect to such Guarantor.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Administrative Agent</w:t>
      </w:r>
      <w:r>
        <w:rPr>
          <w:rFonts w:ascii="Times New Roman" w:hAnsi="Times New Roman"/>
          <w:caps w:val="false"/>
          <w:smallCaps w:val="false"/>
          <w:sz w:val="20"/>
        </w:rPr>
        <w:t>” means Bank of America in its capacity as administrative agent under any of the Loan Documents, or any successor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Administrative Agent</w:t>
      </w:r>
      <w:r>
        <w:rPr>
          <w:rFonts w:ascii="Times New Roman" w:hAnsi="Times New Roman"/>
          <w:caps w:val="false"/>
          <w:smallCaps w:val="false"/>
          <w:sz w:val="20"/>
        </w:rPr>
        <w:t>’</w:t>
      </w:r>
      <w:r>
        <w:rPr>
          <w:rFonts w:ascii="Times New Roman" w:hAnsi="Times New Roman"/>
          <w:b/>
          <w:i/>
          <w:caps w:val="false"/>
          <w:smallCaps w:val="false"/>
          <w:sz w:val="20"/>
        </w:rPr>
        <w:t>s Office</w:t>
      </w:r>
      <w:r>
        <w:rPr>
          <w:rFonts w:ascii="Times New Roman" w:hAnsi="Times New Roman"/>
          <w:caps w:val="false"/>
          <w:smallCaps w:val="false"/>
          <w:sz w:val="20"/>
        </w:rPr>
        <w:t xml:space="preserve">” means the Administrative Agent’s address and, as appropriate, account as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11.02</w:t>
      </w:r>
      <w:r>
        <w:rPr>
          <w:rFonts w:ascii="Times New Roman" w:hAnsi="Times New Roman"/>
          <w:caps w:val="false"/>
          <w:smallCaps w:val="false"/>
          <w:sz w:val="20"/>
        </w:rPr>
        <w:t>, or such other address or account as the Administrative Agent may from time to time notify the Borrower and the Lenders.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Administrative Questionnaire</w:t>
      </w:r>
      <w:r>
        <w:rPr>
          <w:rFonts w:ascii="Times New Roman" w:hAnsi="Times New Roman"/>
          <w:caps w:val="false"/>
          <w:smallCaps w:val="false"/>
          <w:sz w:val="20"/>
        </w:rPr>
        <w:t xml:space="preserve">” means an Administrative Questionnaire in substantially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11.06(b)(iv)</w:t>
      </w:r>
      <w:r>
        <w:rPr>
          <w:rFonts w:ascii="Times New Roman" w:hAnsi="Times New Roman"/>
          <w:caps w:val="false"/>
          <w:smallCaps w:val="false"/>
          <w:sz w:val="20"/>
        </w:rPr>
        <w:t xml:space="preserve"> or any other form approved by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Affected Financial Institution</w:t>
      </w:r>
      <w:r>
        <w:rPr>
          <w:rFonts w:ascii="Times New Roman" w:hAnsi="Times New Roman"/>
          <w:caps w:val="false"/>
          <w:smallCaps w:val="false"/>
          <w:sz w:val="20"/>
        </w:rPr>
        <w:t>” means (a) any EEA Financial Institution or (b) any UK Financial Institution.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means, with respect to a specified Person, another Person that directly, or indirectly through one (1) or more intermediaries, Controls or is Controlled by or is under common Control with the Person specified.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Agents</w:t>
      </w:r>
      <w:r>
        <w:rPr>
          <w:rFonts w:ascii="Times New Roman" w:hAnsi="Times New Roman"/>
          <w:caps w:val="false"/>
          <w:smallCaps w:val="false"/>
          <w:sz w:val="20"/>
        </w:rPr>
        <w:t>” means the Administrative Agent and the Documentation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Aggregate Delayed Draw Term Loan Commitments</w:t>
      </w:r>
      <w:r>
        <w:rPr>
          <w:rFonts w:ascii="Times New Roman" w:hAnsi="Times New Roman"/>
          <w:caps w:val="false"/>
          <w:smallCaps w:val="false"/>
          <w:sz w:val="20"/>
        </w:rPr>
        <w:t>” means the Delayed Draw Term Loan Commitments of all the Lenders. The Aggregate Delayed Draw Term Loan Commitments of all of the Delayed Draw Term Loan Lenders on the Fifth Amendment Effective Date shall be $0.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Aggregate Revolving Commitments</w:t>
      </w:r>
      <w:r>
        <w:rPr>
          <w:rFonts w:ascii="Times New Roman" w:hAnsi="Times New Roman"/>
          <w:caps w:val="false"/>
          <w:smallCaps w:val="false"/>
          <w:sz w:val="20"/>
        </w:rPr>
        <w:t>” means the Revolving Commitments of all the Lenders. The Aggregate Revolving Commitments of all of the Revolving Lenders shall be $25,000,000.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 means this Credit Agreement.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All-In Yield</w:t>
      </w:r>
      <w:r>
        <w:rPr>
          <w:rFonts w:ascii="Times New Roman" w:hAnsi="Times New Roman"/>
          <w:caps w:val="false"/>
          <w:smallCaps w:val="false"/>
          <w:sz w:val="20"/>
        </w:rPr>
        <w:t xml:space="preserve">” means, as to any Indebtedness, the yield thereof, whether in the form of interest rate, margin, original issue discount, upfront fees, a Term SOFR or Base Rate floor or otherwise, in each case, incurred or payable by the Borrower generally to all lenders of such Indebtedness; </w:t>
      </w:r>
      <w:r>
        <w:rPr>
          <w:rFonts w:ascii="Times New Roman" w:hAnsi="Times New Roman"/>
          <w:i/>
          <w:caps w:val="false"/>
          <w:smallCaps w:val="false"/>
          <w:sz w:val="20"/>
        </w:rPr>
        <w:t>provided</w:t>
      </w:r>
      <w:r>
        <w:rPr>
          <w:rFonts w:ascii="Times New Roman" w:hAnsi="Times New Roman"/>
          <w:caps w:val="false"/>
          <w:smallCaps w:val="false"/>
          <w:sz w:val="20"/>
        </w:rPr>
        <w:t xml:space="preserve"> that original issue discount and upfront fees shall be equated to interest rate assuming a four (4)-year life to maturity (or, if less, the stated life to maturity at the time of incurrence of the applicable Indebtedness); and provided, further, that “</w:t>
      </w:r>
      <w:r>
        <w:rPr>
          <w:rFonts w:ascii="Times New Roman" w:hAnsi="Times New Roman"/>
          <w:i/>
          <w:caps w:val="false"/>
          <w:smallCaps w:val="false"/>
          <w:sz w:val="20"/>
        </w:rPr>
        <w:t>All-In Yield</w:t>
      </w:r>
      <w:r>
        <w:rPr>
          <w:rFonts w:ascii="Times New Roman" w:hAnsi="Times New Roman"/>
          <w:caps w:val="false"/>
          <w:smallCaps w:val="false"/>
          <w:sz w:val="20"/>
        </w:rPr>
        <w:t>” shall not include arrangement, structuring, commitment, underwriting or other similar fees (regardless of whether paid in whole or in part to any lenders) not paid generally to all lenders of such Indebtedness.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Applicable Law</w:t>
      </w:r>
      <w:r>
        <w:rPr>
          <w:rFonts w:ascii="Times New Roman" w:hAnsi="Times New Roman"/>
          <w:caps w:val="false"/>
          <w:smallCaps w:val="false"/>
          <w:sz w:val="20"/>
        </w:rPr>
        <w:t>” means, as to any Person, all applicable Laws binding upon such Person or to which such a Person is subject.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Applicable Percentage</w:t>
      </w:r>
      <w:r>
        <w:rPr>
          <w:rFonts w:ascii="Times New Roman" w:hAnsi="Times New Roman"/>
          <w:caps w:val="false"/>
          <w:smallCaps w:val="false"/>
          <w:sz w:val="20"/>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(b) in respect of the Delayed Draw Term Facility, with respect to any Delayed Draw Term Loan Lender at any time, (i) with respect to any funding of Delayed Draw Term Loans or the payment of the Ticking Fee, the percentage (carried out to the ninth decimal place) of the Aggregate Delayed Draw Term Loan Commitments then outstanding represented by such Delayed Draw Term Lender’s Delayed Draw Term Loan Commitment at such time and (ii) with respect to any payments in respect of Delayed Draw Term Loans, the percentage (carried out to the ninth decimal place) of the Total Delayed Draw Term Loan Outstandings represented by such Delayed Draw Term Loan Lender’s Delayed Draw Term Loans at such time and (c)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w:t>
      </w:r>
      <w:r>
        <w:rPr>
          <w:rFonts w:ascii="Times New Roman" w:hAnsi="Times New Roman"/>
          <w:caps w:val="false"/>
          <w:smallCaps w:val="false"/>
          <w:sz w:val="20"/>
        </w:rPr>
        <w:t xml:space="preserve">. If the Commitment of all of the Revolving Lenders to make Revolving Loans and the obligation of the L/C Issuer to make L/C Credit Extensions have been terminated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 xml:space="preserve"> or in the Assignment and Assumption pursuant to which such Lender becomes a party hereto or in any documentation executed by such Lender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2.16</w:t>
      </w:r>
      <w:r>
        <w:rPr>
          <w:rFonts w:ascii="Times New Roman" w:hAnsi="Times New Roman"/>
          <w:caps w:val="false"/>
          <w:smallCaps w:val="false"/>
          <w:sz w:val="20"/>
        </w:rPr>
        <w:t>, as applicable.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Applicable Rate</w:t>
      </w:r>
      <w:r>
        <w:rPr>
          <w:rFonts w:ascii="Times New Roman" w:hAnsi="Times New Roman"/>
          <w:caps w:val="false"/>
          <w:smallCaps w:val="false"/>
          <w:sz w:val="20"/>
        </w:rPr>
        <w:t xml:space="preserve">” means, for any day,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set forth below opposite the applicable Level then in effect (based on the Consolidated Leverage Ratio):</w:t>
      </w:r>
    </w:p>
    <w:tbl>
      <w:tblPr>
        <w:tblW w:w="10205" w:type="dxa"/>
        <w:jc w:val="left"/>
        <w:tblInd w:w="0" w:type="dxa"/>
        <w:tblLayout w:type="fixed"/>
        <w:tblCellMar>
          <w:top w:w="0" w:type="dxa"/>
          <w:left w:w="0" w:type="dxa"/>
          <w:bottom w:w="28" w:type="dxa"/>
          <w:right w:w="0" w:type="dxa"/>
        </w:tblCellMar>
      </w:tblPr>
      <w:tblGrid>
        <w:gridCol w:w="1096"/>
        <w:gridCol w:w="2289"/>
        <w:gridCol w:w="3125"/>
        <w:gridCol w:w="1297"/>
        <w:gridCol w:w="1423"/>
        <w:gridCol w:w="975"/>
      </w:tblGrid>
      <w:tr>
        <w:trPr/>
        <w:tc>
          <w:tcPr>
            <w:tcW w:w="109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Pricing Level</w:t>
            </w:r>
          </w:p>
        </w:tc>
        <w:tc>
          <w:tcPr>
            <w:tcW w:w="228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Leverage Ratio</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 SOFR Loans &amp; Letter of Credit Fee</w:t>
            </w:r>
          </w:p>
        </w:tc>
        <w:tc>
          <w:tcPr>
            <w:tcW w:w="129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Base Rate Loans</w:t>
            </w:r>
          </w:p>
        </w:tc>
        <w:tc>
          <w:tcPr>
            <w:tcW w:w="142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 Fee</w:t>
            </w:r>
          </w:p>
        </w:tc>
        <w:tc>
          <w:tcPr>
            <w:tcW w:w="9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Ticking Fee</w:t>
            </w:r>
          </w:p>
        </w:tc>
      </w:tr>
      <w:tr>
        <w:trPr/>
        <w:tc>
          <w:tcPr>
            <w:tcW w:w="1096"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2289"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&lt;</w:t>
            </w:r>
            <w:r>
              <w:rPr>
                <w:rFonts w:ascii="Times New Roman" w:hAnsi="Times New Roman"/>
                <w:caps w:val="false"/>
                <w:smallCaps w:val="false"/>
                <w:sz w:val="20"/>
              </w:rPr>
              <w:t> 2.50:1.00</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w:t>
            </w:r>
          </w:p>
        </w:tc>
        <w:tc>
          <w:tcPr>
            <w:tcW w:w="1297"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0.75%</w:t>
            </w:r>
          </w:p>
        </w:tc>
        <w:tc>
          <w:tcPr>
            <w:tcW w:w="1423"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0.30%</w:t>
            </w:r>
          </w:p>
        </w:tc>
        <w:tc>
          <w:tcPr>
            <w:tcW w:w="9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0.30%</w:t>
            </w:r>
          </w:p>
        </w:tc>
      </w:tr>
      <w:tr>
        <w:trPr/>
        <w:tc>
          <w:tcPr>
            <w:tcW w:w="1096"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2289"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&gt; 2.50:1.00, but </w:t>
            </w:r>
            <w:r>
              <w:rPr>
                <w:rFonts w:ascii="Times New Roman" w:hAnsi="Times New Roman"/>
                <w:caps w:val="false"/>
                <w:smallCaps w:val="false"/>
                <w:sz w:val="20"/>
                <w:u w:val="single"/>
              </w:rPr>
              <w:t>&lt;</w:t>
            </w:r>
            <w:r>
              <w:rPr>
                <w:rFonts w:ascii="Times New Roman" w:hAnsi="Times New Roman"/>
                <w:caps w:val="false"/>
                <w:smallCaps w:val="false"/>
                <w:sz w:val="20"/>
              </w:rPr>
              <w:t> 3.00:1.00</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w:t>
            </w:r>
          </w:p>
        </w:tc>
        <w:tc>
          <w:tcPr>
            <w:tcW w:w="1297"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c>
          <w:tcPr>
            <w:tcW w:w="1423"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0.35%</w:t>
            </w:r>
          </w:p>
        </w:tc>
        <w:tc>
          <w:tcPr>
            <w:tcW w:w="9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0.35%</w:t>
            </w:r>
          </w:p>
        </w:tc>
      </w:tr>
      <w:tr>
        <w:trPr/>
        <w:tc>
          <w:tcPr>
            <w:tcW w:w="1096"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2289"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&gt; 3.00:1.00, but </w:t>
            </w:r>
            <w:r>
              <w:rPr>
                <w:rFonts w:ascii="Times New Roman" w:hAnsi="Times New Roman"/>
                <w:caps w:val="false"/>
                <w:smallCaps w:val="false"/>
                <w:sz w:val="20"/>
                <w:u w:val="single"/>
              </w:rPr>
              <w:t>&lt;</w:t>
            </w:r>
            <w:r>
              <w:rPr>
                <w:rFonts w:ascii="Times New Roman" w:hAnsi="Times New Roman"/>
                <w:caps w:val="false"/>
                <w:smallCaps w:val="false"/>
                <w:sz w:val="20"/>
              </w:rPr>
              <w:t> 3.50</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2.25%</w:t>
            </w:r>
          </w:p>
        </w:tc>
        <w:tc>
          <w:tcPr>
            <w:tcW w:w="1297"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w:t>
            </w:r>
          </w:p>
        </w:tc>
        <w:tc>
          <w:tcPr>
            <w:tcW w:w="1423"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0.40%</w:t>
            </w:r>
          </w:p>
        </w:tc>
        <w:tc>
          <w:tcPr>
            <w:tcW w:w="9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0.40%</w:t>
            </w:r>
          </w:p>
        </w:tc>
      </w:tr>
      <w:tr>
        <w:trPr/>
        <w:tc>
          <w:tcPr>
            <w:tcW w:w="1096"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2289"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&gt; 3.50:1.00</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2.50%</w:t>
            </w:r>
          </w:p>
        </w:tc>
        <w:tc>
          <w:tcPr>
            <w:tcW w:w="1297"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1.50%</w:t>
            </w:r>
          </w:p>
        </w:tc>
        <w:tc>
          <w:tcPr>
            <w:tcW w:w="1423"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0.45%</w:t>
            </w:r>
          </w:p>
        </w:tc>
        <w:tc>
          <w:tcPr>
            <w:tcW w:w="9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0.45%</w:t>
            </w:r>
          </w:p>
        </w:tc>
      </w:tr>
      <w:tr>
        <w:trPr/>
        <w:tc>
          <w:tcPr>
            <w:tcW w:w="1096" w:type="dxa"/>
            <w:tcBorders/>
            <w:tcMar>
              <w:bottom w:w="0" w:type="dxa"/>
            </w:tcMar>
            <w:vAlign w:val="center"/>
          </w:tcPr>
          <w:p>
            <w:pPr>
              <w:pStyle w:val="TableContents"/>
              <w:bidi w:val="0"/>
              <w:spacing w:before="0" w:after="283"/>
              <w:jc w:val="left"/>
              <w:rPr/>
            </w:pPr>
            <w:r>
              <w:rPr/>
              <w:t> </w:t>
            </w:r>
          </w:p>
        </w:tc>
        <w:tc>
          <w:tcPr>
            <w:tcW w:w="2289"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pPr>
            <w:r>
              <w:rPr/>
              <w:t> </w:t>
            </w:r>
          </w:p>
        </w:tc>
        <w:tc>
          <w:tcPr>
            <w:tcW w:w="1297" w:type="dxa"/>
            <w:tcBorders/>
            <w:tcMar>
              <w:bottom w:w="0" w:type="dxa"/>
            </w:tcMar>
            <w:vAlign w:val="center"/>
          </w:tcPr>
          <w:p>
            <w:pPr>
              <w:pStyle w:val="TableContents"/>
              <w:bidi w:val="0"/>
              <w:spacing w:before="0" w:after="283"/>
              <w:jc w:val="left"/>
              <w:rPr/>
            </w:pPr>
            <w:r>
              <w:rPr/>
              <w:t> </w:t>
            </w:r>
          </w:p>
        </w:tc>
        <w:tc>
          <w:tcPr>
            <w:tcW w:w="1423"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hAnsi="Times New Roman"/>
          <w:b/>
          <w:i/>
          <w:caps w:val="false"/>
          <w:smallCaps w:val="false"/>
          <w:sz w:val="20"/>
        </w:rPr>
        <w:t>Section 6.01(c)</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if a Compliance Certificate is not delivered when due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6.01(c)</w:t>
      </w:r>
      <w:r>
        <w:rPr>
          <w:rFonts w:ascii="Times New Roman" w:hAnsi="Times New Roman"/>
          <w:caps w:val="false"/>
          <w:smallCaps w:val="false"/>
          <w:sz w:val="20"/>
        </w:rPr>
        <w:t>, then, upon the request of the Required Lenders, Pricing Level 4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contained in this definition, (i) the determination of the Applicable Rate for any period shall be subject to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2.10(b)</w:t>
      </w:r>
      <w:r>
        <w:rPr>
          <w:rFonts w:ascii="Times New Roman" w:hAnsi="Times New Roman"/>
          <w:caps w:val="false"/>
          <w:smallCaps w:val="false"/>
          <w:sz w:val="20"/>
        </w:rPr>
        <w:t xml:space="preserve">, (ii) the initial Applicable Rate shall be set at Pricing Level 4 until the first Business Day immediately following the date a Compliance Certificate is delivered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6.02(b)</w:t>
      </w:r>
      <w:r>
        <w:rPr>
          <w:rFonts w:ascii="Times New Roman" w:hAnsi="Times New Roman"/>
          <w:caps w:val="false"/>
          <w:smallCaps w:val="false"/>
          <w:sz w:val="20"/>
        </w:rPr>
        <w:t xml:space="preserve"> for the first full Fiscal Quarter to occur following the Closing Date to the Administrative Agent, and (iii) during the Minimum TTM EBITDA Testing Period, the Applicable Rate shall be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set for below:</w:t>
      </w:r>
    </w:p>
    <w:tbl>
      <w:tblPr>
        <w:tblW w:w="6450" w:type="dxa"/>
        <w:jc w:val="left"/>
        <w:tblInd w:w="0" w:type="dxa"/>
        <w:tblLayout w:type="fixed"/>
        <w:tblCellMar>
          <w:top w:w="0" w:type="dxa"/>
          <w:left w:w="0" w:type="dxa"/>
          <w:bottom w:w="28" w:type="dxa"/>
          <w:right w:w="0" w:type="dxa"/>
        </w:tblCellMar>
      </w:tblPr>
      <w:tblGrid>
        <w:gridCol w:w="3545"/>
        <w:gridCol w:w="1430"/>
        <w:gridCol w:w="1475"/>
      </w:tblGrid>
      <w:tr>
        <w:trPr/>
        <w:tc>
          <w:tcPr>
            <w:tcW w:w="35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 SOFR Loans &amp; Letter of Credit Fee</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Base Rate Loans</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 Fee</w:t>
            </w:r>
          </w:p>
        </w:tc>
      </w:tr>
      <w:tr>
        <w:trPr/>
        <w:tc>
          <w:tcPr>
            <w:tcW w:w="35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2.75%</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Any adjustment in the Applicable Rate shall be applicable to all Credit Extensions then existing or subsequently made or issued.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Approved Fund</w:t>
      </w:r>
      <w:r>
        <w:rPr>
          <w:rFonts w:ascii="Times New Roman" w:hAnsi="Times New Roman"/>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Arranger</w:t>
      </w:r>
      <w:r>
        <w:rPr>
          <w:rFonts w:ascii="Times New Roman" w:hAnsi="Times New Roman"/>
          <w:caps w:val="false"/>
          <w:smallCaps w:val="false"/>
          <w:sz w:val="20"/>
        </w:rPr>
        <w:t>” means BofA Securities, Inc., in its capacity as sole lead arranger and sole bookrunner.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Assignment and Assumption</w:t>
      </w:r>
      <w:r>
        <w:rPr>
          <w:rFonts w:ascii="Times New Roman" w:hAnsi="Times New Roman"/>
          <w:caps w:val="false"/>
          <w:smallCaps w:val="false"/>
          <w:sz w:val="20"/>
        </w:rPr>
        <w:t xml:space="preserve">” means an assignment and assumption entered into by a Lender and an Eligible Assignee (with the consent of any party whose consent is required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w:t>
      </w:r>
      <w:r>
        <w:rPr>
          <w:rFonts w:ascii="Times New Roman" w:hAnsi="Times New Roman"/>
          <w:caps w:val="false"/>
          <w:smallCaps w:val="false"/>
          <w:sz w:val="20"/>
        </w:rPr>
        <w:t xml:space="preserve">), and accepted by the Administrative Agent, in substantially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11.06(b)</w:t>
      </w:r>
      <w:r>
        <w:rPr>
          <w:rFonts w:ascii="Times New Roman" w:hAnsi="Times New Roman"/>
          <w:caps w:val="false"/>
          <w:smallCaps w:val="false"/>
          <w:sz w:val="20"/>
        </w:rPr>
        <w:t xml:space="preserve"> or any other form (including an electronic documentation form generated by use of an electronic platform) approved by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Attributable Indebtedness</w:t>
      </w:r>
      <w:r>
        <w:rPr>
          <w:rFonts w:ascii="Times New Roman" w:hAnsi="Times New Roman"/>
          <w:caps w:val="false"/>
          <w:smallCaps w:val="false"/>
          <w:sz w:val="20"/>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(d) in respect of any Securitization Transaction, the outstanding principal amount of such financing, after taking into account reserve accounts and making appropriate adjustments, determined by the Administrative Agent in its reasonable judgment and (e) in respect of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Auto-Extension Letter of Credit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Availability Period</w:t>
      </w:r>
      <w:r>
        <w:rPr>
          <w:rFonts w:ascii="Times New Roman" w:hAnsi="Times New Roman"/>
          <w:caps w:val="false"/>
          <w:smallCaps w:val="false"/>
          <w:sz w:val="20"/>
        </w:rPr>
        <w:t xml:space="preserve">” means in respect of the Revolving Facility, the period from and including the Closing Date to the earliest of (i) the Maturity Date for the Revolving Facility, (ii) the date of termination of the Revolving Commitments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2.06</w:t>
      </w:r>
      <w:r>
        <w:rPr>
          <w:rFonts w:ascii="Times New Roman" w:hAnsi="Times New Roman"/>
          <w:caps w:val="false"/>
          <w:smallCaps w:val="false"/>
          <w:sz w:val="20"/>
        </w:rPr>
        <w:t xml:space="preserve">, and (iii) the date of termination of the Commitment of each Revolving Lender to make Revolving Loans and of the obligation of the L/C Issuer to make L/C Credit Extensions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Bail-In Legislation</w:t>
      </w:r>
      <w:r>
        <w:rPr>
          <w:rFonts w:ascii="Times New Roman" w:hAnsi="Times New Roman"/>
          <w:caps w:val="false"/>
          <w:smallCaps w:val="false"/>
          <w:sz w:val="20"/>
        </w:rPr>
        <w:t xml:space="preserve">” means, (a) with respect to any EEA Member Country implementing </w:t>
      </w:r>
      <w:r>
        <w:rPr>
          <w:rFonts w:ascii="Times New Roman" w:hAnsi="Times New Roman"/>
          <w:i/>
          <w:caps w:val="false"/>
          <w:smallCaps w:val="false"/>
          <w:sz w:val="20"/>
        </w:rPr>
        <w:t>Article</w:t>
      </w:r>
      <w:r>
        <w:rPr>
          <w:rFonts w:ascii="Times New Roman" w:hAnsi="Times New Roman"/>
          <w:caps w:val="false"/>
          <w:smallCaps w:val="false"/>
          <w:sz w:val="20"/>
        </w:rPr>
        <w:t> </w:t>
      </w:r>
      <w:r>
        <w:rPr>
          <w:rFonts w:ascii="Times New Roman" w:hAnsi="Times New Roman"/>
          <w:i/>
          <w:caps w:val="false"/>
          <w:smallCaps w:val="false"/>
          <w:sz w:val="20"/>
        </w:rPr>
        <w:t>55</w:t>
      </w:r>
      <w:r>
        <w:rPr>
          <w:rFonts w:ascii="Times New Roman" w:hAnsi="Times New Roman"/>
          <w:caps w:val="false"/>
          <w:smallCaps w:val="false"/>
          <w:sz w:val="20"/>
        </w:rPr>
        <w:t xml:space="preserve">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w:t>
      </w:r>
      <w:r>
        <w:rPr>
          <w:rFonts w:ascii="Times New Roman" w:hAnsi="Times New Roman"/>
          <w:i/>
          <w:caps w:val="false"/>
          <w:smallCaps w:val="false"/>
          <w:sz w:val="20"/>
        </w:rPr>
        <w:t>Part</w:t>
      </w:r>
      <w:r>
        <w:rPr>
          <w:rFonts w:ascii="Times New Roman" w:hAnsi="Times New Roman"/>
          <w:caps w:val="false"/>
          <w:smallCaps w:val="false"/>
          <w:sz w:val="20"/>
        </w:rPr>
        <w:t> </w:t>
      </w:r>
      <w:r>
        <w:rPr>
          <w:rFonts w:ascii="Times New Roman" w:hAnsi="Times New Roman"/>
          <w:i/>
          <w:caps w:val="false"/>
          <w:smallCaps w:val="false"/>
          <w:sz w:val="20"/>
        </w:rPr>
        <w:t>I</w:t>
      </w:r>
      <w:r>
        <w:rPr>
          <w:rFonts w:ascii="Times New Roman" w:hAnsi="Times New Roman"/>
          <w:caps w:val="false"/>
          <w:smallCaps w:val="false"/>
          <w:sz w:val="20"/>
        </w:rPr>
        <w:t xml:space="preserve">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Bank of America</w:t>
      </w:r>
      <w:r>
        <w:rPr>
          <w:rFonts w:ascii="Times New Roman" w:hAnsi="Times New Roman"/>
          <w:caps w:val="false"/>
          <w:smallCaps w:val="false"/>
          <w:sz w:val="20"/>
        </w:rPr>
        <w:t>” means Bank of America, N.A. and its successors.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Base Rate</w:t>
      </w:r>
      <w:r>
        <w:rPr>
          <w:rFonts w:ascii="Times New Roman" w:hAnsi="Times New Roman"/>
          <w:caps w:val="false"/>
          <w:smallCaps w:val="false"/>
          <w:sz w:val="20"/>
        </w:rPr>
        <w:t xml:space="preserve">” means for any day a fluctuating rate of interest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highest of (a) the Federal Funds Rate </w:t>
      </w:r>
      <w:r>
        <w:rPr>
          <w:rFonts w:ascii="Times New Roman" w:hAnsi="Times New Roman"/>
          <w:i/>
          <w:caps w:val="false"/>
          <w:smallCaps w:val="false"/>
          <w:sz w:val="20"/>
        </w:rPr>
        <w:t>plus</w:t>
      </w:r>
      <w:r>
        <w:rPr>
          <w:rFonts w:ascii="Times New Roman" w:hAnsi="Times New Roman"/>
          <w:caps w:val="false"/>
          <w:smallCaps w:val="false"/>
          <w:sz w:val="20"/>
        </w:rPr>
        <w:t xml:space="preserve"> 0.50%, (b) the rate of interest in effect for such day as publicly announced from time to time by Bank of America as its “</w:t>
      </w:r>
      <w:r>
        <w:rPr>
          <w:rFonts w:ascii="Times New Roman" w:hAnsi="Times New Roman"/>
          <w:i/>
          <w:caps w:val="false"/>
          <w:smallCaps w:val="false"/>
          <w:sz w:val="20"/>
        </w:rPr>
        <w:t>prime rate,</w:t>
      </w:r>
      <w:r>
        <w:rPr>
          <w:rFonts w:ascii="Times New Roman" w:hAnsi="Times New Roman"/>
          <w:caps w:val="false"/>
          <w:smallCaps w:val="false"/>
          <w:sz w:val="20"/>
        </w:rPr>
        <w:t xml:space="preserve">” and (c) Term SOFR </w:t>
      </w:r>
      <w:r>
        <w:rPr>
          <w:rFonts w:ascii="Times New Roman" w:hAnsi="Times New Roman"/>
          <w:i/>
          <w:caps w:val="false"/>
          <w:smallCaps w:val="false"/>
          <w:sz w:val="20"/>
        </w:rPr>
        <w:t>plus</w:t>
      </w:r>
      <w:r>
        <w:rPr>
          <w:rFonts w:ascii="Times New Roman" w:hAnsi="Times New Roman"/>
          <w:caps w:val="false"/>
          <w:smallCaps w:val="false"/>
          <w:sz w:val="20"/>
        </w:rPr>
        <w:t xml:space="preserve"> 1.00%, subject to the interest rate floors set forth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Base Rate shall be less than zero (0), such rate shall be deemed zero (0) for purposes of this Agreement. The “</w:t>
      </w:r>
      <w:r>
        <w:rPr>
          <w:rFonts w:ascii="Times New Roman" w:hAnsi="Times New Roman"/>
          <w:i/>
          <w:caps w:val="false"/>
          <w:smallCaps w:val="false"/>
          <w:sz w:val="20"/>
        </w:rPr>
        <w:t>prime rate</w:t>
      </w:r>
      <w:r>
        <w:rPr>
          <w:rFonts w:ascii="Times New Roman" w:hAnsi="Times New Roman"/>
          <w:caps w:val="false"/>
          <w:smallCaps w:val="false"/>
          <w:sz w:val="20"/>
        </w:rPr>
        <w:t xml:space="preserv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w:t>
      </w:r>
      <w:r>
        <w:rPr>
          <w:rFonts w:ascii="Times New Roman" w:hAnsi="Times New Roman"/>
          <w:caps w:val="false"/>
          <w:smallCaps w:val="false"/>
          <w:sz w:val="20"/>
        </w:rPr>
        <w:t xml:space="preserve"> hereof, then the Base Rate shall be the greater of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above and shall be determined without reference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above.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Base Rate Loan</w:t>
      </w:r>
      <w:r>
        <w:rPr>
          <w:rFonts w:ascii="Times New Roman" w:hAnsi="Times New Roman"/>
          <w:caps w:val="false"/>
          <w:smallCaps w:val="false"/>
          <w:sz w:val="20"/>
        </w:rPr>
        <w:t>” means a Loan that bears interest based on the Base Rate.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Beneficial Ownership Certification</w:t>
      </w:r>
      <w:r>
        <w:rPr>
          <w:rFonts w:ascii="Times New Roman" w:hAnsi="Times New Roman"/>
          <w:caps w:val="false"/>
          <w:smallCaps w:val="false"/>
          <w:sz w:val="20"/>
        </w:rPr>
        <w:t>” means a certification regarding beneficial ownership required by the Beneficial Ownership Regulation.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Beneficial Ownership Regulation</w:t>
      </w:r>
      <w:r>
        <w:rPr>
          <w:rFonts w:ascii="Times New Roman" w:hAnsi="Times New Roman"/>
          <w:caps w:val="false"/>
          <w:smallCaps w:val="false"/>
          <w:sz w:val="20"/>
        </w:rPr>
        <w:t>” means 31 C.F.R. §1010.230.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Benefit Plan</w:t>
      </w:r>
      <w:r>
        <w:rPr>
          <w:rFonts w:ascii="Times New Roman" w:hAnsi="Times New Roman"/>
          <w:caps w:val="false"/>
          <w:smallCaps w:val="false"/>
          <w:sz w:val="20"/>
        </w:rPr>
        <w:t>” means any of (a) an “</w:t>
      </w:r>
      <w:r>
        <w:rPr>
          <w:rFonts w:ascii="Times New Roman" w:hAnsi="Times New Roman"/>
          <w:i/>
          <w:caps w:val="false"/>
          <w:smallCaps w:val="false"/>
          <w:sz w:val="20"/>
        </w:rPr>
        <w:t>employee benefit plan</w:t>
      </w:r>
      <w:r>
        <w:rPr>
          <w:rFonts w:ascii="Times New Roman" w:hAnsi="Times New Roman"/>
          <w:caps w:val="false"/>
          <w:smallCaps w:val="false"/>
          <w:sz w:val="20"/>
        </w:rPr>
        <w:t xml:space="preserve">” (as defined in ERISA) that is subject to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 xml:space="preserve">I </w:t>
      </w:r>
      <w:r>
        <w:rPr>
          <w:rFonts w:ascii="Times New Roman" w:hAnsi="Times New Roman"/>
          <w:caps w:val="false"/>
          <w:smallCaps w:val="false"/>
          <w:sz w:val="20"/>
        </w:rPr>
        <w:t>of ERISA, (b) a “</w:t>
      </w:r>
      <w:r>
        <w:rPr>
          <w:rFonts w:ascii="Times New Roman" w:hAnsi="Times New Roman"/>
          <w:i/>
          <w:caps w:val="false"/>
          <w:smallCaps w:val="false"/>
          <w:sz w:val="20"/>
        </w:rPr>
        <w:t>plan</w:t>
      </w:r>
      <w:r>
        <w:rPr>
          <w:rFonts w:ascii="Times New Roman" w:hAnsi="Times New Roman"/>
          <w:caps w:val="false"/>
          <w:smallCaps w:val="false"/>
          <w:sz w:val="20"/>
        </w:rPr>
        <w:t xml:space="preserve">” as defined in and subject to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4975</w:t>
      </w:r>
      <w:r>
        <w:rPr>
          <w:rFonts w:ascii="Times New Roman" w:hAnsi="Times New Roman"/>
          <w:caps w:val="false"/>
          <w:smallCaps w:val="false"/>
          <w:sz w:val="20"/>
        </w:rPr>
        <w:t xml:space="preserve"> of the Code or (c) any Person whose assets include (for purposes of ERISA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3(42)</w:t>
      </w:r>
      <w:r>
        <w:rPr>
          <w:rFonts w:ascii="Times New Roman" w:hAnsi="Times New Roman"/>
          <w:caps w:val="false"/>
          <w:smallCaps w:val="false"/>
          <w:sz w:val="20"/>
        </w:rPr>
        <w:t xml:space="preserve"> or otherwise for purposes of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 xml:space="preserve">I </w:t>
      </w:r>
      <w:r>
        <w:rPr>
          <w:rFonts w:ascii="Times New Roman" w:hAnsi="Times New Roman"/>
          <w:caps w:val="false"/>
          <w:smallCaps w:val="false"/>
          <w:sz w:val="20"/>
        </w:rPr>
        <w:t xml:space="preserve">of ERISA or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4975</w:t>
      </w:r>
      <w:r>
        <w:rPr>
          <w:rFonts w:ascii="Times New Roman" w:hAnsi="Times New Roman"/>
          <w:caps w:val="false"/>
          <w:smallCaps w:val="false"/>
          <w:sz w:val="20"/>
        </w:rPr>
        <w:t xml:space="preserve"> of the Code) the assets of any such “</w:t>
      </w:r>
      <w:r>
        <w:rPr>
          <w:rFonts w:ascii="Times New Roman" w:hAnsi="Times New Roman"/>
          <w:i/>
          <w:caps w:val="false"/>
          <w:smallCaps w:val="false"/>
          <w:sz w:val="20"/>
        </w:rPr>
        <w:t>employee benefit plan</w:t>
      </w:r>
      <w:r>
        <w:rPr>
          <w:rFonts w:ascii="Times New Roman" w:hAnsi="Times New Roman"/>
          <w:caps w:val="false"/>
          <w:smallCaps w:val="false"/>
          <w:sz w:val="20"/>
        </w:rPr>
        <w:t>” or “</w:t>
      </w:r>
      <w:r>
        <w:rPr>
          <w:rFonts w:ascii="Times New Roman" w:hAnsi="Times New Roman"/>
          <w:i/>
          <w:caps w:val="false"/>
          <w:smallCaps w:val="false"/>
          <w:sz w:val="20"/>
        </w:rPr>
        <w:t>plan</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Beverage License</w:t>
      </w:r>
      <w:r>
        <w:rPr>
          <w:rFonts w:ascii="Times New Roman" w:hAnsi="Times New Roman"/>
          <w:caps w:val="false"/>
          <w:smallCaps w:val="false"/>
          <w:sz w:val="20"/>
        </w:rPr>
        <w:t>” means a license or permit that is required by Law to permit the brewing, distilling, packaging and sale of Beverage Products by any Loan Party in accordance with its customary business operations and in accordance with the requirements of all applicable alcohol beverage control laws.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Beverage Products</w:t>
      </w:r>
      <w:r>
        <w:rPr>
          <w:rFonts w:ascii="Times New Roman" w:hAnsi="Times New Roman"/>
          <w:caps w:val="false"/>
          <w:smallCaps w:val="false"/>
          <w:sz w:val="20"/>
        </w:rPr>
        <w:t>” means spirits, beer, wine, wine cooler products, champagne, soft-drinks, and other alcoholic or non-alcoholic beverages, and related products for the promotion, use or consumption thereof.</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BHC Act Affiliate</w:t>
      </w:r>
      <w:r>
        <w:rPr>
          <w:rFonts w:ascii="Times New Roman" w:hAnsi="Times New Roman"/>
          <w:caps w:val="false"/>
          <w:smallCaps w:val="false"/>
          <w:sz w:val="20"/>
        </w:rPr>
        <w:t>” of a party means an “</w:t>
      </w:r>
      <w:r>
        <w:rPr>
          <w:rFonts w:ascii="Times New Roman" w:hAnsi="Times New Roman"/>
          <w:i/>
          <w:caps w:val="false"/>
          <w:smallCaps w:val="false"/>
          <w:sz w:val="20"/>
        </w:rPr>
        <w:t>affiliate</w:t>
      </w:r>
      <w:r>
        <w:rPr>
          <w:rFonts w:ascii="Times New Roman" w:hAnsi="Times New Roman"/>
          <w:caps w:val="false"/>
          <w:smallCaps w:val="false"/>
          <w:sz w:val="20"/>
        </w:rPr>
        <w:t>” (as such term is defined under, and interpreted in accordance with, 12 U.S.C. 1841(k)) of such party.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Borrower</w:t>
      </w:r>
      <w:r>
        <w:rPr>
          <w:rFonts w:ascii="Times New Roman" w:hAnsi="Times New Roman"/>
          <w:caps w:val="false"/>
          <w:smallCaps w:val="false"/>
          <w:sz w:val="20"/>
        </w:rPr>
        <w:t>” has the meaning specified in the introductory paragraph 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Borrower Materials</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6.02</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Borrowing</w:t>
      </w:r>
      <w:r>
        <w:rPr>
          <w:rFonts w:ascii="Times New Roman" w:hAnsi="Times New Roman"/>
          <w:caps w:val="false"/>
          <w:smallCaps w:val="false"/>
          <w:sz w:val="20"/>
        </w:rPr>
        <w:t xml:space="preserve">” means a borrowing consisting of simultaneous Loans of the same Type and, in the case of Term SOFR Loans, having the same Interest Period made by each of the applicable Lenders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any day other than a Saturday, Sunday or other day on which commercial banks are authorized to close under the Laws of, or are in fact closed in, the state where the Administrative Agent’s Office is located.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Cannabis</w:t>
      </w:r>
      <w:r>
        <w:rPr>
          <w:rFonts w:ascii="Times New Roman" w:hAnsi="Times New Roman"/>
          <w:caps w:val="false"/>
          <w:smallCaps w:val="false"/>
          <w:sz w:val="20"/>
        </w:rPr>
        <w:t xml:space="preserve">” means (a) any plant or seed, whether live or dead, from any species or subspecies of genus Cannabis, including Cannabis sativa, Cannabis indica and Cannabis ruderalis, and any part, whether live or dead, of the plant or seed thereof, including any stalk, branch, root, leaf, flower, or trichome; (b) any material obtained, extracted, isolated, or purified from the plant or seed or the parts contemplated by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of this definition, including any oil, cannabinoid, terpene, genetic material or any combination thereof; (c) any organism engineered to biosynthetically produce the material contemplated by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of this definition, including any micro-organism engineered for such purpose; (d) any biologically or chemically synthesized version of the material contemplated by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of this definition or any analog thereof, including any product made by any organism contemplated by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of this definition, and (e) any other meaning ascribed to the term “</w:t>
      </w:r>
      <w:r>
        <w:rPr>
          <w:rFonts w:ascii="Times New Roman" w:hAnsi="Times New Roman"/>
          <w:i/>
          <w:caps w:val="false"/>
          <w:smallCaps w:val="false"/>
          <w:sz w:val="20"/>
        </w:rPr>
        <w:t>cannabis</w:t>
      </w:r>
      <w:r>
        <w:rPr>
          <w:rFonts w:ascii="Times New Roman" w:hAnsi="Times New Roman"/>
          <w:caps w:val="false"/>
          <w:smallCaps w:val="false"/>
          <w:sz w:val="20"/>
        </w:rPr>
        <w:t>” under the Controlled Substances Act.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Capital Expenditures</w:t>
      </w:r>
      <w:r>
        <w:rPr>
          <w:rFonts w:ascii="Times New Roman" w:hAnsi="Times New Roman"/>
          <w:caps w:val="false"/>
          <w:smallCaps w:val="false"/>
          <w:sz w:val="20"/>
        </w:rPr>
        <w:t>” means, with respect to any Person for any period, any expenditure in respect of the purchase or other acquisition of any fixed or capital asset (excluding normal replacements and maintenance which are properly charged to current operations).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Capitalized Lease</w:t>
      </w:r>
      <w:r>
        <w:rPr>
          <w:rFonts w:ascii="Times New Roman" w:hAnsi="Times New Roman"/>
          <w:caps w:val="false"/>
          <w:smallCaps w:val="false"/>
          <w:sz w:val="20"/>
        </w:rPr>
        <w:t>” means any lease that has been or is required to be, in accordance with GAAP, recorded, classified and accounted for as a capitalized lease or financing lease.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Cash Collateral</w:t>
      </w:r>
      <w:r>
        <w:rPr>
          <w:rFonts w:ascii="Times New Roman" w:hAnsi="Times New Roman"/>
          <w:caps w:val="false"/>
          <w:smallCaps w:val="false"/>
          <w:sz w:val="20"/>
        </w:rPr>
        <w:t>” shall have a meaning correlative to the foregoing and shall include the proceeds of such Cash Collateral and other credit support.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Cash Collateralize</w:t>
      </w:r>
      <w:r>
        <w:rPr>
          <w:rFonts w:ascii="Times New Roman" w:hAnsi="Times New Roman"/>
          <w:caps w:val="false"/>
          <w:smallCaps w:val="false"/>
          <w:sz w:val="20"/>
        </w:rPr>
        <w:t>” means to pledge and deposit with or deliver to the Administrative Agent, for the benefit of the L/C Issuer or Swingline Lender (as applicable) or the Lenders, as Collateral for L/C Obligations, the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satisfactory to the Administrative Agent and the L/C Issuer, and/or (c) if the Administrative Agent and the L/C Issuer or Swingline Lender shall agree, in their sole discretion, other credit support, in each case, in Dollars and pursuant to documentation in form and substance satisfactory to the Administrative Agent and the L/C Issuer or the Swingline Lender (as applicable).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Cash Equivalents</w:t>
      </w:r>
      <w:r>
        <w:rPr>
          <w:rFonts w:ascii="Times New Roman" w:hAnsi="Times New Roman"/>
          <w:caps w:val="false"/>
          <w:smallCaps w:val="false"/>
          <w:sz w:val="20"/>
        </w:rPr>
        <w:t>” means any of the following types of Investments, to the extent owned by a Loan Party or any of its Subsidiaries free and clear of all Liens (other than Permitted Liens):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readily marketable obligations issued or directly and fully guaranteed or insured by the United States or any agency or instrumentality thereof having maturities of not more than three hundred sixty days (three hundred sixty (360)) days from the date of acquisition thereof;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full faith and credit of the United States is pledged in support thereof;</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time deposits with, or insured certificates of deposit or bankers’ acceptances of, any commercial bank that (i)(A)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of this definition and (iii) has combined capital and surplus of at least $1,000,000,000, in each case with maturities of not more than one hundred eighty (180) days from the date of acquisition thereof;</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        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        Investments, classified in accordance with GAAP as current assets of any Loan Party Group Company,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w:t>
      </w:r>
      <w:r>
        <w:rPr>
          <w:rFonts w:ascii="Times New Roman" w:hAnsi="Times New Roman"/>
          <w:b/>
          <w:i/>
          <w:caps w:val="false"/>
          <w:smallCaps w:val="false"/>
          <w:sz w:val="20"/>
        </w:rPr>
        <w:t>(b)</w:t>
      </w:r>
      <w:r>
        <w:rPr>
          <w:rFonts w:ascii="Times New Roman" w:hAnsi="Times New Roman"/>
          <w:caps w:val="false"/>
          <w:smallCaps w:val="false"/>
          <w:sz w:val="20"/>
        </w:rPr>
        <w:t xml:space="preserve"> and </w:t>
      </w:r>
      <w:r>
        <w:rPr>
          <w:rFonts w:ascii="Times New Roman" w:hAnsi="Times New Roman"/>
          <w:b/>
          <w:i/>
          <w:caps w:val="false"/>
          <w:smallCaps w:val="false"/>
          <w:sz w:val="20"/>
        </w:rPr>
        <w:t>(c)</w:t>
      </w:r>
      <w:r>
        <w:rPr>
          <w:rFonts w:ascii="Times New Roman" w:hAnsi="Times New Roman"/>
          <w:caps w:val="false"/>
          <w:smallCaps w:val="false"/>
          <w:sz w:val="20"/>
        </w:rPr>
        <w:t xml:space="preserve"> of this definition.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Cash Management Agreement</w:t>
      </w:r>
      <w:r>
        <w:rPr>
          <w:rFonts w:ascii="Times New Roman" w:hAnsi="Times New Roman"/>
          <w:caps w:val="false"/>
          <w:smallCaps w:val="false"/>
          <w:sz w:val="20"/>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(0) balance accounts, returned check concentration, controlled disbursement, lockbox, account reconciliation and reporting and trade finance services and other cash management services.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Cash Management Bank</w:t>
      </w:r>
      <w:r>
        <w:rPr>
          <w:rFonts w:ascii="Times New Roman" w:hAnsi="Times New Roman"/>
          <w:caps w:val="false"/>
          <w:smallCaps w:val="false"/>
          <w:sz w:val="20"/>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for any of the foregoing to be included as a “</w:t>
      </w:r>
      <w:r>
        <w:rPr>
          <w:rFonts w:ascii="Times New Roman" w:hAnsi="Times New Roman"/>
          <w:i/>
          <w:caps w:val="false"/>
          <w:smallCaps w:val="false"/>
          <w:sz w:val="20"/>
        </w:rPr>
        <w:t>Secured Cash Management Agreement</w:t>
      </w:r>
      <w:r>
        <w:rPr>
          <w:rFonts w:ascii="Times New Roman" w:hAnsi="Times New Roman"/>
          <w:caps w:val="false"/>
          <w:smallCaps w:val="false"/>
          <w:sz w:val="20"/>
        </w:rPr>
        <w: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Cash Reserve Collateral</w:t>
      </w:r>
      <w:r>
        <w:rPr>
          <w:rFonts w:ascii="Times New Roman" w:hAnsi="Times New Roman"/>
          <w:caps w:val="false"/>
          <w:smallCaps w:val="false"/>
          <w:sz w:val="20"/>
        </w:rPr>
        <w:t>” means cash or Cash Equivalents held at the Administrative Agent as Collateral subject to the Control Agreement.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CERCLA</w:t>
      </w:r>
      <w:r>
        <w:rPr>
          <w:rFonts w:ascii="Times New Roman" w:hAnsi="Times New Roman"/>
          <w:caps w:val="false"/>
          <w:smallCaps w:val="false"/>
          <w:sz w:val="20"/>
        </w:rPr>
        <w:t>” means the Comprehensive Environmental Response, Compensation and Liability Act of 1980.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CERCLIS</w:t>
      </w:r>
      <w:r>
        <w:rPr>
          <w:rFonts w:ascii="Times New Roman" w:hAnsi="Times New Roman"/>
          <w:caps w:val="false"/>
          <w:smallCaps w:val="false"/>
          <w:sz w:val="20"/>
        </w:rPr>
        <w:t>” means the Comprehensive Environmental Response, Compensation and Liability Information System maintained by the U.S. Environmental Protection Agency.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CFC</w:t>
      </w:r>
      <w:r>
        <w:rPr>
          <w:rFonts w:ascii="Times New Roman" w:hAnsi="Times New Roman"/>
          <w:caps w:val="false"/>
          <w:smallCaps w:val="false"/>
          <w:sz w:val="20"/>
        </w:rPr>
        <w:t xml:space="preserve">” means a Person that is a controlled foreign corporation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957</w:t>
      </w:r>
      <w:r>
        <w:rPr>
          <w:rFonts w:ascii="Times New Roman" w:hAnsi="Times New Roman"/>
          <w:caps w:val="false"/>
          <w:smallCaps w:val="false"/>
          <w:sz w:val="20"/>
        </w:rPr>
        <w:t xml:space="preserve"> of the Code in which the Borrower or any Loan Party is a United States shareholder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951(b)</w:t>
      </w:r>
      <w:r>
        <w:rPr>
          <w:rFonts w:ascii="Times New Roman" w:hAnsi="Times New Roman"/>
          <w:caps w:val="false"/>
          <w:smallCaps w:val="false"/>
          <w:sz w:val="20"/>
        </w:rPr>
        <w:t xml:space="preserve"> of the Code.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Change in Law</w:t>
      </w:r>
      <w:r>
        <w:rPr>
          <w:rFonts w:ascii="Times New Roman" w:hAnsi="Times New Roman"/>
          <w:caps w:val="false"/>
          <w:smallCaps w:val="false"/>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i/>
          <w:caps w:val="false"/>
          <w:smallCaps w:val="false"/>
          <w:sz w:val="20"/>
        </w:rPr>
        <w:t>provided</w:t>
      </w:r>
      <w:r>
        <w:rPr>
          <w:rFonts w:ascii="Times New Roman" w:hAnsi="Times New Roman"/>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hAnsi="Times New Roman"/>
          <w:i/>
          <w:caps w:val="false"/>
          <w:smallCaps w:val="false"/>
          <w:sz w:val="20"/>
        </w:rPr>
        <w:t>Change in Law</w:t>
      </w:r>
      <w:r>
        <w:rPr>
          <w:rFonts w:ascii="Times New Roman" w:hAnsi="Times New Roman"/>
          <w:caps w:val="false"/>
          <w:smallCaps w:val="false"/>
          <w:sz w:val="20"/>
        </w:rPr>
        <w:t>”, regardless of the date enacted, adopted, issued or implemented.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Change of Control</w:t>
      </w:r>
      <w:r>
        <w:rPr>
          <w:rFonts w:ascii="Times New Roman" w:hAnsi="Times New Roman"/>
          <w:caps w:val="false"/>
          <w:smallCaps w:val="false"/>
          <w:sz w:val="20"/>
        </w:rPr>
        <w:t>” means an event or series of events by which:</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any “</w:t>
      </w:r>
      <w:r>
        <w:rPr>
          <w:rFonts w:ascii="Times New Roman" w:hAnsi="Times New Roman"/>
          <w:i/>
          <w:caps w:val="false"/>
          <w:smallCaps w:val="false"/>
          <w:sz w:val="20"/>
        </w:rPr>
        <w:t>person</w:t>
      </w:r>
      <w:r>
        <w:rPr>
          <w:rFonts w:ascii="Times New Roman" w:hAnsi="Times New Roman"/>
          <w:caps w:val="false"/>
          <w:smallCaps w:val="false"/>
          <w:sz w:val="20"/>
        </w:rPr>
        <w:t>” or “</w:t>
      </w:r>
      <w:r>
        <w:rPr>
          <w:rFonts w:ascii="Times New Roman" w:hAnsi="Times New Roman"/>
          <w:i/>
          <w:caps w:val="false"/>
          <w:smallCaps w:val="false"/>
          <w:sz w:val="20"/>
        </w:rPr>
        <w:t>group</w:t>
      </w:r>
      <w:r>
        <w:rPr>
          <w:rFonts w:ascii="Times New Roman" w:hAnsi="Times New Roman"/>
          <w:caps w:val="false"/>
          <w:smallCaps w:val="false"/>
          <w:sz w:val="20"/>
        </w:rPr>
        <w:t xml:space="preserve">” (as such terms are used in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13(d)</w:t>
      </w:r>
      <w:r>
        <w:rPr>
          <w:rFonts w:ascii="Times New Roman" w:hAnsi="Times New Roman"/>
          <w:caps w:val="false"/>
          <w:smallCaps w:val="false"/>
          <w:sz w:val="20"/>
        </w:rPr>
        <w:t xml:space="preserve"> and </w:t>
      </w:r>
      <w:r>
        <w:rPr>
          <w:rFonts w:ascii="Times New Roman" w:hAnsi="Times New Roman"/>
          <w:i/>
          <w:caps w:val="false"/>
          <w:smallCaps w:val="false"/>
          <w:sz w:val="20"/>
        </w:rPr>
        <w:t>14(d)</w:t>
      </w:r>
      <w:r>
        <w:rPr>
          <w:rFonts w:ascii="Times New Roman" w:hAnsi="Times New Roman"/>
          <w:caps w:val="false"/>
          <w:smallCaps w:val="false"/>
          <w:sz w:val="20"/>
        </w:rPr>
        <w:t xml:space="preserve"> of the Securities Exchange Act of 1934, but excluding any employee benefit plan of such person or its subsidiaries, and any person or entity acting in its capacity as trustee, agent or other fiduciary or administrator of any such plan) becomes the “</w:t>
      </w:r>
      <w:r>
        <w:rPr>
          <w:rFonts w:ascii="Times New Roman" w:hAnsi="Times New Roman"/>
          <w:i/>
          <w:caps w:val="false"/>
          <w:smallCaps w:val="false"/>
          <w:sz w:val="20"/>
        </w:rPr>
        <w:t>beneficial owner</w:t>
      </w:r>
      <w:r>
        <w:rPr>
          <w:rFonts w:ascii="Times New Roman" w:hAnsi="Times New Roman"/>
          <w:caps w:val="false"/>
          <w:smallCaps w:val="false"/>
          <w:sz w:val="20"/>
        </w:rPr>
        <w:t>” (as defined in Rules 13d-3 and 13d-5 under the Securities Exchange Act of 1934, except that a person or group shall be deemed to have “</w:t>
      </w:r>
      <w:r>
        <w:rPr>
          <w:rFonts w:ascii="Times New Roman" w:hAnsi="Times New Roman"/>
          <w:i/>
          <w:caps w:val="false"/>
          <w:smallCaps w:val="false"/>
          <w:sz w:val="20"/>
        </w:rPr>
        <w:t>beneficial ownership</w:t>
      </w:r>
      <w:r>
        <w:rPr>
          <w:rFonts w:ascii="Times New Roman" w:hAnsi="Times New Roman"/>
          <w:caps w:val="false"/>
          <w:smallCaps w:val="false"/>
          <w:sz w:val="20"/>
        </w:rPr>
        <w:t>” of all securities that such person or group has the right to acquire, whether such right is exercisable immediately or only after the passage of time (such right, an “</w:t>
      </w:r>
      <w:r>
        <w:rPr>
          <w:rFonts w:ascii="Times New Roman" w:hAnsi="Times New Roman"/>
          <w:b/>
          <w:i/>
          <w:caps w:val="false"/>
          <w:smallCaps w:val="false"/>
          <w:sz w:val="20"/>
        </w:rPr>
        <w:t>option right</w:t>
      </w:r>
      <w:r>
        <w:rPr>
          <w:rFonts w:ascii="Times New Roman" w:hAnsi="Times New Roman"/>
          <w:caps w:val="false"/>
          <w:smallCaps w:val="false"/>
          <w:sz w:val="20"/>
        </w:rPr>
        <w:t>”)), directly or indirectly, of 25% or more of the equity securities of Holdings entitled to vote for members of the board of directors or equivalent governing body of Holdings on a fully-diluted basis (and taking into account all such securities that such “</w:t>
      </w:r>
      <w:r>
        <w:rPr>
          <w:rFonts w:ascii="Times New Roman" w:hAnsi="Times New Roman"/>
          <w:i/>
          <w:caps w:val="false"/>
          <w:smallCaps w:val="false"/>
          <w:sz w:val="20"/>
        </w:rPr>
        <w:t>person</w:t>
      </w:r>
      <w:r>
        <w:rPr>
          <w:rFonts w:ascii="Times New Roman" w:hAnsi="Times New Roman"/>
          <w:caps w:val="false"/>
          <w:smallCaps w:val="false"/>
          <w:sz w:val="20"/>
        </w:rPr>
        <w:t>” or “</w:t>
      </w:r>
      <w:r>
        <w:rPr>
          <w:rFonts w:ascii="Times New Roman" w:hAnsi="Times New Roman"/>
          <w:i/>
          <w:caps w:val="false"/>
          <w:smallCaps w:val="false"/>
          <w:sz w:val="20"/>
        </w:rPr>
        <w:t>group</w:t>
      </w:r>
      <w:r>
        <w:rPr>
          <w:rFonts w:ascii="Times New Roman" w:hAnsi="Times New Roman"/>
          <w:caps w:val="false"/>
          <w:smallCaps w:val="false"/>
          <w:sz w:val="20"/>
        </w:rPr>
        <w:t>” has the right to acquire pursuant to any option right);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        (i) Holdings shall cease to own and control, of record and beneficially, directly or indirectly, 100% of the aggregate ordinary voting power represented by the issued and outstanding Equity Interests of the Borrower on a fully diluted basis (which for this purpose shall exclude all Equity Interests that have not yet vested) or (ii) Holdings or the Borrower shall cease to own and control, of record and beneficially, directly or indirectly, 100% of the aggregate ordinary voting power represented by the issued and outstanding Equity Interests of Montauk on a fully diluted basis (which for this purpose shall exclude all Equity Interests that have not yet vested);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        Holdings shall cease to have the ability to elect (either through share ownership or contractual voting rights) a majority of the board of directors or equivalent governing body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Civil Asset Forfeiture Reform Act</w:t>
      </w:r>
      <w:r>
        <w:rPr>
          <w:rFonts w:ascii="Times New Roman" w:hAnsi="Times New Roman"/>
          <w:caps w:val="false"/>
          <w:smallCaps w:val="false"/>
          <w:sz w:val="20"/>
        </w:rPr>
        <w:t>” means the Civil Asset Forfeiture Reform Act of 2000 (18 U.S.C. Sections 983 et seq.), as amended from time to time, and any successor statute.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Class</w:t>
      </w:r>
      <w:r>
        <w:rPr>
          <w:rFonts w:ascii="Times New Roman" w:hAnsi="Times New Roman"/>
          <w:caps w:val="false"/>
          <w:smallCaps w:val="false"/>
          <w:sz w:val="20"/>
        </w:rPr>
        <w:t>”, when used in reference to any Loan or Borrowing, refers to whether such Loan, or the Loans comprising such Borrowing, are Revolving Loans, Term Loans or Delayed Draw Term Loans and, when used in reference to any Commitment, refers to whether such Commitment is a Revolving Commitment, Term Commitment or Delayed Draw Term Loan Commitment.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caps w:val="false"/>
          <w:smallCaps w:val="false"/>
          <w:sz w:val="20"/>
        </w:rPr>
        <w:t>” means June 30, 2023.</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CME</w:t>
      </w:r>
      <w:r>
        <w:rPr>
          <w:rFonts w:ascii="Times New Roman" w:hAnsi="Times New Roman"/>
          <w:caps w:val="false"/>
          <w:smallCaps w:val="false"/>
          <w:sz w:val="20"/>
        </w:rPr>
        <w:t>” means CME Group Benchmark Administration Limited.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Code</w:t>
      </w:r>
      <w:r>
        <w:rPr>
          <w:rFonts w:ascii="Times New Roman" w:hAnsi="Times New Roman"/>
          <w:caps w:val="false"/>
          <w:smallCaps w:val="false"/>
          <w:sz w:val="20"/>
        </w:rPr>
        <w:t>” means the Internal Revenue Code of 1986.</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Collateral</w:t>
      </w:r>
      <w:r>
        <w:rPr>
          <w:rFonts w:ascii="Times New Roman" w:hAnsi="Times New Roman"/>
          <w:caps w:val="false"/>
          <w:smallCaps w:val="false"/>
          <w:sz w:val="20"/>
        </w:rPr>
        <w:t>” means a collective reference to all property with respect to which Liens in favor of the Administrative Agent, for the benefit of the Secured Parties, are purported to be granted pursuant to and in accordance with the terms of the Collateral Documents.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Collateral Documents</w:t>
      </w:r>
      <w:r>
        <w:rPr>
          <w:rFonts w:ascii="Times New Roman" w:hAnsi="Times New Roman"/>
          <w:caps w:val="false"/>
          <w:smallCaps w:val="false"/>
          <w:sz w:val="20"/>
        </w:rPr>
        <w:t xml:space="preserve">” means a collective reference to the Security Agreement, the Holdings Pledge Agreement, each Mortgage, the Control Agreement and other security documents as may be executed and delivered by any Loan Party pursuant to the terms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6.14</w:t>
      </w:r>
      <w:r>
        <w:rPr>
          <w:rFonts w:ascii="Times New Roman" w:hAnsi="Times New Roman"/>
          <w:caps w:val="false"/>
          <w:smallCaps w:val="false"/>
          <w:sz w:val="20"/>
        </w:rPr>
        <w:t xml:space="preserve"> or any of the Loan Documents.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Commitment</w:t>
      </w:r>
      <w:r>
        <w:rPr>
          <w:rFonts w:ascii="Times New Roman" w:hAnsi="Times New Roman"/>
          <w:caps w:val="false"/>
          <w:smallCaps w:val="false"/>
          <w:sz w:val="20"/>
        </w:rPr>
        <w:t>” means a Term Commitment, a Delayed Draw Term Loan Commitment or a Revolving Commitment, as the context may require.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Commitment Fee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2.09(a)</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Commodity Exchange Act</w:t>
      </w:r>
      <w:r>
        <w:rPr>
          <w:rFonts w:ascii="Times New Roman" w:hAnsi="Times New Roman"/>
          <w:caps w:val="false"/>
          <w:smallCaps w:val="false"/>
          <w:sz w:val="20"/>
        </w:rPr>
        <w:t xml:space="preserve">” means the Commodity Exchange Act (7 U.S.C. §1 </w:t>
      </w:r>
      <w:r>
        <w:rPr>
          <w:rFonts w:ascii="Times New Roman" w:hAnsi="Times New Roman"/>
          <w:i/>
          <w:caps w:val="false"/>
          <w:smallCaps w:val="false"/>
          <w:sz w:val="20"/>
        </w:rPr>
        <w:t>et</w:t>
      </w:r>
      <w:r>
        <w:rPr>
          <w:rFonts w:ascii="Times New Roman" w:hAnsi="Times New Roman"/>
          <w:caps w:val="false"/>
          <w:smallCaps w:val="false"/>
          <w:sz w:val="20"/>
        </w:rPr>
        <w:t> </w:t>
      </w:r>
      <w:r>
        <w:rPr>
          <w:rFonts w:ascii="Times New Roman" w:hAnsi="Times New Roman"/>
          <w:i/>
          <w:caps w:val="false"/>
          <w:smallCaps w:val="false"/>
          <w:sz w:val="20"/>
        </w:rPr>
        <w:t>seq</w:t>
      </w:r>
      <w:r>
        <w:rPr>
          <w:rFonts w:ascii="Times New Roman" w:hAnsi="Times New Roman"/>
          <w:caps w:val="false"/>
          <w:smallCaps w:val="false"/>
          <w:sz w:val="20"/>
        </w:rPr>
        <w:t>.), as amended from time to time, and any successor statute.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Communication</w:t>
      </w:r>
      <w:r>
        <w:rPr>
          <w:rFonts w:ascii="Times New Roman" w:hAnsi="Times New Roman"/>
          <w:caps w:val="false"/>
          <w:smallCaps w:val="false"/>
          <w:sz w:val="20"/>
        </w:rPr>
        <w:t>” means this Agreement, any Loan Document and any document, any amendment, approval, consent, information, notice, certificate, request, statement, disclosure or authorization related to any Loan Document.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Compliance Certificate</w:t>
      </w:r>
      <w:r>
        <w:rPr>
          <w:rFonts w:ascii="Times New Roman" w:hAnsi="Times New Roman"/>
          <w:caps w:val="false"/>
          <w:smallCaps w:val="false"/>
          <w:sz w:val="20"/>
        </w:rPr>
        <w:t xml:space="preserve">” means a certificate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6.02</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Conforming Changes</w:t>
      </w:r>
      <w:r>
        <w:rPr>
          <w:rFonts w:ascii="Times New Roman" w:hAnsi="Times New Roman"/>
          <w:caps w:val="false"/>
          <w:smallCaps w:val="false"/>
          <w:sz w:val="20"/>
        </w:rPr>
        <w:t>” means, with respect to the use, administration of or any conventions associated with SOFR or any proposed Successor Rate or Term SOFR, as applicable, any conforming changes to the definitions of “</w:t>
      </w:r>
      <w:r>
        <w:rPr>
          <w:rFonts w:ascii="Times New Roman" w:hAnsi="Times New Roman"/>
          <w:i/>
          <w:caps w:val="false"/>
          <w:smallCaps w:val="false"/>
          <w:sz w:val="20"/>
        </w:rPr>
        <w:t>Base Rate</w:t>
      </w:r>
      <w:r>
        <w:rPr>
          <w:rFonts w:ascii="Times New Roman" w:hAnsi="Times New Roman"/>
          <w:caps w:val="false"/>
          <w:smallCaps w:val="false"/>
          <w:sz w:val="20"/>
        </w:rPr>
        <w:t>”, “</w:t>
      </w:r>
      <w:r>
        <w:rPr>
          <w:rFonts w:ascii="Times New Roman" w:hAnsi="Times New Roman"/>
          <w:i/>
          <w:caps w:val="false"/>
          <w:smallCaps w:val="false"/>
          <w:sz w:val="20"/>
        </w:rPr>
        <w:t>SOFR</w:t>
      </w:r>
      <w:r>
        <w:rPr>
          <w:rFonts w:ascii="Times New Roman" w:hAnsi="Times New Roman"/>
          <w:caps w:val="false"/>
          <w:smallCaps w:val="false"/>
          <w:sz w:val="20"/>
        </w:rPr>
        <w:t>”, “</w:t>
      </w:r>
      <w:r>
        <w:rPr>
          <w:rFonts w:ascii="Times New Roman" w:hAnsi="Times New Roman"/>
          <w:i/>
          <w:caps w:val="false"/>
          <w:smallCaps w:val="false"/>
          <w:sz w:val="20"/>
        </w:rPr>
        <w:t>Term SOFR</w:t>
      </w:r>
      <w:r>
        <w:rPr>
          <w:rFonts w:ascii="Times New Roman" w:hAnsi="Times New Roman"/>
          <w:caps w:val="false"/>
          <w:smallCaps w:val="false"/>
          <w:sz w:val="20"/>
        </w:rPr>
        <w:t>” and “</w:t>
      </w:r>
      <w:r>
        <w:rPr>
          <w:rFonts w:ascii="Times New Roman" w:hAnsi="Times New Roman"/>
          <w:i/>
          <w:caps w:val="false"/>
          <w:smallCaps w:val="false"/>
          <w:sz w:val="20"/>
        </w:rPr>
        <w:t>Interest Period</w:t>
      </w:r>
      <w:r>
        <w:rPr>
          <w:rFonts w:ascii="Times New Roman" w:hAnsi="Times New Roman"/>
          <w:caps w:val="false"/>
          <w:smallCaps w:val="false"/>
          <w:sz w:val="20"/>
        </w:rPr>
        <w:t>”, timing and frequency of determining rates and making payments of interest and other technical, administrative or operational matters (including, for the avoidance of doubt, the definitions of “</w:t>
      </w:r>
      <w:r>
        <w:rPr>
          <w:rFonts w:ascii="Times New Roman" w:hAnsi="Times New Roman"/>
          <w:i/>
          <w:caps w:val="false"/>
          <w:smallCaps w:val="false"/>
          <w:sz w:val="20"/>
        </w:rPr>
        <w:t>Business Day</w:t>
      </w:r>
      <w:r>
        <w:rPr>
          <w:rFonts w:ascii="Times New Roman" w:hAnsi="Times New Roman"/>
          <w:caps w:val="false"/>
          <w:smallCaps w:val="false"/>
          <w:sz w:val="20"/>
        </w:rPr>
        <w:t>” and “</w:t>
      </w:r>
      <w:r>
        <w:rPr>
          <w:rFonts w:ascii="Times New Roman" w:hAnsi="Times New Roman"/>
          <w:i/>
          <w:caps w:val="false"/>
          <w:smallCaps w:val="false"/>
          <w:sz w:val="20"/>
        </w:rPr>
        <w:t>U.S. Government Securities Business Day</w:t>
      </w:r>
      <w:r>
        <w:rPr>
          <w:rFonts w:ascii="Times New Roman" w:hAnsi="Times New Roman"/>
          <w:caps w:val="false"/>
          <w:smallCaps w:val="false"/>
          <w:sz w:val="20"/>
        </w:rPr>
        <w:t>”,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Connection Income Taxes</w:t>
      </w:r>
      <w:r>
        <w:rPr>
          <w:rFonts w:ascii="Times New Roman" w:hAnsi="Times New Roman"/>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Capital Expenditures</w:t>
      </w:r>
      <w:r>
        <w:rPr>
          <w:rFonts w:ascii="Times New Roman" w:hAnsi="Times New Roman"/>
          <w:caps w:val="false"/>
          <w:smallCaps w:val="false"/>
          <w:sz w:val="20"/>
        </w:rPr>
        <w:t>” shall mean, for the Loan Party Group Companies for any period, Capital Expenditures other than (a) Capital Expenditures financed with Indebtedness (other than revolving Indebtedness), the proceeds of an issuance of Equity Interests or the proceeds of any Disposition or Recovery Event, (b) the portion of Capital Expenditures incurred as a result of purchase accounting adjustments related to, or purchase price paid for, Permitted Acquisition, (c) Capital Expenditures that are paid for, or reimbursed to, any Loan Party Group Company in cash or Cash Equivalents, by a Person other than a Loan Party Group Company and for which no Loan Party Group Company has provided or is required to provide or incur, directly or indirectly, any consideration or obligation (other than rent and obligations ancillary thereto) in respect of such expenditures to such Person or any other Person (whether before, during or after such period) or (d) Capital Expenditures to the extent such expenditures are part of the aggregate amounts payable in connection with, or other consideration for, any Permitted Acquisition consummated during or prior to such period.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EBITDA</w:t>
      </w:r>
      <w:r>
        <w:rPr>
          <w:rFonts w:ascii="Times New Roman" w:hAnsi="Times New Roman"/>
          <w:caps w:val="false"/>
          <w:smallCaps w:val="false"/>
          <w:sz w:val="20"/>
        </w:rPr>
        <w:t>” means, for any period, the sum of the following determined on a consolidated basis, without duplication, for the Loan Party Group Companies in accordance with GAAP, (a) Consolidated Net Income for such period plus (b) the following to the extent deducted in calculating such Consolidated Net Income for such period (without duplication):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         Consolidated Interest Charges;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(ii)        the provision for federal, state, local and foreign income taxes payable;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(iii)       depreciation and amortization expense;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(iv)       non-cash charges and expenses such as unrealized foreign exchange losses and charges relating to the impairment of goodwill and other intangible assets;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(v)        transaction costs incurred in such period to the extent approved by the Required Lenders in writing;</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(vi)       non-cash share-based compensation;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(vii)      non-cash share of loss from investments in associates and unrealized loss on changes in fair value of contingent consideration and investments;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(viii)     extraordinary or non-recurring expenses or losses to the extent approved by the Required Lenders in writing;</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(ix)       Expansion Costs and Restructuring Costs in an amount not to exceed 10% of Consolidated EBITDA in any Fiscal Year of the Borrower (as shown in the Compliance Certificate delivered with the financial statements delivered under Section 6.01(c) for the Fiscal Year immediately preceding the Fiscal Year in which such calculation is made);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(x)        [reserved;]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(xi)       to the extent Consolidated EBITDA of the Mack Entities (taken as a whole) is less than $0 with respect to the Fiscal Quarters ended November 31, 2024 and February 28, 2025, a one-time addback in an amount equal to the lesser of (a) with respect to such Fiscal Quarters, $2,000,000 and $1,750,000, respectively, and (b) actual negative Consolidated EBITDA of the Mack Entities for such Fiscal Quarter;  provided that in no event, shall the addback under this clause (xi) for such Fiscal Quarters exceed $2,000,000 and $1,750,000, respectively; and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(xi)       any other expenses approved in writing by the Required Lenders in their discretion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u w:val="single"/>
        </w:rPr>
        <w:t>less</w:t>
      </w:r>
      <w:r>
        <w:rPr>
          <w:rFonts w:ascii="Times New Roman" w:hAnsi="Times New Roman"/>
          <w:caps w:val="false"/>
          <w:smallCaps w:val="false"/>
          <w:sz w:val="20"/>
        </w:rPr>
        <w:t xml:space="preserve"> (c) without duplication and to the extent reflected as a gain or otherwise included in the calculation of Consolidated Net Income for such period;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         non-cash gains (excluding any such non-cash gains to the extent (y) there were cash gains with respect to such gains in past accounting periods or (z) there is a reasonable expectation that there will be cash gains with respect to such gains in future accounting periods);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(ii)        non-cash share of gains from investments in associates and unrealized loss on changes in fair value of contingent consideration and investments;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(iii)       extraordinary or non-recurring gains;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provided that for purposes of this Agreement, (a) Consolidated EBITDA of the Tilray Beverage Entities shall be $1,653,961 for the quarter ending November 30, 2022, ($3,241,493) for the quarter ending February 28, 2023, $2,456,211 for the quarter ending May 31, 2023, and $3,247,153 and (b) Consolidated EBITDA of the Mack Entities shall be excluded from Consolidated EBITDA for all periods prior to August 31, 2024.</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Fixed Charge Coverage Ratio</w:t>
      </w:r>
      <w:r>
        <w:rPr>
          <w:rFonts w:ascii="Times New Roman" w:hAnsi="Times New Roman"/>
          <w:caps w:val="false"/>
          <w:smallCaps w:val="false"/>
          <w:sz w:val="20"/>
        </w:rPr>
        <w:t>” means, as of any date of determination for the most recently completed four (4) Fiscal Quarters of the Borrower, the ratio of (a)(i) Consolidated EBITDA for such period less (ii) the aggregate amount of all Consolidated Capital Expenditures paid in cash during such period, less (iii) income tax expense paid in cash for such period, including, without limitation, federal, state, local, franchise and similar taxes paid during such period including penalties and interest related to such taxes or arising from any tax examinations (including, without duplication, Permitted Tax Distributions) for such period to (b) Consolidated Fixed Charges for such period.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Fixed Charges</w:t>
      </w:r>
      <w:r>
        <w:rPr>
          <w:rFonts w:ascii="Times New Roman" w:hAnsi="Times New Roman"/>
          <w:caps w:val="false"/>
          <w:smallCaps w:val="false"/>
          <w:sz w:val="20"/>
        </w:rPr>
        <w:t>” means, as of any date of determination for the most recently completed four (4) Fiscal Quarters of the Borrower, the sum, without duplication, of (a) Consolidated Interest Charges paid in cash for such period, and (b) scheduled principal payments made in cash on Consolidated Funded Indebtedness during such period (</w:t>
      </w:r>
      <w:r>
        <w:rPr>
          <w:rFonts w:ascii="Times New Roman" w:hAnsi="Times New Roman"/>
          <w:i/>
          <w:caps w:val="false"/>
          <w:smallCaps w:val="false"/>
          <w:sz w:val="20"/>
        </w:rPr>
        <w:t>provided</w:t>
      </w:r>
      <w:r>
        <w:rPr>
          <w:rFonts w:ascii="Times New Roman" w:hAnsi="Times New Roman"/>
          <w:caps w:val="false"/>
          <w:smallCaps w:val="false"/>
          <w:sz w:val="20"/>
        </w:rPr>
        <w:t xml:space="preserve"> that for purposes of calculating the Consolidated Fixed Charge Coverage Ratio, scheduled principal payments shall not be reduced by voluntary prepayments of Consolidated Funded Indebtedness). For purposes of calculating the Consolidated Fixed Charge Coverage Ratio until completion of four (4) full Fiscal Quarters after the Closing Date,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of the foregoing sentence shall (i) for the Fiscal Quarter ended August 31, 2023, such amount for the measurement period then ended shall equal such item for such Fiscal Quarter multiplied by four (4); (ii)  the Fiscal Quarter ended November 30, 2023, such amount for the measurement period then ended shall equal such item for the two (2) consecutive Fiscal Quarters then ended multiplied by two (2); and (iii) the Fiscal Quarter ended February 28, 2024, such amount for the measurement period then ended shall equal such item for the three (3) consecutive Fiscal Quarters then ended multiplied by four-thirds (4/3).</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Funded Indebtedness</w:t>
      </w:r>
      <w:r>
        <w:rPr>
          <w:rFonts w:ascii="Times New Roman" w:hAnsi="Times New Roman"/>
          <w:caps w:val="false"/>
          <w:smallCaps w:val="false"/>
          <w:sz w:val="20"/>
        </w:rPr>
        <w:t xml:space="preserve">” means, as of any date of determination, for the Loan Party Group Companies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the maximum amount available to be drawn under issued and outstanding letters of credit (including standby and commercial), bankers’ acceptances, bank guaranties, surety bonds and similar instruments; (d) all obligations in respect of the deferred purchase price of property or services, including earn-out obligations (other than trade accounts payable in the ordinary course of business); provided that (i) any earn-out obligation shall be calculated as the liability (if any) on the balance sheet of such Person in accordance with GAAP and (ii) Consolidated Funded Indebtedness shall exclude any Holdings Paid Earnout;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plus accrued and unpaid dividends; (g) without duplication, all Guarantees with respect to outstanding Indebtedness of the types specified in </w:t>
      </w:r>
      <w:r>
        <w:rPr>
          <w:rFonts w:ascii="Times New Roman" w:hAnsi="Times New Roman"/>
          <w:b/>
          <w:i/>
          <w:caps w:val="false"/>
          <w:smallCaps w:val="false"/>
          <w:sz w:val="20"/>
        </w:rPr>
        <w:t xml:space="preserve">clauses (a) through (f) </w:t>
      </w:r>
      <w:r>
        <w:rPr>
          <w:rFonts w:ascii="Times New Roman" w:hAnsi="Times New Roman"/>
          <w:caps w:val="false"/>
          <w:smallCaps w:val="false"/>
          <w:sz w:val="20"/>
        </w:rPr>
        <w:t xml:space="preserve">above of Persons other than a Loan Party or any Subsidiary; and (h) all Indebtedness of the types referred to in </w:t>
      </w:r>
      <w:r>
        <w:rPr>
          <w:rFonts w:ascii="Times New Roman" w:hAnsi="Times New Roman"/>
          <w:b/>
          <w:i/>
          <w:caps w:val="false"/>
          <w:smallCaps w:val="false"/>
          <w:sz w:val="20"/>
        </w:rPr>
        <w:t xml:space="preserve">clauses (a) through (g) </w:t>
      </w:r>
      <w:r>
        <w:rPr>
          <w:rFonts w:ascii="Times New Roman" w:hAnsi="Times New Roman"/>
          <w:caps w:val="false"/>
          <w:smallCaps w:val="false"/>
          <w:sz w:val="20"/>
        </w:rPr>
        <w:t xml:space="preserve">above of any partnership or joint venture (other than a joint venture that is itself a corporation or limited liability company) in which a Loan Party or a Subsidiary is a general partner or joint venturer, unless such Indebtedness is expressly made non-recourse to such Loan Party or such Subsidiary;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Borrower may net up to $10,000,000 of the cash and Cash Equivalents held in the Cash Reserve Collateral Account against the outstanding principal amount of the Holdings Note in determining Consolidated Funded Indebtedness.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Interest Charges</w:t>
      </w:r>
      <w:r>
        <w:rPr>
          <w:rFonts w:ascii="Times New Roman" w:hAnsi="Times New Roman"/>
          <w:caps w:val="false"/>
          <w:smallCaps w:val="false"/>
          <w:sz w:val="20"/>
        </w:rPr>
        <w:t>” means, for any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and (b) the portion of rent expense under Capitalized Leases that is treated as interest in accordance with GAAP, in each case, of or by the Loan Party Group Companies on a consolidated basis.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Leverage Ratio</w:t>
      </w:r>
      <w:r>
        <w:rPr>
          <w:rFonts w:ascii="Times New Roman" w:hAnsi="Times New Roman"/>
          <w:caps w:val="false"/>
          <w:smallCaps w:val="false"/>
          <w:sz w:val="20"/>
        </w:rPr>
        <w:t>” means, as of any date of determination, the ratio of (a) Consolidated Funded Indebtedness as of such date to (b) Consolidated EBITDA for the most recently completed four (4) Fiscal Quarters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Consolidated Net Income</w:t>
      </w:r>
      <w:r>
        <w:rPr>
          <w:rFonts w:ascii="Times New Roman" w:hAnsi="Times New Roman"/>
          <w:caps w:val="false"/>
          <w:smallCaps w:val="false"/>
          <w:sz w:val="20"/>
        </w:rPr>
        <w:t xml:space="preserve">” means, at any date of determination, the net income (or loss) of the Loan Party Group Companies on a consolidated basis for the most recently completed four (4) Fiscal Quarters of the Borrower; </w:t>
      </w:r>
      <w:r>
        <w:rPr>
          <w:rFonts w:ascii="Times New Roman" w:hAnsi="Times New Roman"/>
          <w:i/>
          <w:caps w:val="false"/>
          <w:smallCaps w:val="false"/>
          <w:sz w:val="20"/>
        </w:rPr>
        <w:t>provided</w:t>
      </w:r>
      <w:r>
        <w:rPr>
          <w:rFonts w:ascii="Times New Roman" w:hAnsi="Times New Roman"/>
          <w:caps w:val="false"/>
          <w:smallCaps w:val="false"/>
          <w:sz w:val="20"/>
        </w:rPr>
        <w:t xml:space="preserve"> that Consolidated Net Income shall exclude (a) unusual and infrequent gains and unusual and infrequent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and (c) any income (or loss) for such period of any Person if such Person is not a Subsidiary, except that any Loan Party Group Company’s equity in the net income of any such Person for such period shall be included in Consolidated Net Income up to the aggregate amount of cash actually distributed by such Person during such period to a Loan Party Group Company as a dividend or other distribution.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Contractual Obligation</w:t>
      </w:r>
      <w:r>
        <w:rPr>
          <w:rFonts w:ascii="Times New Roman" w:hAnsi="Times New Roman"/>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Control</w:t>
      </w:r>
      <w:r>
        <w:rPr>
          <w:rFonts w:ascii="Times New Roman" w:hAnsi="Times New Roman"/>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b/>
          <w:i/>
          <w:caps w:val="false"/>
          <w:smallCaps w:val="false"/>
          <w:sz w:val="20"/>
        </w:rPr>
        <w:t>Controlling</w:t>
      </w:r>
      <w:r>
        <w:rPr>
          <w:rFonts w:ascii="Times New Roman" w:hAnsi="Times New Roman"/>
          <w:caps w:val="false"/>
          <w:smallCaps w:val="false"/>
          <w:sz w:val="20"/>
        </w:rPr>
        <w:t>” and “</w:t>
      </w:r>
      <w:r>
        <w:rPr>
          <w:rFonts w:ascii="Times New Roman" w:hAnsi="Times New Roman"/>
          <w:b/>
          <w:i/>
          <w:caps w:val="false"/>
          <w:smallCaps w:val="false"/>
          <w:sz w:val="20"/>
        </w:rPr>
        <w:t>Controlled</w:t>
      </w:r>
      <w:r>
        <w:rPr>
          <w:rFonts w:ascii="Times New Roman" w:hAnsi="Times New Roman"/>
          <w:caps w:val="false"/>
          <w:smallCaps w:val="false"/>
          <w:sz w:val="20"/>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Control Agreement</w:t>
      </w:r>
      <w:r>
        <w:rPr>
          <w:rFonts w:ascii="Times New Roman" w:hAnsi="Times New Roman"/>
          <w:caps w:val="false"/>
          <w:smallCaps w:val="false"/>
          <w:sz w:val="20"/>
        </w:rPr>
        <w:t>” means a deposit account control agreement among the Borrower, Bank of America, N.A., as depository bank, and the Administrative Agent in form and substance reasonably acceptable to the Administrative Agent, as the same may be amended, supplemented or modified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Controlled Substances Act</w:t>
      </w:r>
      <w:r>
        <w:rPr>
          <w:rFonts w:ascii="Times New Roman" w:hAnsi="Times New Roman"/>
          <w:caps w:val="false"/>
          <w:smallCaps w:val="false"/>
          <w:sz w:val="20"/>
        </w:rPr>
        <w:t>” means the Controlled Substances Act (21 U.S.C. Section 801 et seq.).</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Covered Entity</w:t>
      </w:r>
      <w:r>
        <w:rPr>
          <w:rFonts w:ascii="Times New Roman" w:hAnsi="Times New Roman"/>
          <w:caps w:val="false"/>
          <w:smallCaps w:val="false"/>
          <w:sz w:val="20"/>
        </w:rPr>
        <w:t>” means any of the following: (a) a “</w:t>
      </w:r>
      <w:r>
        <w:rPr>
          <w:rFonts w:ascii="Times New Roman" w:hAnsi="Times New Roman"/>
          <w:i/>
          <w:caps w:val="false"/>
          <w:smallCaps w:val="false"/>
          <w:sz w:val="20"/>
        </w:rPr>
        <w:t>covered entity</w:t>
      </w:r>
      <w:r>
        <w:rPr>
          <w:rFonts w:ascii="Times New Roman" w:hAnsi="Times New Roman"/>
          <w:caps w:val="false"/>
          <w:smallCaps w:val="false"/>
          <w:sz w:val="20"/>
        </w:rPr>
        <w:t>” as that term is defined in, and interpreted in accordance with, 12 C.F.R. §252.82(b); (b) a “</w:t>
      </w:r>
      <w:r>
        <w:rPr>
          <w:rFonts w:ascii="Times New Roman" w:hAnsi="Times New Roman"/>
          <w:i/>
          <w:caps w:val="false"/>
          <w:smallCaps w:val="false"/>
          <w:sz w:val="20"/>
        </w:rPr>
        <w:t>covered bank</w:t>
      </w:r>
      <w:r>
        <w:rPr>
          <w:rFonts w:ascii="Times New Roman" w:hAnsi="Times New Roman"/>
          <w:caps w:val="false"/>
          <w:smallCaps w:val="false"/>
          <w:sz w:val="20"/>
        </w:rPr>
        <w:t>” as that term is defined in, and interpreted in accordance with, 12 C.F.R. §47.3(b); or (c) a “</w:t>
      </w:r>
      <w:r>
        <w:rPr>
          <w:rFonts w:ascii="Times New Roman" w:hAnsi="Times New Roman"/>
          <w:i/>
          <w:caps w:val="false"/>
          <w:smallCaps w:val="false"/>
          <w:sz w:val="20"/>
        </w:rPr>
        <w:t>covered FSI</w:t>
      </w:r>
      <w:r>
        <w:rPr>
          <w:rFonts w:ascii="Times New Roman" w:hAnsi="Times New Roman"/>
          <w:caps w:val="false"/>
          <w:smallCaps w:val="false"/>
          <w:sz w:val="20"/>
        </w:rPr>
        <w:t>” as that term is defined in, and interpreted in accordance with, 12 C.F.R. §382.2(b).</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Credit Extension</w:t>
      </w:r>
      <w:r>
        <w:rPr>
          <w:rFonts w:ascii="Times New Roman" w:hAnsi="Times New Roman"/>
          <w:caps w:val="false"/>
          <w:smallCaps w:val="false"/>
          <w:sz w:val="20"/>
        </w:rPr>
        <w:t>” means each of the following: (a) a Borrowing and (b) an L/C Credit Extension.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Daily Simple SOFR</w:t>
      </w:r>
      <w:r>
        <w:rPr>
          <w:rFonts w:ascii="Times New Roman" w:hAnsi="Times New Roman"/>
          <w:caps w:val="false"/>
          <w:smallCaps w:val="false"/>
          <w:sz w:val="20"/>
        </w:rPr>
        <w:t>” with respect to any applicable determination date means the SOFR published on such date on the Federal Reserve Bank of New York’s website (or any successor source).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Debt Issuance</w:t>
      </w:r>
      <w:r>
        <w:rPr>
          <w:rFonts w:ascii="Times New Roman" w:hAnsi="Times New Roman"/>
          <w:caps w:val="false"/>
          <w:smallCaps w:val="false"/>
          <w:sz w:val="20"/>
        </w:rPr>
        <w:t xml:space="preserve">” means the issuance by any Loan Party or any Subsidiary of any Indebtedness other than Indebtedness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7.02</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Debtor Relief Laws</w:t>
      </w:r>
      <w:r>
        <w:rPr>
          <w:rFonts w:ascii="Times New Roman" w:hAnsi="Times New Roman"/>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Declining Party</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9.15</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Default</w:t>
      </w:r>
      <w:r>
        <w:rPr>
          <w:rFonts w:ascii="Times New Roman" w:hAnsi="Times New Roman"/>
          <w:caps w:val="false"/>
          <w:smallCaps w:val="false"/>
          <w:sz w:val="20"/>
        </w:rPr>
        <w:t>” means any event or condition that constitutes an Event of Default or that, with the giving of any notice, the passage of time, or both, would be an Event of Default.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Default Rate</w:t>
      </w:r>
      <w:r>
        <w:rPr>
          <w:rFonts w:ascii="Times New Roman" w:hAnsi="Times New Roman"/>
          <w:caps w:val="false"/>
          <w:smallCaps w:val="false"/>
          <w:sz w:val="20"/>
        </w:rPr>
        <w:t xml:space="preserve">” means (a) with respect to any Obligation for which a rate is specified, a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2% in excess of the rate otherwise applicable thereto and (b) with respect to any Obligation for which a rate is not specified or available, a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Base Rate </w:t>
      </w:r>
      <w:r>
        <w:rPr>
          <w:rFonts w:ascii="Times New Roman" w:hAnsi="Times New Roman"/>
          <w:i/>
          <w:caps w:val="false"/>
          <w:smallCaps w:val="false"/>
          <w:sz w:val="20"/>
        </w:rPr>
        <w:t>plus</w:t>
      </w:r>
      <w:r>
        <w:rPr>
          <w:rFonts w:ascii="Times New Roman" w:hAnsi="Times New Roman"/>
          <w:caps w:val="false"/>
          <w:smallCaps w:val="false"/>
          <w:sz w:val="20"/>
        </w:rPr>
        <w:t xml:space="preserve"> the Applicable Rate for Revolving Loans that are Base Rate Loans </w:t>
      </w:r>
      <w:r>
        <w:rPr>
          <w:rFonts w:ascii="Times New Roman" w:hAnsi="Times New Roman"/>
          <w:i/>
          <w:caps w:val="false"/>
          <w:smallCaps w:val="false"/>
          <w:sz w:val="20"/>
        </w:rPr>
        <w:t>plus</w:t>
      </w:r>
      <w:r>
        <w:rPr>
          <w:rFonts w:ascii="Times New Roman" w:hAnsi="Times New Roman"/>
          <w:caps w:val="false"/>
          <w:smallCaps w:val="false"/>
          <w:sz w:val="20"/>
        </w:rPr>
        <w:t xml:space="preserve"> 2%, in each case, to the fullest extent permitted by Applicable Law.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Default Right</w:t>
      </w:r>
      <w:r>
        <w:rPr>
          <w:rFonts w:ascii="Times New Roman" w:hAnsi="Times New Roman"/>
          <w:caps w:val="false"/>
          <w:smallCaps w:val="false"/>
          <w:sz w:val="20"/>
        </w:rPr>
        <w:t>” has the meaning assigned to that term in, and shall be interpreted in accordance with, 12 C.F.R. §§252.81, 47.2 or 382.1, as applicable.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Defaulting Lender</w:t>
      </w:r>
      <w:r>
        <w:rPr>
          <w:rFonts w:ascii="Times New Roman" w:hAnsi="Times New Roman"/>
          <w:caps w:val="false"/>
          <w:smallCaps w:val="false"/>
          <w:sz w:val="20"/>
        </w:rPr>
        <w:t xml:space="preserve">” means,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2.15(b)</w:t>
      </w:r>
      <w:r>
        <w:rPr>
          <w:rFonts w:ascii="Times New Roman" w:hAnsi="Times New Roman"/>
          <w:caps w:val="false"/>
          <w:smallCaps w:val="false"/>
          <w:sz w:val="20"/>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(1)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(1) or more of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through </w:t>
      </w:r>
      <w:r>
        <w:rPr>
          <w:rFonts w:ascii="Times New Roman" w:hAnsi="Times New Roman"/>
          <w:b/>
          <w:i/>
          <w:caps w:val="false"/>
          <w:smallCaps w:val="false"/>
          <w:sz w:val="20"/>
        </w:rPr>
        <w:t>(d)</w:t>
      </w:r>
      <w:r>
        <w:rPr>
          <w:rFonts w:ascii="Times New Roman" w:hAnsi="Times New Roman"/>
          <w:caps w:val="false"/>
          <w:smallCaps w:val="false"/>
          <w:sz w:val="20"/>
        </w:rPr>
        <w:t xml:space="preserve"> above, and the effective date of such status, shall be conclusive and binding absent manifest error, and such Lender shall be deemed to be a Defaulting Lender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2.15(b)</w:t>
      </w:r>
      <w:r>
        <w:rPr>
          <w:rFonts w:ascii="Times New Roman" w:hAnsi="Times New Roman"/>
          <w:caps w:val="false"/>
          <w:smallCaps w:val="false"/>
          <w:sz w:val="20"/>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Delayed Draw Term Loan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Delayed Draw Term Loan Availability Period</w:t>
      </w:r>
      <w:r>
        <w:rPr>
          <w:rFonts w:ascii="Times New Roman" w:hAnsi="Times New Roman"/>
          <w:caps w:val="false"/>
          <w:smallCaps w:val="false"/>
          <w:sz w:val="20"/>
        </w:rPr>
        <w:t xml:space="preserve">” means in respect of the Delayed Draw Term Loan Facility, the period from and including the Closing Date to the earliest of (i) December 31, 2024, (ii) the date of termination of the Delayed Draw Term Loan Commitments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2.06</w:t>
      </w:r>
      <w:r>
        <w:rPr>
          <w:rFonts w:ascii="Times New Roman" w:hAnsi="Times New Roman"/>
          <w:caps w:val="false"/>
          <w:smallCaps w:val="false"/>
          <w:sz w:val="20"/>
        </w:rPr>
        <w:t xml:space="preserve">, and (iii) the date of termination of the Commitment of each Delayed Draw Term Loan Lender to make Delayed Draw Term Loans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Delayed Draw Term Loan Commitment</w:t>
      </w:r>
      <w:r>
        <w:rPr>
          <w:rFonts w:ascii="Times New Roman" w:hAnsi="Times New Roman"/>
          <w:caps w:val="false"/>
          <w:smallCaps w:val="false"/>
          <w:sz w:val="20"/>
        </w:rPr>
        <w:t xml:space="preserve">” shall mean, with respect to each Lender, the obligation of such Lender to make a Delayed Draw Term Loan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2.01(b)</w:t>
      </w:r>
      <w:r>
        <w:rPr>
          <w:rFonts w:ascii="Times New Roman" w:hAnsi="Times New Roman"/>
          <w:caps w:val="false"/>
          <w:smallCaps w:val="false"/>
          <w:sz w:val="20"/>
        </w:rPr>
        <w:t xml:space="preserve"> in a principal amount not exceeding the amount set forth with respect to such Lender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 xml:space="preserve"> under the column titled “</w:t>
      </w:r>
      <w:r>
        <w:rPr>
          <w:rFonts w:ascii="Times New Roman" w:hAnsi="Times New Roman"/>
          <w:i/>
          <w:caps w:val="false"/>
          <w:smallCaps w:val="false"/>
          <w:sz w:val="20"/>
        </w:rPr>
        <w:t>Delayed Draw Term Loan Commitment Amount</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Delayed Draw Term Loan Facility</w:t>
      </w:r>
      <w:r>
        <w:rPr>
          <w:rFonts w:ascii="Times New Roman" w:hAnsi="Times New Roman"/>
          <w:caps w:val="false"/>
          <w:smallCaps w:val="false"/>
          <w:sz w:val="20"/>
        </w:rPr>
        <w:t xml:space="preserve">” means the delayed draw term loan credit facility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Delayed Draw Term Loan Lender</w:t>
      </w:r>
      <w:r>
        <w:rPr>
          <w:rFonts w:ascii="Times New Roman" w:hAnsi="Times New Roman"/>
          <w:caps w:val="false"/>
          <w:smallCaps w:val="false"/>
          <w:sz w:val="20"/>
        </w:rPr>
        <w:t>” means any Lender that has a Delayed Draw Term Loan Commitment and, after a Borrowing under the Delayed Draw Term Loan Commitment, any Lender that holds Delayed Draw Term Loans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Designated Jurisdiction</w:t>
      </w:r>
      <w:r>
        <w:rPr>
          <w:rFonts w:ascii="Times New Roman" w:hAnsi="Times New Roman"/>
          <w:caps w:val="false"/>
          <w:smallCaps w:val="false"/>
          <w:sz w:val="20"/>
        </w:rPr>
        <w:t>” means any country or territory to the extent that such country or territory is the subject of any Sanction.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Disposition</w:t>
      </w:r>
      <w:r>
        <w:rPr>
          <w:rFonts w:ascii="Times New Roman" w:hAnsi="Times New Roman"/>
          <w:caps w:val="false"/>
          <w:smallCaps w:val="false"/>
          <w:sz w:val="20"/>
        </w:rPr>
        <w:t>” or “</w:t>
      </w:r>
      <w:r>
        <w:rPr>
          <w:rFonts w:ascii="Times New Roman" w:hAnsi="Times New Roman"/>
          <w:b/>
          <w:i/>
          <w:caps w:val="false"/>
          <w:smallCaps w:val="false"/>
          <w:sz w:val="20"/>
        </w:rPr>
        <w:t>Dispose</w:t>
      </w:r>
      <w:r>
        <w:rPr>
          <w:rFonts w:ascii="Times New Roman" w:hAnsi="Times New Roman"/>
          <w:caps w:val="false"/>
          <w:smallCaps w:val="false"/>
          <w:sz w:val="20"/>
        </w:rPr>
        <w:t>” means the sale, transfer, license, lease or other disposition (including any Sale and Leaseback Transaction) of any property by any Loan Party or Subsidiary, including any sale, assignment, transfer or other disposal, with or without recourse, of any notes or accounts receivable or any rights and claims associated therewith.</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Disqualified Institution</w:t>
      </w:r>
      <w:r>
        <w:rPr>
          <w:rFonts w:ascii="Times New Roman" w:hAnsi="Times New Roman"/>
          <w:caps w:val="false"/>
          <w:smallCaps w:val="false"/>
          <w:sz w:val="20"/>
        </w:rPr>
        <w:t>” shall mean (a) competitors of any Loan Party Group Company that are in the same or a similar line of business and, in each case, identified in writing to the Administrative Agent from time to time, which identification shall not apply retroactively for any purpose, including to disqualify any Persons that have previously acquired an assignment or participation interest in any Loans and/or Commitments (each such entity, a “</w:t>
      </w:r>
      <w:r>
        <w:rPr>
          <w:rFonts w:ascii="Times New Roman" w:hAnsi="Times New Roman"/>
          <w:b/>
          <w:i/>
          <w:caps w:val="false"/>
          <w:smallCaps w:val="false"/>
          <w:sz w:val="20"/>
        </w:rPr>
        <w:t>Competitor</w:t>
      </w:r>
      <w:r>
        <w:rPr>
          <w:rFonts w:ascii="Times New Roman" w:hAnsi="Times New Roman"/>
          <w:caps w:val="false"/>
          <w:smallCaps w:val="false"/>
          <w:sz w:val="20"/>
        </w:rPr>
        <w:t>”), (b) each Person which was designated by the Borrower as a “</w:t>
      </w:r>
      <w:r>
        <w:rPr>
          <w:rFonts w:ascii="Times New Roman" w:hAnsi="Times New Roman"/>
          <w:i/>
          <w:caps w:val="false"/>
          <w:smallCaps w:val="false"/>
          <w:sz w:val="20"/>
        </w:rPr>
        <w:t>Disqualified Institution</w:t>
      </w:r>
      <w:r>
        <w:rPr>
          <w:rFonts w:ascii="Times New Roman" w:hAnsi="Times New Roman"/>
          <w:caps w:val="false"/>
          <w:smallCaps w:val="false"/>
          <w:sz w:val="20"/>
        </w:rPr>
        <w:t xml:space="preserve">” by written notice delivered to the Administrative Agent prior to the Closing Date and (c) Affiliates of any such Persons under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hereof to the extent such Affiliates (i) are clearly identifiable on the basis of such Affiliates’ names or designated in writing by the Borrower from time to time and (ii) solely with respect to Affiliates of Competitors, are not </w:t>
      </w:r>
      <w:r>
        <w:rPr>
          <w:rFonts w:ascii="Times New Roman" w:hAnsi="Times New Roman"/>
          <w:i/>
          <w:caps w:val="false"/>
          <w:smallCaps w:val="false"/>
          <w:sz w:val="20"/>
        </w:rPr>
        <w:t>bona fide</w:t>
      </w:r>
      <w:r>
        <w:rPr>
          <w:rFonts w:ascii="Times New Roman" w:hAnsi="Times New Roman"/>
          <w:caps w:val="false"/>
          <w:smallCaps w:val="false"/>
          <w:sz w:val="20"/>
        </w:rPr>
        <w:t xml:space="preserve"> debt funds or investment vehicles that are engaged in making, purchasing, holding or otherwise investing in commercial loans and similar extensions of credit in the ordinary course of business with appropriate information barriers in place;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 list of Disqualified Institutions identified above shall be made available to any Lender on a confidential basis upon request to the Administrative Agent;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w:t>
      </w:r>
      <w:r>
        <w:rPr>
          <w:rFonts w:ascii="Times New Roman" w:hAnsi="Times New Roman"/>
          <w:i/>
          <w:caps w:val="false"/>
          <w:smallCaps w:val="false"/>
          <w:sz w:val="20"/>
        </w:rPr>
        <w:t>Disqualified Institutions</w:t>
      </w:r>
      <w:r>
        <w:rPr>
          <w:rFonts w:ascii="Times New Roman" w:hAnsi="Times New Roman"/>
          <w:caps w:val="false"/>
          <w:smallCaps w:val="false"/>
          <w:sz w:val="20"/>
        </w:rPr>
        <w:t>” shall exclude any Person that the Borrower has designated as no longer being a “</w:t>
      </w:r>
      <w:r>
        <w:rPr>
          <w:rFonts w:ascii="Times New Roman" w:hAnsi="Times New Roman"/>
          <w:i/>
          <w:caps w:val="false"/>
          <w:smallCaps w:val="false"/>
          <w:sz w:val="20"/>
        </w:rPr>
        <w:t>Disqualified Institution</w:t>
      </w:r>
      <w:r>
        <w:rPr>
          <w:rFonts w:ascii="Times New Roman" w:hAnsi="Times New Roman"/>
          <w:caps w:val="false"/>
          <w:smallCaps w:val="false"/>
          <w:sz w:val="20"/>
        </w:rPr>
        <w:t>” by written notice delivered to the Administrative Agent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Documentation Agent</w:t>
      </w:r>
      <w:r>
        <w:rPr>
          <w:rFonts w:ascii="Times New Roman" w:hAnsi="Times New Roman"/>
          <w:caps w:val="false"/>
          <w:smallCaps w:val="false"/>
          <w:sz w:val="20"/>
        </w:rPr>
        <w:t>” means City National Bank and its successors (but not assigns).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Dollar</w:t>
      </w:r>
      <w:r>
        <w:rPr>
          <w:rFonts w:ascii="Times New Roman" w:hAnsi="Times New Roman"/>
          <w:caps w:val="false"/>
          <w:smallCaps w:val="false"/>
          <w:sz w:val="20"/>
        </w:rPr>
        <w:t>” and “</w:t>
      </w:r>
      <w:r>
        <w:rPr>
          <w:rFonts w:ascii="Times New Roman" w:hAnsi="Times New Roman"/>
          <w:b/>
          <w:i/>
          <w:caps w:val="false"/>
          <w:smallCaps w:val="false"/>
          <w:sz w:val="20"/>
        </w:rPr>
        <w:t>$</w:t>
      </w:r>
      <w:r>
        <w:rPr>
          <w:rFonts w:ascii="Times New Roman" w:hAnsi="Times New Roman"/>
          <w:caps w:val="false"/>
          <w:smallCaps w:val="false"/>
          <w:sz w:val="20"/>
        </w:rPr>
        <w:t>” mean lawful money of the United States.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Domestic Subsidiary</w:t>
      </w:r>
      <w:r>
        <w:rPr>
          <w:rFonts w:ascii="Times New Roman" w:hAnsi="Times New Roman"/>
          <w:caps w:val="false"/>
          <w:smallCaps w:val="false"/>
          <w:sz w:val="20"/>
        </w:rPr>
        <w:t>” means any Subsidiary that is organized under the laws of the United States, any state thereof or the District of Columbia.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DQ List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11.06(g)(iv)</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EEA Financial Institution</w:t>
      </w:r>
      <w:r>
        <w:rPr>
          <w:rFonts w:ascii="Times New Roman" w:hAnsi="Times New Roman"/>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of this definition, or (c) any financial institution established in an EEA Member Country which is a Subsidiary of an institution described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or </w:t>
      </w:r>
      <w:r>
        <w:rPr>
          <w:rFonts w:ascii="Times New Roman" w:hAnsi="Times New Roman"/>
          <w:b/>
          <w:i/>
          <w:caps w:val="false"/>
          <w:smallCaps w:val="false"/>
          <w:sz w:val="20"/>
        </w:rPr>
        <w:t>(b)</w:t>
      </w:r>
      <w:r>
        <w:rPr>
          <w:rFonts w:ascii="Times New Roman" w:hAnsi="Times New Roman"/>
          <w:caps w:val="false"/>
          <w:smallCaps w:val="false"/>
          <w:sz w:val="20"/>
        </w:rPr>
        <w:t xml:space="preserve"> of this definition and is subject to consolidated supervision with its parent.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EEA Member Country</w:t>
      </w:r>
      <w:r>
        <w:rPr>
          <w:rFonts w:ascii="Times New Roman" w:hAnsi="Times New Roman"/>
          <w:caps w:val="false"/>
          <w:smallCaps w:val="false"/>
          <w:sz w:val="20"/>
        </w:rPr>
        <w:t>” means any of the member states of the European Union, Iceland, Liechtenstein, and Norway.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Electronic Record</w:t>
      </w:r>
      <w:r>
        <w:rPr>
          <w:rFonts w:ascii="Times New Roman" w:hAnsi="Times New Roman"/>
          <w:caps w:val="false"/>
          <w:smallCaps w:val="false"/>
          <w:sz w:val="20"/>
        </w:rPr>
        <w:t>” and “</w:t>
      </w:r>
      <w:r>
        <w:rPr>
          <w:rFonts w:ascii="Times New Roman" w:hAnsi="Times New Roman"/>
          <w:b/>
          <w:i/>
          <w:caps w:val="false"/>
          <w:smallCaps w:val="false"/>
          <w:sz w:val="20"/>
        </w:rPr>
        <w:t>Electronic Signature</w:t>
      </w:r>
      <w:r>
        <w:rPr>
          <w:rFonts w:ascii="Times New Roman" w:hAnsi="Times New Roman"/>
          <w:caps w:val="false"/>
          <w:smallCaps w:val="false"/>
          <w:sz w:val="20"/>
        </w:rPr>
        <w:t>” shall have the meanings assigned to them, respectively, by 15 USC §7006, as it may be amended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Eligible Assignee</w:t>
      </w:r>
      <w:r>
        <w:rPr>
          <w:rFonts w:ascii="Times New Roman" w:hAnsi="Times New Roman"/>
          <w:caps w:val="false"/>
          <w:smallCaps w:val="false"/>
          <w:sz w:val="20"/>
        </w:rPr>
        <w:t xml:space="preserve">” means any Person that meets the requirements to be an assignee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xml:space="preserve"> (subject to such consents, if any, as may be required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11.06(b)(iii)</w:t>
      </w:r>
      <w:r>
        <w:rPr>
          <w:rFonts w:ascii="Times New Roman" w:hAnsi="Times New Roman"/>
          <w:caps w:val="false"/>
          <w:smallCaps w:val="false"/>
          <w:sz w:val="20"/>
        </w:rPr>
        <w:t xml:space="preserve">). For the avoidance of doubt, any Disqualified Institution is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11.06(g)</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Environment</w:t>
      </w:r>
      <w:r>
        <w:rPr>
          <w:rFonts w:ascii="Times New Roman" w:hAnsi="Times New Roman"/>
          <w:caps w:val="false"/>
          <w:smallCaps w:val="false"/>
          <w:sz w:val="20"/>
        </w:rPr>
        <w:t>” means ambient air, indoor air, surface water, groundwater, drinking water, soil, surface and subsurface strata, and natural resources such as wetland, flora and fauna.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Environmental Laws</w:t>
      </w:r>
      <w:r>
        <w:rPr>
          <w:rFonts w:ascii="Times New Roman" w:hAnsi="Times New Roman"/>
          <w:caps w:val="false"/>
          <w:smallCaps w:val="false"/>
          <w:sz w:val="20"/>
        </w:rPr>
        <w:t>” means any and all federal, state,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Environmental Liability</w:t>
      </w:r>
      <w:r>
        <w:rPr>
          <w:rFonts w:ascii="Times New Roman" w:hAnsi="Times New Roman"/>
          <w:caps w:val="false"/>
          <w:smallCaps w:val="false"/>
          <w:sz w:val="20"/>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Environmental Permit</w:t>
      </w:r>
      <w:r>
        <w:rPr>
          <w:rFonts w:ascii="Times New Roman" w:hAnsi="Times New Roman"/>
          <w:caps w:val="false"/>
          <w:smallCaps w:val="false"/>
          <w:sz w:val="20"/>
        </w:rPr>
        <w:t>” means any permit, certification, registration, approval, identification number, license or other authorization required under any Environmental Law.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Equity Interests</w:t>
      </w:r>
      <w:r>
        <w:rPr>
          <w:rFonts w:ascii="Times New Roman" w:hAnsi="Times New Roman"/>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ERISA</w:t>
      </w:r>
      <w:r>
        <w:rPr>
          <w:rFonts w:ascii="Times New Roman" w:hAnsi="Times New Roman"/>
          <w:caps w:val="false"/>
          <w:smallCaps w:val="false"/>
          <w:sz w:val="20"/>
        </w:rPr>
        <w:t>” means the Employee Retirement Income Security Act of 1974, as amended, and the rules and regulations promulgated thereunder.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ERISA Affiliate</w:t>
      </w:r>
      <w:r>
        <w:rPr>
          <w:rFonts w:ascii="Times New Roman" w:hAnsi="Times New Roman"/>
          <w:caps w:val="false"/>
          <w:smallCaps w:val="false"/>
          <w:sz w:val="20"/>
        </w:rPr>
        <w:t xml:space="preserve">” means any trade or business (whether or not incorporated) under common control with the Borrower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414(b)</w:t>
      </w:r>
      <w:r>
        <w:rPr>
          <w:rFonts w:ascii="Times New Roman" w:hAnsi="Times New Roman"/>
          <w:caps w:val="false"/>
          <w:smallCaps w:val="false"/>
          <w:sz w:val="20"/>
        </w:rPr>
        <w:t xml:space="preserve"> or </w:t>
      </w:r>
      <w:r>
        <w:rPr>
          <w:rFonts w:ascii="Times New Roman" w:hAnsi="Times New Roman"/>
          <w:b/>
          <w:i/>
          <w:caps w:val="false"/>
          <w:smallCaps w:val="false"/>
          <w:sz w:val="20"/>
        </w:rPr>
        <w:t>(c)</w:t>
      </w:r>
      <w:r>
        <w:rPr>
          <w:rFonts w:ascii="Times New Roman" w:hAnsi="Times New Roman"/>
          <w:caps w:val="false"/>
          <w:smallCaps w:val="false"/>
          <w:sz w:val="20"/>
        </w:rPr>
        <w:t xml:space="preserve"> of the Code (and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414(m)</w:t>
      </w:r>
      <w:r>
        <w:rPr>
          <w:rFonts w:ascii="Times New Roman" w:hAnsi="Times New Roman"/>
          <w:caps w:val="false"/>
          <w:smallCaps w:val="false"/>
          <w:sz w:val="20"/>
        </w:rPr>
        <w:t xml:space="preserve"> and </w:t>
      </w:r>
      <w:r>
        <w:rPr>
          <w:rFonts w:ascii="Times New Roman" w:hAnsi="Times New Roman"/>
          <w:i/>
          <w:caps w:val="false"/>
          <w:smallCaps w:val="false"/>
          <w:sz w:val="20"/>
        </w:rPr>
        <w:t>(o)</w:t>
      </w:r>
      <w:r>
        <w:rPr>
          <w:rFonts w:ascii="Times New Roman" w:hAnsi="Times New Roman"/>
          <w:caps w:val="false"/>
          <w:smallCaps w:val="false"/>
          <w:sz w:val="20"/>
        </w:rPr>
        <w:t xml:space="preserve"> of the Code for purposes of provisions relating to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412</w:t>
      </w:r>
      <w:r>
        <w:rPr>
          <w:rFonts w:ascii="Times New Roman" w:hAnsi="Times New Roman"/>
          <w:caps w:val="false"/>
          <w:smallCaps w:val="false"/>
          <w:sz w:val="20"/>
        </w:rPr>
        <w:t xml:space="preserve"> of the Code).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ERISA Event</w:t>
      </w:r>
      <w:r>
        <w:rPr>
          <w:rFonts w:ascii="Times New Roman" w:hAnsi="Times New Roman"/>
          <w:caps w:val="false"/>
          <w:smallCaps w:val="false"/>
          <w:sz w:val="20"/>
        </w:rPr>
        <w:t xml:space="preserve">” means (a) a Reportable Event with respect to a Pension Plan; (b) the withdrawal of the Borrower or any ERISA Affiliate from a Pension Plan subject to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4063</w:t>
      </w:r>
      <w:r>
        <w:rPr>
          <w:rFonts w:ascii="Times New Roman" w:hAnsi="Times New Roman"/>
          <w:caps w:val="false"/>
          <w:smallCaps w:val="false"/>
          <w:sz w:val="20"/>
        </w:rPr>
        <w:t xml:space="preserve"> of ERISA during a plan year in which such entity was a “</w:t>
      </w:r>
      <w:r>
        <w:rPr>
          <w:rFonts w:ascii="Times New Roman" w:hAnsi="Times New Roman"/>
          <w:i/>
          <w:caps w:val="false"/>
          <w:smallCaps w:val="false"/>
          <w:sz w:val="20"/>
        </w:rPr>
        <w:t>substantial employer</w:t>
      </w:r>
      <w:r>
        <w:rPr>
          <w:rFonts w:ascii="Times New Roman" w:hAnsi="Times New Roman"/>
          <w:caps w:val="false"/>
          <w:smallCaps w:val="false"/>
          <w:sz w:val="20"/>
        </w:rPr>
        <w:t xml:space="preserve">” as defined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4001(a)(2)</w:t>
      </w:r>
      <w:r>
        <w:rPr>
          <w:rFonts w:ascii="Times New Roman" w:hAnsi="Times New Roman"/>
          <w:caps w:val="false"/>
          <w:smallCaps w:val="false"/>
          <w:sz w:val="20"/>
        </w:rPr>
        <w:t xml:space="preserve"> of ERISA or a cessation of operations that is treated as such a withdrawal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4062(e)</w:t>
      </w:r>
      <w:r>
        <w:rPr>
          <w:rFonts w:ascii="Times New Roman" w:hAnsi="Times New Roman"/>
          <w:caps w:val="false"/>
          <w:smallCaps w:val="false"/>
          <w:sz w:val="20"/>
        </w:rPr>
        <w:t xml:space="preserve"> of ERISA; (c) a complete or partial withdrawal by the Borrower or any ERISA Affiliate from a Multiemployer Plan or notification that a Multiemployer Plan is insolvent; (d) the filing of a notice of intent to terminate, the treatment of a Pension Plan amendment as a termination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4041</w:t>
      </w:r>
      <w:r>
        <w:rPr>
          <w:rFonts w:ascii="Times New Roman" w:hAnsi="Times New Roman"/>
          <w:caps w:val="false"/>
          <w:smallCaps w:val="false"/>
          <w:sz w:val="20"/>
        </w:rPr>
        <w:t xml:space="preserve"> or </w:t>
      </w:r>
      <w:r>
        <w:rPr>
          <w:rFonts w:ascii="Times New Roman" w:hAnsi="Times New Roman"/>
          <w:i/>
          <w:caps w:val="false"/>
          <w:smallCaps w:val="false"/>
          <w:sz w:val="20"/>
        </w:rPr>
        <w:t>4041A</w:t>
      </w:r>
      <w:r>
        <w:rPr>
          <w:rFonts w:ascii="Times New Roman" w:hAnsi="Times New Roman"/>
          <w:caps w:val="false"/>
          <w:smallCaps w:val="false"/>
          <w:sz w:val="20"/>
        </w:rPr>
        <w:t xml:space="preserve"> of ERISA; (e) the institution by the PBGC of proceedings to terminate a Pension Plan; (f) any event or condition which constitutes grounds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4042</w:t>
      </w:r>
      <w:r>
        <w:rPr>
          <w:rFonts w:ascii="Times New Roman" w:hAnsi="Times New Roman"/>
          <w:caps w:val="false"/>
          <w:smallCaps w:val="false"/>
          <w:sz w:val="20"/>
        </w:rPr>
        <w:t xml:space="preserve"> of ERISA for the termination of, or the appointment of a trustee to administer, any Pension Plan; (g) the determination that any Pension Plan is considered an at-risk plan or a plan in endangered or critical status within the meaning of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430</w:t>
      </w:r>
      <w:r>
        <w:rPr>
          <w:rFonts w:ascii="Times New Roman" w:hAnsi="Times New Roman"/>
          <w:caps w:val="false"/>
          <w:smallCaps w:val="false"/>
          <w:sz w:val="20"/>
        </w:rPr>
        <w:t xml:space="preserve">, </w:t>
      </w:r>
      <w:r>
        <w:rPr>
          <w:rFonts w:ascii="Times New Roman" w:hAnsi="Times New Roman"/>
          <w:i/>
          <w:caps w:val="false"/>
          <w:smallCaps w:val="false"/>
          <w:sz w:val="20"/>
        </w:rPr>
        <w:t>431</w:t>
      </w:r>
      <w:r>
        <w:rPr>
          <w:rFonts w:ascii="Times New Roman" w:hAnsi="Times New Roman"/>
          <w:caps w:val="false"/>
          <w:smallCaps w:val="false"/>
          <w:sz w:val="20"/>
        </w:rPr>
        <w:t xml:space="preserve"> and </w:t>
      </w:r>
      <w:r>
        <w:rPr>
          <w:rFonts w:ascii="Times New Roman" w:hAnsi="Times New Roman"/>
          <w:i/>
          <w:caps w:val="false"/>
          <w:smallCaps w:val="false"/>
          <w:sz w:val="20"/>
        </w:rPr>
        <w:t>432</w:t>
      </w:r>
      <w:r>
        <w:rPr>
          <w:rFonts w:ascii="Times New Roman" w:hAnsi="Times New Roman"/>
          <w:caps w:val="false"/>
          <w:smallCaps w:val="false"/>
          <w:sz w:val="20"/>
        </w:rPr>
        <w:t xml:space="preserve"> of the Code or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303</w:t>
      </w:r>
      <w:r>
        <w:rPr>
          <w:rFonts w:ascii="Times New Roman" w:hAnsi="Times New Roman"/>
          <w:caps w:val="false"/>
          <w:smallCaps w:val="false"/>
          <w:sz w:val="20"/>
        </w:rPr>
        <w:t xml:space="preserve">, </w:t>
      </w:r>
      <w:r>
        <w:rPr>
          <w:rFonts w:ascii="Times New Roman" w:hAnsi="Times New Roman"/>
          <w:i/>
          <w:caps w:val="false"/>
          <w:smallCaps w:val="false"/>
          <w:sz w:val="20"/>
        </w:rPr>
        <w:t>304</w:t>
      </w:r>
      <w:r>
        <w:rPr>
          <w:rFonts w:ascii="Times New Roman" w:hAnsi="Times New Roman"/>
          <w:caps w:val="false"/>
          <w:smallCaps w:val="false"/>
          <w:sz w:val="20"/>
        </w:rPr>
        <w:t xml:space="preserve"> and </w:t>
      </w:r>
      <w:r>
        <w:rPr>
          <w:rFonts w:ascii="Times New Roman" w:hAnsi="Times New Roman"/>
          <w:i/>
          <w:caps w:val="false"/>
          <w:smallCaps w:val="false"/>
          <w:sz w:val="20"/>
        </w:rPr>
        <w:t>305</w:t>
      </w:r>
      <w:r>
        <w:rPr>
          <w:rFonts w:ascii="Times New Roman" w:hAnsi="Times New Roman"/>
          <w:caps w:val="false"/>
          <w:smallCaps w:val="false"/>
          <w:sz w:val="20"/>
        </w:rPr>
        <w:t xml:space="preserve"> of ERISA; (h) the imposition of any liability under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IV</w:t>
      </w:r>
      <w:r>
        <w:rPr>
          <w:rFonts w:ascii="Times New Roman" w:hAnsi="Times New Roman"/>
          <w:caps w:val="false"/>
          <w:smallCaps w:val="false"/>
          <w:sz w:val="20"/>
        </w:rPr>
        <w:t xml:space="preserve"> of ERISA, other than for PBGC premiums due but not delinquent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4007</w:t>
      </w:r>
      <w:r>
        <w:rPr>
          <w:rFonts w:ascii="Times New Roman" w:hAnsi="Times New Roman"/>
          <w:caps w:val="false"/>
          <w:smallCaps w:val="false"/>
          <w:sz w:val="20"/>
        </w:rPr>
        <w:t xml:space="preserve">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Event of Default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Excluded Property</w:t>
      </w:r>
      <w:r>
        <w:rPr>
          <w:rFonts w:ascii="Times New Roman" w:hAnsi="Times New Roman"/>
          <w:caps w:val="false"/>
          <w:smallCaps w:val="false"/>
          <w:sz w:val="20"/>
        </w:rPr>
        <w:t xml:space="preserve">” means, with respect to any Loan Party, (a) any Intellectual Property for which a perfected Lien thereon is not effected either by filing of a UCC financing statement or by appropriate evidence of such Lien being filed in either the United States Copyright Office or the United States Patent and Trademark Office, (b) any personal property (other than personal property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above or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below) for which the attachment or perfection of a Lien thereon is not governed by the UCC, (c) the Equity Interests of any Foreign Subsidiary of any Loan Party to the extent not required to be pledged to secure the Secured Obligations pursuant to the Collateral Documents and (d) any property which, subject to the terms of </w:t>
      </w:r>
      <w:r>
        <w:rPr>
          <w:rFonts w:ascii="Times New Roman" w:hAnsi="Times New Roman"/>
          <w:b/>
          <w:i/>
          <w:caps w:val="false"/>
          <w:smallCaps w:val="false"/>
          <w:sz w:val="20"/>
        </w:rPr>
        <w:t>Section 7.02(c)</w:t>
      </w:r>
      <w:r>
        <w:rPr>
          <w:rFonts w:ascii="Times New Roman" w:hAnsi="Times New Roman"/>
          <w:caps w:val="false"/>
          <w:smallCaps w:val="false"/>
          <w:sz w:val="20"/>
        </w:rPr>
        <w:t xml:space="preserve">, is subject to a Lien of the type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7.01(d)</w:t>
      </w:r>
      <w:r>
        <w:rPr>
          <w:rFonts w:ascii="Times New Roman" w:hAnsi="Times New Roman"/>
          <w:caps w:val="false"/>
          <w:smallCaps w:val="false"/>
          <w:sz w:val="20"/>
        </w:rPr>
        <w:t xml:space="preserve"> pursuant to documents that prohibit such Loan Party from granting any other Liens in such property.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Excluded Swap Obligation</w:t>
      </w:r>
      <w:r>
        <w:rPr>
          <w:rFonts w:ascii="Times New Roman" w:hAnsi="Times New Roman"/>
          <w:caps w:val="false"/>
          <w:smallCaps w:val="false"/>
          <w:sz w:val="20"/>
        </w:rPr>
        <w:t>”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w:t>
      </w:r>
      <w:r>
        <w:rPr>
          <w:rFonts w:ascii="Times New Roman" w:hAnsi="Times New Roman"/>
          <w:i/>
          <w:caps w:val="false"/>
          <w:smallCaps w:val="false"/>
          <w:sz w:val="20"/>
        </w:rPr>
        <w:t>eligible contract participant</w:t>
      </w:r>
      <w:r>
        <w:rPr>
          <w:rFonts w:ascii="Times New Roman" w:hAnsi="Times New Roman"/>
          <w:caps w:val="false"/>
          <w:smallCaps w:val="false"/>
          <w:sz w:val="20"/>
        </w:rPr>
        <w:t xml:space="preserve">” as defined in the Commodity Exchange Act (determined after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10.11</w:t>
      </w:r>
      <w:r>
        <w:rPr>
          <w:rFonts w:ascii="Times New Roman" w:hAnsi="Times New Roman"/>
          <w:caps w:val="false"/>
          <w:smallCaps w:val="false"/>
          <w:sz w:val="20"/>
        </w:rPr>
        <w:t xml:space="preserve"> and any other “</w:t>
      </w:r>
      <w:r>
        <w:rPr>
          <w:rFonts w:ascii="Times New Roman" w:hAnsi="Times New Roman"/>
          <w:i/>
          <w:caps w:val="false"/>
          <w:smallCaps w:val="false"/>
          <w:sz w:val="20"/>
        </w:rPr>
        <w:t>keepwell</w:t>
      </w:r>
      <w:r>
        <w:rPr>
          <w:rFonts w:ascii="Times New Roman" w:hAnsi="Times New Roman"/>
          <w:caps w:val="false"/>
          <w:smallCaps w:val="false"/>
          <w:sz w:val="20"/>
        </w:rPr>
        <w:t>”,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(1)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Excluded Taxes</w:t>
      </w:r>
      <w:r>
        <w:rPr>
          <w:rFonts w:ascii="Times New Roman" w:hAnsi="Times New Roman"/>
          <w:caps w:val="false"/>
          <w:smallCaps w:val="false"/>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11.13</w:t>
      </w:r>
      <w:r>
        <w:rPr>
          <w:rFonts w:ascii="Times New Roman" w:hAnsi="Times New Roman"/>
          <w:caps w:val="false"/>
          <w:smallCaps w:val="false"/>
          <w:sz w:val="20"/>
        </w:rPr>
        <w:t xml:space="preserve">) or (ii) such Lender changes its Lending Office, except in each case to the extent that, pursuant to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3.01(b)</w:t>
      </w:r>
      <w:r>
        <w:rPr>
          <w:rFonts w:ascii="Times New Roman" w:hAnsi="Times New Roman"/>
          <w:caps w:val="false"/>
          <w:smallCaps w:val="false"/>
          <w:sz w:val="20"/>
        </w:rPr>
        <w:t xml:space="preserve"> or </w:t>
      </w:r>
      <w:r>
        <w:rPr>
          <w:rFonts w:ascii="Times New Roman" w:hAnsi="Times New Roman"/>
          <w:b/>
          <w:i/>
          <w:caps w:val="false"/>
          <w:smallCaps w:val="false"/>
          <w:sz w:val="20"/>
        </w:rPr>
        <w:t>(d)</w:t>
      </w:r>
      <w:r>
        <w:rPr>
          <w:rFonts w:ascii="Times New Roman" w:hAnsi="Times New Roman"/>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3.01(f)</w:t>
      </w:r>
      <w:r>
        <w:rPr>
          <w:rFonts w:ascii="Times New Roman" w:hAnsi="Times New Roman"/>
          <w:caps w:val="false"/>
          <w:smallCaps w:val="false"/>
          <w:sz w:val="20"/>
        </w:rPr>
        <w:t xml:space="preserve"> and (d) any U.S. federal withholding Taxes imposed pursuant to FATCA.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Existing Credit Agreement</w:t>
      </w:r>
      <w:r>
        <w:rPr>
          <w:rFonts w:ascii="Times New Roman" w:hAnsi="Times New Roman"/>
          <w:caps w:val="false"/>
          <w:smallCaps w:val="false"/>
          <w:sz w:val="20"/>
        </w:rPr>
        <w:t>” means that certain Credit Agreement dated as of December 8, 2020 among the Borrower, the guarantors named therein, Bank of Montreal, as agent, and a syndicate of lenders.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Expansion Costs</w:t>
      </w:r>
      <w:r>
        <w:rPr>
          <w:rFonts w:ascii="Times New Roman" w:hAnsi="Times New Roman"/>
          <w:caps w:val="false"/>
          <w:smallCaps w:val="false"/>
          <w:sz w:val="20"/>
        </w:rPr>
        <w:t>” shall mean any non-recurring operating expenses (i.e., consulting, marketing, promotional) incurred by any Loan Party Group Company to expand business activities from geographical areas of the United States of America where such Person carried on business at the Closing Date to geographical areas of the United States of America where it did not carry on material business at the Closing Date.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Extraordinary Receipt</w:t>
      </w:r>
      <w:r>
        <w:rPr>
          <w:rFonts w:ascii="Times New Roman" w:hAnsi="Times New Roman"/>
          <w:caps w:val="false"/>
          <w:smallCaps w:val="false"/>
          <w:sz w:val="20"/>
        </w:rPr>
        <w:t xml:space="preserve">” means any proceeds of insurance (other than proceeds of business interruption insurance to the extent such proceeds constitute compensation for lost earnings and proceeds of Recovery Events) and any purchase price adjustments;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an Extraordinary Receipt shall not include cash receipts from proceeds of insurance or indemnity payments to the extent that such proceeds, awards or payments are received by any Person in respect of any third party claim against such Person and applied to pay (or to reimburse such Person for its prior payment of) such claim and the costs and expenses of such Person with respect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Facility</w:t>
      </w:r>
      <w:r>
        <w:rPr>
          <w:rFonts w:ascii="Times New Roman" w:hAnsi="Times New Roman"/>
          <w:caps w:val="false"/>
          <w:smallCaps w:val="false"/>
          <w:sz w:val="20"/>
        </w:rPr>
        <w:t>” means the Term Facility, the Delayed Draw Term Loan Facility or the Revolving Facility, as the context may require.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Facility Termination Date</w:t>
      </w:r>
      <w:r>
        <w:rPr>
          <w:rFonts w:ascii="Times New Roman" w:hAnsi="Times New Roman"/>
          <w:caps w:val="false"/>
          <w:smallCaps w:val="false"/>
          <w:sz w:val="20"/>
        </w:rPr>
        <w:t>” means the date as of which all of the following shall have occurred: (a) all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FASB ASC</w:t>
      </w:r>
      <w:r>
        <w:rPr>
          <w:rFonts w:ascii="Times New Roman" w:hAnsi="Times New Roman"/>
          <w:caps w:val="false"/>
          <w:smallCaps w:val="false"/>
          <w:sz w:val="20"/>
        </w:rPr>
        <w:t>” means the Accounting Standards Codification of the Financial Accounting Standards Board.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FATCA</w:t>
      </w:r>
      <w:r>
        <w:rPr>
          <w:rFonts w:ascii="Times New Roman" w:hAnsi="Times New Roman"/>
          <w:caps w:val="false"/>
          <w:smallCaps w:val="false"/>
          <w:sz w:val="20"/>
        </w:rPr>
        <w:t xml:space="preserve">” means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1471</w:t>
      </w:r>
      <w:r>
        <w:rPr>
          <w:rFonts w:ascii="Times New Roman" w:hAnsi="Times New Roman"/>
          <w:caps w:val="false"/>
          <w:smallCaps w:val="false"/>
          <w:sz w:val="20"/>
        </w:rPr>
        <w:t xml:space="preserve"> through </w:t>
      </w:r>
      <w:r>
        <w:rPr>
          <w:rFonts w:ascii="Times New Roman" w:hAnsi="Times New Roman"/>
          <w:i/>
          <w:caps w:val="false"/>
          <w:smallCaps w:val="false"/>
          <w:sz w:val="20"/>
        </w:rPr>
        <w:t>1474</w:t>
      </w:r>
      <w:r>
        <w:rPr>
          <w:rFonts w:ascii="Times New Roman" w:hAnsi="Times New Roman"/>
          <w:caps w:val="false"/>
          <w:smallCaps w:val="false"/>
          <w:sz w:val="20"/>
        </w:rPr>
        <w:t xml:space="preserve"> of the Code, as of the date of this Agreement (or any amended or successor version that is substantively comparable and not materially more onerous to comply with), any current or future regulations or official interpretations thereof and any agreements entered into pursuant to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1471(b)(1)</w:t>
      </w:r>
      <w:r>
        <w:rPr>
          <w:rFonts w:ascii="Times New Roman" w:hAnsi="Times New Roman"/>
          <w:caps w:val="false"/>
          <w:smallCaps w:val="false"/>
          <w:sz w:val="20"/>
        </w:rPr>
        <w:t xml:space="preserve"> of the Code, as of the date of this Agreement (or any amended or successor version described above) and any intergovernmental agreement (and related fiscal or regulatory legislation, or related official rules or practices) implementing the foregoing.</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FDA</w:t>
      </w:r>
      <w:r>
        <w:rPr>
          <w:rFonts w:ascii="Times New Roman" w:hAnsi="Times New Roman"/>
          <w:caps w:val="false"/>
          <w:smallCaps w:val="false"/>
          <w:sz w:val="20"/>
        </w:rPr>
        <w:t>” shall mean the United States Food and Drug Administration or its successor agency in the United States.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Federal Funds Rate</w:t>
      </w:r>
      <w:r>
        <w:rPr>
          <w:rFonts w:ascii="Times New Roman" w:hAnsi="Times New Roman"/>
          <w:caps w:val="false"/>
          <w:smallCaps w:val="false"/>
          <w:sz w:val="20"/>
        </w:rPr>
        <w:t xml:space="preserve">” means, for any day,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Federal Funds Rate as so determined would be less than zero (0), such rate shall be deemed to be zero (0) for the purposes of this Agreement.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Fee Letter</w:t>
      </w:r>
      <w:r>
        <w:rPr>
          <w:rFonts w:ascii="Times New Roman" w:hAnsi="Times New Roman"/>
          <w:caps w:val="false"/>
          <w:smallCaps w:val="false"/>
          <w:sz w:val="20"/>
        </w:rPr>
        <w:t>” means the letter agreement, dated April 20, 2023, between the Borrower, the Administrative Agent and the Arranger (as the same may be amended, restated, amended and restated, supplemented, or otherwise modified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Fifth Amendment Effective Date</w:t>
      </w:r>
      <w:r>
        <w:rPr>
          <w:rFonts w:ascii="Times New Roman" w:hAnsi="Times New Roman"/>
          <w:caps w:val="false"/>
          <w:smallCaps w:val="false"/>
          <w:sz w:val="20"/>
        </w:rPr>
        <w:t>” means July 25, 2025.</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Fiscal Quarter</w:t>
      </w:r>
      <w:r>
        <w:rPr>
          <w:rFonts w:ascii="Times New Roman" w:hAnsi="Times New Roman"/>
          <w:caps w:val="false"/>
          <w:smallCaps w:val="false"/>
          <w:sz w:val="20"/>
        </w:rPr>
        <w:t>” shall, unless the context shall otherwise require, mean any Fiscal Quarter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Fiscal Year</w:t>
      </w:r>
      <w:r>
        <w:rPr>
          <w:rFonts w:ascii="Times New Roman" w:hAnsi="Times New Roman"/>
          <w:caps w:val="false"/>
          <w:smallCaps w:val="false"/>
          <w:sz w:val="20"/>
        </w:rPr>
        <w:t>” shall, unless the context shall otherwise require, mean any Fiscal Year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Flood Insurance Laws</w:t>
      </w:r>
      <w:r>
        <w:rPr>
          <w:rFonts w:ascii="Times New Roman" w:hAnsi="Times New Roman"/>
          <w:caps w:val="false"/>
          <w:smallCaps w:val="false"/>
          <w:sz w:val="20"/>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Food Safety Laws</w:t>
      </w:r>
      <w:r>
        <w:rPr>
          <w:rFonts w:ascii="Times New Roman" w:hAnsi="Times New Roman"/>
          <w:caps w:val="false"/>
          <w:smallCaps w:val="false"/>
          <w:sz w:val="20"/>
        </w:rPr>
        <w:t>” means, collectively, to the extent applicable to the Loan Parties and their Subsidiaries, (i) the United States Federal Food, Drug, and Cosmetic Act, as amended; (ii) the Federal Alcohol Administration Act, as amended; (iii) the Federal Trade Commission Act, as amended; and (iv) any other applicable federal, state and municipal, domestic and foreign law governing the import, export, procurement, holding, distribution, sale, manufacturing, processing, packing, packaging, safety, purity, taxation, labeling, and/or advertising of food (including wine, spirits and other alcohol-related laws) as amended and in effect from time to time; and, in respect to all such laws, all rules, regulations, standards, guidelines, policies and orders administered by the FDA, USDA, TTB, FTC and any other Governmental Authority, in each case, having the force of law.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Foreign Lender</w:t>
      </w:r>
      <w:r>
        <w:rPr>
          <w:rFonts w:ascii="Times New Roman" w:hAnsi="Times New Roman"/>
          <w:caps w:val="false"/>
          <w:smallCaps w:val="false"/>
          <w:sz w:val="20"/>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Foreign Subsidiary</w:t>
      </w:r>
      <w:r>
        <w:rPr>
          <w:rFonts w:ascii="Times New Roman" w:hAnsi="Times New Roman"/>
          <w:caps w:val="false"/>
          <w:smallCaps w:val="false"/>
          <w:sz w:val="20"/>
        </w:rPr>
        <w:t>” means any Subsidiary that is not a Domestic Subsidiary.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FRB</w:t>
      </w:r>
      <w:r>
        <w:rPr>
          <w:rFonts w:ascii="Times New Roman" w:hAnsi="Times New Roman"/>
          <w:caps w:val="false"/>
          <w:smallCaps w:val="false"/>
          <w:sz w:val="20"/>
        </w:rPr>
        <w:t>” means the Board of Governors of the Federal Reserve System of the United States.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Fronting Exposure</w:t>
      </w:r>
      <w:r>
        <w:rPr>
          <w:rFonts w:ascii="Times New Roman" w:hAnsi="Times New Roman"/>
          <w:caps w:val="false"/>
          <w:smallCaps w:val="false"/>
          <w:sz w:val="20"/>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in accordance with the terms hereof.</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FSHCO</w:t>
      </w:r>
      <w:r>
        <w:rPr>
          <w:rFonts w:ascii="Times New Roman" w:hAnsi="Times New Roman"/>
          <w:caps w:val="false"/>
          <w:smallCaps w:val="false"/>
          <w:sz w:val="20"/>
        </w:rPr>
        <w:t>” means any Subsidiary substantially all of the assets of which constitute the Equity Interests of CFCs.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Fund</w:t>
      </w:r>
      <w:r>
        <w:rPr>
          <w:rFonts w:ascii="Times New Roman" w:hAnsi="Times New Roman"/>
          <w:caps w:val="false"/>
          <w:smallCaps w:val="false"/>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1.03</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Guarantee</w:t>
      </w:r>
      <w:r>
        <w:rPr>
          <w:rFonts w:ascii="Times New Roman" w:hAnsi="Times New Roman"/>
          <w:caps w:val="false"/>
          <w:smallCaps w:val="false"/>
          <w:sz w:val="20"/>
        </w:rPr>
        <w:t>” means, as to any Person, (a) any obligation, contingent or otherwise, of such Person guaranteeing or having the economic effect of guaranteeing any Indebtedness or other obligation payable or performable by another Person (the “</w:t>
      </w:r>
      <w:r>
        <w:rPr>
          <w:rFonts w:ascii="Times New Roman" w:hAnsi="Times New Roman"/>
          <w:b/>
          <w:i/>
          <w:caps w:val="false"/>
          <w:smallCaps w:val="false"/>
          <w:sz w:val="20"/>
        </w:rPr>
        <w:t>primary obligor</w:t>
      </w:r>
      <w:r>
        <w:rPr>
          <w:rFonts w:ascii="Times New Roman" w:hAnsi="Times New Roman"/>
          <w:caps w:val="false"/>
          <w:smallCaps w:val="false"/>
          <w:sz w:val="20"/>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i/>
          <w:caps w:val="false"/>
          <w:smallCaps w:val="false"/>
          <w:sz w:val="20"/>
        </w:rPr>
        <w:t>Guarantee</w:t>
      </w:r>
      <w:r>
        <w:rPr>
          <w:rFonts w:ascii="Times New Roman" w:hAnsi="Times New Roman"/>
          <w:caps w:val="false"/>
          <w:smallCaps w:val="false"/>
          <w:sz w:val="20"/>
        </w:rPr>
        <w:t>” as a verb has a corresponding meaning.</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Guaranteed Obligations</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10.01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Guarantors</w:t>
      </w:r>
      <w:r>
        <w:rPr>
          <w:rFonts w:ascii="Times New Roman" w:hAnsi="Times New Roman"/>
          <w:caps w:val="false"/>
          <w:smallCaps w:val="false"/>
          <w:sz w:val="20"/>
        </w:rPr>
        <w:t xml:space="preserve">” means, collectively, (a) the Subsidiaries of the Borrower as are or may from time to time become parties to this Agreement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xml:space="preserve">, and (b) with respect to Additional Secured Obligations owing by any Loan Party or any of its Subsidiaries and any Swap Obligation of a Specified Loan Party (determined before giving effect to </w:t>
      </w:r>
      <w:r>
        <w:rPr>
          <w:rFonts w:ascii="Times New Roman" w:hAnsi="Times New Roman"/>
          <w:b/>
          <w:i/>
          <w:caps w:val="false"/>
          <w:smallCaps w:val="false"/>
          <w:sz w:val="20"/>
        </w:rPr>
        <w:t>Sections 10.01</w:t>
      </w:r>
      <w:r>
        <w:rPr>
          <w:rFonts w:ascii="Times New Roman" w:hAnsi="Times New Roman"/>
          <w:caps w:val="false"/>
          <w:smallCaps w:val="false"/>
          <w:sz w:val="20"/>
        </w:rPr>
        <w:t xml:space="preserve"> and </w:t>
      </w:r>
      <w:r>
        <w:rPr>
          <w:rFonts w:ascii="Times New Roman" w:hAnsi="Times New Roman"/>
          <w:b/>
          <w:i/>
          <w:caps w:val="false"/>
          <w:smallCaps w:val="false"/>
          <w:sz w:val="20"/>
        </w:rPr>
        <w:t>10.11</w:t>
      </w:r>
      <w:r>
        <w:rPr>
          <w:rFonts w:ascii="Times New Roman" w:hAnsi="Times New Roman"/>
          <w:caps w:val="false"/>
          <w:smallCaps w:val="false"/>
          <w:sz w:val="20"/>
        </w:rPr>
        <w:t xml:space="preserve">) under the Guaranty, the Borrower. For the avoidance of doubt, for purposes of this Agreement (i) Holdings is not, and shall not be required to become, a “Guarantor” and (ii) Holdings shall not be permitted to be a “Guarantor” except, in the case of this clause (ii), in compliance with </w:t>
      </w:r>
      <w:r>
        <w:rPr>
          <w:rFonts w:ascii="Times New Roman" w:hAnsi="Times New Roman"/>
          <w:b/>
          <w:i/>
          <w:caps w:val="false"/>
          <w:smallCaps w:val="false"/>
          <w:sz w:val="20"/>
        </w:rPr>
        <w:t>Section 11.01(c)(i)</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Hazardous Materials</w:t>
      </w:r>
      <w:r>
        <w:rPr>
          <w:rFonts w:ascii="Times New Roman" w:hAnsi="Times New Roman"/>
          <w:caps w:val="false"/>
          <w:smallCaps w:val="false"/>
          <w:sz w:val="20"/>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Hedge Bank</w:t>
      </w:r>
      <w:r>
        <w:rPr>
          <w:rFonts w:ascii="Times New Roman" w:hAnsi="Times New Roman"/>
          <w:caps w:val="false"/>
          <w:smallCaps w:val="false"/>
          <w:sz w:val="20"/>
        </w:rPr>
        <w:t xml:space="preserve">” means any Person in its capacity as a party to a Swap Contract that, (a) at the time it enters into a Swap Contract not prohibited under </w:t>
      </w:r>
      <w:r>
        <w:rPr>
          <w:rFonts w:ascii="Times New Roman" w:hAnsi="Times New Roman"/>
          <w:b/>
          <w:i/>
          <w:caps w:val="false"/>
          <w:smallCaps w:val="false"/>
          <w:sz w:val="20"/>
        </w:rPr>
        <w:t>Articles</w:t>
      </w:r>
      <w:r>
        <w:rPr>
          <w:rFonts w:ascii="Times New Roman" w:hAnsi="Times New Roman"/>
          <w:caps w:val="false"/>
          <w:smallCaps w:val="false"/>
          <w:sz w:val="20"/>
        </w:rPr>
        <w:t> </w:t>
      </w:r>
      <w:r>
        <w:rPr>
          <w:rFonts w:ascii="Times New Roman" w:hAnsi="Times New Roman"/>
          <w:b/>
          <w:i/>
          <w:caps w:val="false"/>
          <w:smallCaps w:val="false"/>
          <w:sz w:val="20"/>
        </w:rPr>
        <w:t>VI</w:t>
      </w:r>
      <w:r>
        <w:rPr>
          <w:rFonts w:ascii="Times New Roman" w:hAnsi="Times New Roman"/>
          <w:caps w:val="false"/>
          <w:smallCaps w:val="false"/>
          <w:sz w:val="20"/>
        </w:rPr>
        <w:t xml:space="preserve"> or </w:t>
      </w:r>
      <w:r>
        <w:rPr>
          <w:rFonts w:ascii="Times New Roman" w:hAnsi="Times New Roman"/>
          <w:b/>
          <w:i/>
          <w:caps w:val="false"/>
          <w:smallCaps w:val="false"/>
          <w:sz w:val="20"/>
        </w:rPr>
        <w:t>VII</w:t>
      </w:r>
      <w:r>
        <w:rPr>
          <w:rFonts w:ascii="Times New Roman" w:hAnsi="Times New Roman"/>
          <w:caps w:val="false"/>
          <w:smallCaps w:val="false"/>
          <w:sz w:val="20"/>
        </w:rPr>
        <w:t xml:space="preserve">, is a Lender or an Affiliate of a Lender, or (b) at the time it (or its Affiliate) becomes a Lender, is a party to a Swap Contract not prohibited under </w:t>
      </w:r>
      <w:r>
        <w:rPr>
          <w:rFonts w:ascii="Times New Roman" w:hAnsi="Times New Roman"/>
          <w:b/>
          <w:i/>
          <w:caps w:val="false"/>
          <w:smallCaps w:val="false"/>
          <w:sz w:val="20"/>
        </w:rPr>
        <w:t>Articles</w:t>
      </w:r>
      <w:r>
        <w:rPr>
          <w:rFonts w:ascii="Times New Roman" w:hAnsi="Times New Roman"/>
          <w:caps w:val="false"/>
          <w:smallCaps w:val="false"/>
          <w:sz w:val="20"/>
        </w:rPr>
        <w:t> </w:t>
      </w:r>
      <w:r>
        <w:rPr>
          <w:rFonts w:ascii="Times New Roman" w:hAnsi="Times New Roman"/>
          <w:b/>
          <w:i/>
          <w:caps w:val="false"/>
          <w:smallCaps w:val="false"/>
          <w:sz w:val="20"/>
        </w:rPr>
        <w:t>VI</w:t>
      </w:r>
      <w:r>
        <w:rPr>
          <w:rFonts w:ascii="Times New Roman" w:hAnsi="Times New Roman"/>
          <w:caps w:val="false"/>
          <w:smallCaps w:val="false"/>
          <w:sz w:val="20"/>
        </w:rPr>
        <w:t xml:space="preserve"> or </w:t>
      </w:r>
      <w:r>
        <w:rPr>
          <w:rFonts w:ascii="Times New Roman" w:hAnsi="Times New Roman"/>
          <w:b/>
          <w:i/>
          <w:caps w:val="false"/>
          <w:smallCaps w:val="false"/>
          <w:sz w:val="20"/>
        </w:rPr>
        <w:t>VII</w:t>
      </w:r>
      <w:r>
        <w:rPr>
          <w:rFonts w:ascii="Times New Roman" w:hAnsi="Times New Roman"/>
          <w:caps w:val="false"/>
          <w:smallCaps w:val="false"/>
          <w:sz w:val="20"/>
        </w:rPr>
        <w:t xml:space="preserve">, in each case, in its capacity as a party to such Swap Contract (even if such Person ceases to be a Lender or such Person’s Affiliate ceased to be a Lender); </w:t>
      </w:r>
      <w:r>
        <w:rPr>
          <w:rFonts w:ascii="Times New Roman" w:hAnsi="Times New Roman"/>
          <w:i/>
          <w:caps w:val="false"/>
          <w:smallCaps w:val="false"/>
          <w:sz w:val="20"/>
        </w:rPr>
        <w:t>provided</w:t>
      </w:r>
      <w:r>
        <w:rPr>
          <w:rFonts w:ascii="Times New Roman" w:hAnsi="Times New Roman"/>
          <w:caps w:val="false"/>
          <w:smallCaps w:val="false"/>
          <w:sz w:val="20"/>
        </w:rPr>
        <w:t>, in the case of a Secured Hedge Agreement with a Person who is no longer a Lender (or Affiliate of a Lender), such Person shall be considered a Hedge Bank only through the stated termination date (without extension or renewal) of such Secured Hedge Agreement and provided further that for any of the foregoing to be included as a “</w:t>
      </w:r>
      <w:r>
        <w:rPr>
          <w:rFonts w:ascii="Times New Roman" w:hAnsi="Times New Roman"/>
          <w:i/>
          <w:caps w:val="false"/>
          <w:smallCaps w:val="false"/>
          <w:sz w:val="20"/>
        </w:rPr>
        <w:t>Secured Hedge Agreement</w:t>
      </w:r>
      <w:r>
        <w:rPr>
          <w:rFonts w:ascii="Times New Roman" w:hAnsi="Times New Roman"/>
          <w:caps w:val="false"/>
          <w:smallCaps w:val="false"/>
          <w:sz w:val="20"/>
        </w:rPr>
        <w: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Hemp</w:t>
      </w:r>
      <w:r>
        <w:rPr>
          <w:rFonts w:ascii="Times New Roman" w:hAnsi="Times New Roman"/>
          <w:caps w:val="false"/>
          <w:smallCaps w:val="false"/>
          <w:sz w:val="20"/>
        </w:rPr>
        <w:t>” means the plant Cannabis sativa L. and any part of that plant, including the seeds thereof and all derivatives, extracts, cannabinoids, isomers, acids, salts, and salts of isomers, whether growing or not, with a delta-9 tetrahydrocannabinol concentration of not more than 0.3 percent on a dry weight basis.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Hemp Contribution</w:t>
      </w:r>
      <w:r>
        <w:rPr>
          <w:rFonts w:ascii="Times New Roman" w:hAnsi="Times New Roman"/>
          <w:caps w:val="false"/>
          <w:smallCaps w:val="false"/>
          <w:sz w:val="20"/>
        </w:rPr>
        <w:t>” means the contribution of all of the Equity Interests of the Hemp Entities to the Borrower or another Subsidiary of the Borrower that is a Loan Party whereby the Hemp Entities shall be direct or indirect wholly-owned Subsidiaries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Hemp Entities</w:t>
      </w:r>
      <w:r>
        <w:rPr>
          <w:rFonts w:ascii="Times New Roman" w:hAnsi="Times New Roman"/>
          <w:caps w:val="false"/>
          <w:smallCaps w:val="false"/>
          <w:sz w:val="20"/>
        </w:rPr>
        <w:t>” means Fresh Hemp Foods Ltd., a British Columbia limited partnership and Manitoba Harvest USA LLC, a Delaware limited liability company.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Holdings</w:t>
      </w:r>
      <w:r>
        <w:rPr>
          <w:rFonts w:ascii="Times New Roman" w:hAnsi="Times New Roman"/>
          <w:caps w:val="false"/>
          <w:smallCaps w:val="false"/>
          <w:sz w:val="20"/>
        </w:rPr>
        <w:t>” means Tilray Brands, Inc., a Delaware corporation together with any successor entity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Holdings Guaranty</w:t>
      </w:r>
      <w:r>
        <w:rPr>
          <w:rFonts w:ascii="Times New Roman" w:hAnsi="Times New Roman"/>
          <w:caps w:val="false"/>
          <w:smallCaps w:val="false"/>
          <w:sz w:val="20"/>
        </w:rPr>
        <w:t>” means that certain Continuing Guaranty dated as of June 30, 2023 made by Holdings in favor of the Administrative Agent, for the benefit of the Secured Parties, as such agreement may be amended, restated, amended and restated, supplemented or otherwise modified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Holdings Note</w:t>
      </w:r>
      <w:r>
        <w:rPr>
          <w:rFonts w:ascii="Times New Roman" w:hAnsi="Times New Roman"/>
          <w:caps w:val="false"/>
          <w:smallCaps w:val="false"/>
          <w:sz w:val="20"/>
        </w:rPr>
        <w:t>” means that certain subordinated promissory note in the amount of $10,000,000 with the Borrower as debtor and Holdings as lender as in effect on the Fifth Amendment Effective Date with subordination terms reasonable acceptable to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Holdings Paid Earnout</w:t>
      </w:r>
      <w:r>
        <w:rPr>
          <w:rFonts w:ascii="Times New Roman" w:hAnsi="Times New Roman"/>
          <w:caps w:val="false"/>
          <w:smallCaps w:val="false"/>
          <w:sz w:val="20"/>
        </w:rPr>
        <w:t>” means (a) any and all payments due under Section 2.15 of that certain Acquisition Agreement between, among others, Holdings and SWBC Blocker Seller, L.P., a Delaware limited partnership, dated November 4, 2020 and (b) any other earnout or similar payment owed in connection with a Permitted Acquisition that has been assumed in writing by Holdings.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Holdings Pledge Agreement</w:t>
      </w:r>
      <w:r>
        <w:rPr>
          <w:rFonts w:ascii="Times New Roman" w:hAnsi="Times New Roman"/>
          <w:caps w:val="false"/>
          <w:smallCaps w:val="false"/>
          <w:sz w:val="20"/>
        </w:rPr>
        <w:t>” means that certain Pledge Agreement dated as of June 30, 2023 by and between Holdings and the Administrative Agent, for the benefit of the Secured Parties, as such agreement may be amended, restated, amended and restated, supplemented or otherwise modified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Holdings Related Remedial Action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9.14(a)</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Impacted Lender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2.01(c)</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Impacted Payment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2.01(c)</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Indebtedness</w:t>
      </w:r>
      <w:r>
        <w:rPr>
          <w:rFonts w:ascii="Times New Roman" w:hAnsi="Times New Roman"/>
          <w:caps w:val="false"/>
          <w:smallCaps w:val="false"/>
          <w:sz w:val="20"/>
        </w:rPr>
        <w:t>” means, as to any Person at a particular time, without duplication, all of the following, whether or not included as indebtedness or liabilities in accordance with GAAP:</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all obligations of such Person for borrowed money and all obligations of such Person evidenced by bonds, debentures, notes, loan agreements or other similar instruments;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        all direct or contingent obligations of such Person arising under standby letters of credit (including standby and commercial), bankers’ acceptances, bank guaranties, surety bonds and similar instruments;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        net obligations of such Person under any Swap Contract;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        all obligations of such Person to pay the deferred purchase price of property or services (other than trade accounts payable in the ordinary course of business and not past due for more than sixty (60) days after the date on which such trade account was created) including the amount of earn-out obligation shown as the liability (if any) on the balance sheet of such Person in accordance with GAAP (other than any Holdings Paid Earnout);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(but limited to the extent such Indebtedness is not recourse to such Person, to the lesser of the fair market value of such property and the outstanding principal balance of such Indebtedness);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         all Attributable Indebtedness in respect of Capitalized Leases and Synthetic Lease Obligations of such Person and all Synthetic Debt of such Person;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hAnsi="Times New Roman"/>
          <w:i/>
          <w:caps w:val="false"/>
          <w:smallCaps w:val="false"/>
          <w:sz w:val="20"/>
        </w:rPr>
        <w:t>plus</w:t>
      </w:r>
      <w:r>
        <w:rPr>
          <w:rFonts w:ascii="Times New Roman" w:hAnsi="Times New Roman"/>
          <w:caps w:val="false"/>
          <w:smallCaps w:val="false"/>
          <w:sz w:val="20"/>
        </w:rPr>
        <w:t xml:space="preserve"> accrued and unpaid dividends;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        all obligations under PACE Financings;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         all Guarantees of such Person in respect of any of the foregoing.</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Indemnified Taxes</w:t>
      </w:r>
      <w:r>
        <w:rPr>
          <w:rFonts w:ascii="Times New Roman" w:hAnsi="Times New Roman"/>
          <w:caps w:val="false"/>
          <w:smallCaps w:val="false"/>
          <w:sz w:val="20"/>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Other Taxes.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Indemnitee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Information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11.07(a)</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Intellectual Property</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5.17</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Internally Generated Cash</w:t>
      </w:r>
      <w:r>
        <w:rPr>
          <w:rFonts w:ascii="Times New Roman" w:hAnsi="Times New Roman"/>
          <w:caps w:val="false"/>
          <w:smallCaps w:val="false"/>
          <w:sz w:val="20"/>
        </w:rPr>
        <w:t xml:space="preserve">” means, with respect to any Loan Party or its Subsidiaries (a) cash and Cash Equivalents not constituting  (x) any Investments by a Person into the Loan Parties or their Subsidiaries, (y) proceeds of the incurrence of Indebtedness by the Loan Parties or any of its Subsidiaries (other than under this Agreement) or (z) proceeds of Dispositions and Recovery Events and (b) proceeds of the issuance of (or contributions in respect of) Equity Interests of such Person so long as such proceeds (x) were generated in the United States, (y) are held in deposit or securities accounts in the United States at all times and (z) are not used, held or derived in any manner that would result in a violation of </w:t>
      </w:r>
      <w:r>
        <w:rPr>
          <w:rFonts w:ascii="Times New Roman" w:hAnsi="Times New Roman"/>
          <w:b/>
          <w:i/>
          <w:caps w:val="false"/>
          <w:smallCaps w:val="false"/>
          <w:sz w:val="20"/>
        </w:rPr>
        <w:t>Section 7.12</w:t>
      </w:r>
      <w:r>
        <w:rPr>
          <w:rFonts w:ascii="Times New Roman" w:hAnsi="Times New Roman"/>
          <w:caps w:val="false"/>
          <w:smallCaps w:val="false"/>
          <w:sz w:val="20"/>
        </w:rPr>
        <w:t xml:space="preserve"> or applicable Law.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Interest Payment Date</w:t>
      </w:r>
      <w:r>
        <w:rPr>
          <w:rFonts w:ascii="Times New Roman" w:hAnsi="Times New Roman"/>
          <w:caps w:val="false"/>
          <w:smallCaps w:val="false"/>
          <w:sz w:val="20"/>
        </w:rPr>
        <w:t xml:space="preserve">” means, (a) as to any Term SOFR Loan, the last day of each Interest Period applicable to such Loan and the Maturity Date of the Facility under which such Loan was made;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any Interest Period for a Term SOFR Loan exceeds three (3) months, the respective dates that fall every three (3) months after the beginning of such Interest 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Facility for purposes of this definition).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Interest Period</w:t>
      </w:r>
      <w:r>
        <w:rPr>
          <w:rFonts w:ascii="Times New Roman" w:hAnsi="Times New Roman"/>
          <w:caps w:val="false"/>
          <w:smallCaps w:val="false"/>
          <w:sz w:val="20"/>
        </w:rPr>
        <w:t xml:space="preserve">” means, as to each Term SOFR Loan, the period commencing on the date such Term SOFR Loan is disbursed or converted to or continued as a Term SOFR Loan and ending on the date one (1) or three (3) months thereafter (in each case, subject to availability), as selected by the Borrower in its Loan Notice; </w:t>
      </w:r>
      <w:r>
        <w:rPr>
          <w:rFonts w:ascii="Times New Roman" w:hAnsi="Times New Roman"/>
          <w:i/>
          <w:caps w:val="false"/>
          <w:smallCaps w:val="false"/>
          <w:sz w:val="20"/>
        </w:rPr>
        <w:t>provided</w:t>
      </w:r>
      <w:r>
        <w:rPr>
          <w:rFonts w:ascii="Times New Roman" w:hAnsi="Times New Roman"/>
          <w:caps w:val="false"/>
          <w:smallCaps w:val="false"/>
          <w:sz w:val="20"/>
        </w:rPr>
        <w:t xml:space="preserve"> that: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        no Interest Period shall extend beyond the Maturity Date of the Facility under which such Loan was made.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Interim Financial Statements</w:t>
      </w:r>
      <w:r>
        <w:rPr>
          <w:rFonts w:ascii="Times New Roman" w:hAnsi="Times New Roman"/>
          <w:caps w:val="false"/>
          <w:smallCaps w:val="false"/>
          <w:sz w:val="20"/>
        </w:rPr>
        <w:t>” shall mean the consolidated unaudited financial statements of (a) the Borrower and its Subsidiaries and (b) Tilray Holdco M, LLC and its Subsidiaries, in each case, on a consolidated basis for the year-to-date period ended February 28, 2023, including balance sheets and statements of income or operations, members’ equity and cash flows.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Investment</w:t>
      </w:r>
      <w:r>
        <w:rPr>
          <w:rFonts w:ascii="Times New Roman" w:hAnsi="Times New Roman"/>
          <w:caps w:val="false"/>
          <w:smallCaps w:val="false"/>
          <w:sz w:val="20"/>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an Acquisition. For purposes of covenant compliance, the amount of any Investment shall be the amount actually invested, without adjustment for subsequent increases or decreases in the value of such Investment.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IP Rights</w:t>
      </w:r>
      <w:r>
        <w:rPr>
          <w:rFonts w:ascii="Times New Roman" w:hAnsi="Times New Roman"/>
          <w:caps w:val="false"/>
          <w:smallCaps w:val="false"/>
          <w:sz w:val="20"/>
        </w:rPr>
        <w:t>” shall mean all of the trademarks, service marks, trade names, copyrights, patents, patent rights and other intellectual property rights that are reasonably necessary for the operation of their respective businesses that any Loan Party Group Company owns, or possesses the legal right to use; excluding any intent-to-use trademark applications filed in the United States Trademark Office, unless and until a “</w:t>
      </w:r>
      <w:r>
        <w:rPr>
          <w:rFonts w:ascii="Times New Roman" w:hAnsi="Times New Roman"/>
          <w:i/>
          <w:caps w:val="false"/>
          <w:smallCaps w:val="false"/>
          <w:sz w:val="20"/>
        </w:rPr>
        <w:t>Statement of Use</w:t>
      </w:r>
      <w:r>
        <w:rPr>
          <w:rFonts w:ascii="Times New Roman" w:hAnsi="Times New Roman"/>
          <w:caps w:val="false"/>
          <w:smallCaps w:val="false"/>
          <w:sz w:val="20"/>
        </w:rPr>
        <w:t>” or “</w:t>
      </w:r>
      <w:r>
        <w:rPr>
          <w:rFonts w:ascii="Times New Roman" w:hAnsi="Times New Roman"/>
          <w:i/>
          <w:caps w:val="false"/>
          <w:smallCaps w:val="false"/>
          <w:sz w:val="20"/>
        </w:rPr>
        <w:t>Amendment to Allege Use</w:t>
      </w:r>
      <w:r>
        <w:rPr>
          <w:rFonts w:ascii="Times New Roman" w:hAnsi="Times New Roman"/>
          <w:caps w:val="false"/>
          <w:smallCaps w:val="false"/>
          <w:sz w:val="20"/>
        </w:rPr>
        <w:t>” has been filed in and accepted by the United States Trademark Office.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IRS</w:t>
      </w:r>
      <w:r>
        <w:rPr>
          <w:rFonts w:ascii="Times New Roman" w:hAnsi="Times New Roman"/>
          <w:caps w:val="false"/>
          <w:smallCaps w:val="false"/>
          <w:sz w:val="20"/>
        </w:rPr>
        <w:t>” means the United States Internal Revenue Service.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ISP</w:t>
      </w:r>
      <w:r>
        <w:rPr>
          <w:rFonts w:ascii="Times New Roman" w:hAnsi="Times New Roman"/>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Issuer Documents</w:t>
      </w:r>
      <w:r>
        <w:rPr>
          <w:rFonts w:ascii="Times New Roman" w:hAnsi="Times New Roman"/>
          <w:caps w:val="false"/>
          <w:smallCaps w:val="false"/>
          <w:sz w:val="20"/>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Joinder Agreement</w:t>
      </w:r>
      <w:r>
        <w:rPr>
          <w:rFonts w:ascii="Times New Roman" w:hAnsi="Times New Roman"/>
          <w:caps w:val="false"/>
          <w:smallCaps w:val="false"/>
          <w:sz w:val="20"/>
        </w:rPr>
        <w:t xml:space="preserve">” means a joinder agreement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xml:space="preserve"> executed and delivered in accordance with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Advance</w:t>
      </w:r>
      <w:r>
        <w:rPr>
          <w:rFonts w:ascii="Times New Roman" w:hAnsi="Times New Roman"/>
          <w:caps w:val="false"/>
          <w:smallCaps w:val="false"/>
          <w:sz w:val="20"/>
        </w:rPr>
        <w:t>” means, with respect to each Revolving Lender, such Lender’s funding of its participation in any L/C Borrowing in accordance with its Applicable Percentage.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Borrowing</w:t>
      </w:r>
      <w:r>
        <w:rPr>
          <w:rFonts w:ascii="Times New Roman" w:hAnsi="Times New Roman"/>
          <w:caps w:val="false"/>
          <w:smallCaps w:val="false"/>
          <w:sz w:val="20"/>
        </w:rPr>
        <w:t>” means an extension of credit resulting from a drawing under any Letter of Credit which has not been reimbursed on the date when made or refinanced as a Borrowing of Revolving Loans.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Commitment</w:t>
      </w:r>
      <w:r>
        <w:rPr>
          <w:rFonts w:ascii="Times New Roman" w:hAnsi="Times New Roman"/>
          <w:caps w:val="false"/>
          <w:smallCaps w:val="false"/>
          <w:sz w:val="20"/>
        </w:rPr>
        <w:t xml:space="preserve">” means, with respect to the L/C Issuer, the commitment of the L/C Issuer to issue Letters of Credit hereunder. The initial amount of the L/C Issuer’s Letter of Credit Commitment is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 The Letter of Credit Commitment of the L/C Issuer may be modified from time to time by agreement between the L/C Issuer and the Borrower, and notified to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Credit Extension</w:t>
      </w:r>
      <w:r>
        <w:rPr>
          <w:rFonts w:ascii="Times New Roman" w:hAnsi="Times New Roman"/>
          <w:caps w:val="false"/>
          <w:smallCaps w:val="false"/>
          <w:sz w:val="20"/>
        </w:rPr>
        <w:t>” means, with respect to any Letter of Credit, the issuance thereof or extension of the expiry date thereof, or the increase of the amount thereof.</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Disbursement</w:t>
      </w:r>
      <w:r>
        <w:rPr>
          <w:rFonts w:ascii="Times New Roman" w:hAnsi="Times New Roman"/>
          <w:caps w:val="false"/>
          <w:smallCaps w:val="false"/>
          <w:sz w:val="20"/>
        </w:rPr>
        <w:t>” means a payment made by the L/C Issuer pursuant to a Letter of Credit.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Issuer</w:t>
      </w:r>
      <w:r>
        <w:rPr>
          <w:rFonts w:ascii="Times New Roman" w:hAnsi="Times New Roman"/>
          <w:caps w:val="false"/>
          <w:smallCaps w:val="false"/>
          <w:sz w:val="20"/>
        </w:rPr>
        <w:t>” means Bank of America, in its capacity as issuer of Letters of Credit hereunder, or any successor issuer of Letters of Credit hereunder.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 Obligations</w:t>
      </w:r>
      <w:r>
        <w:rPr>
          <w:rFonts w:ascii="Times New Roman" w:hAnsi="Times New Roman"/>
          <w:caps w:val="false"/>
          <w:smallCaps w:val="false"/>
          <w:sz w:val="20"/>
        </w:rPr>
        <w:t xml:space="preserve">” means, as at any date of determination, the aggregate amount available to be drawn under all outstanding Letters of Credit </w:t>
      </w:r>
      <w:r>
        <w:rPr>
          <w:rFonts w:ascii="Times New Roman" w:hAnsi="Times New Roman"/>
          <w:i/>
          <w:caps w:val="false"/>
          <w:smallCaps w:val="false"/>
          <w:sz w:val="20"/>
        </w:rPr>
        <w:t>plus</w:t>
      </w:r>
      <w:r>
        <w:rPr>
          <w:rFonts w:ascii="Times New Roman" w:hAnsi="Times New Roman"/>
          <w:caps w:val="false"/>
          <w:smallCaps w:val="false"/>
          <w:sz w:val="20"/>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1.06</w:t>
      </w:r>
      <w:r>
        <w:rPr>
          <w:rFonts w:ascii="Times New Roman" w:hAnsi="Times New Roman"/>
          <w:caps w:val="false"/>
          <w:smallCaps w:val="false"/>
          <w:sz w:val="20"/>
        </w:rPr>
        <w:t>. For all purposes of this Agreement, if on any date of determination, a Letter of Credit has expired by its terms but any amount may still be drawn thereunder by reason of the operation of Rule 3.14 of the ISP, such Letter of Credit shall be deemed to be “</w:t>
      </w:r>
      <w:r>
        <w:rPr>
          <w:rFonts w:ascii="Times New Roman" w:hAnsi="Times New Roman"/>
          <w:i/>
          <w:caps w:val="false"/>
          <w:smallCaps w:val="false"/>
          <w:sz w:val="20"/>
        </w:rPr>
        <w:t>outstanding</w:t>
      </w:r>
      <w:r>
        <w:rPr>
          <w:rFonts w:ascii="Times New Roman" w:hAnsi="Times New Roman"/>
          <w:caps w:val="false"/>
          <w:smallCaps w:val="false"/>
          <w:sz w:val="20"/>
        </w:rPr>
        <w:t>” in the amount so remaining available to be drawn.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Laws</w:t>
      </w:r>
      <w:r>
        <w:rPr>
          <w:rFonts w:ascii="Times New Roman" w:hAnsi="Times New Roman"/>
          <w:caps w:val="false"/>
          <w:smallCaps w:val="false"/>
          <w:sz w:val="20"/>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(including Beverage Licenses), authorizations and permits of, and agreements with, any Governmental Authority, in each case whether or not having the force of law.</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LCA Election</w:t>
      </w:r>
      <w:r>
        <w:rPr>
          <w:rFonts w:ascii="Times New Roman" w:hAnsi="Times New Roman"/>
          <w:caps w:val="false"/>
          <w:smallCaps w:val="false"/>
          <w:sz w:val="20"/>
        </w:rPr>
        <w:t xml:space="preserve">” shall have the meaning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LCA Test Date</w:t>
      </w:r>
      <w:r>
        <w:rPr>
          <w:rFonts w:ascii="Times New Roman" w:hAnsi="Times New Roman"/>
          <w:caps w:val="false"/>
          <w:smallCaps w:val="false"/>
          <w:sz w:val="20"/>
        </w:rPr>
        <w:t xml:space="preserve">” shall have the meaning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Lender</w:t>
      </w:r>
      <w:r>
        <w:rPr>
          <w:rFonts w:ascii="Times New Roman" w:hAnsi="Times New Roman"/>
          <w:caps w:val="false"/>
          <w:smallCaps w:val="false"/>
          <w:sz w:val="20"/>
        </w:rPr>
        <w:t>” means each of the Persons identified as a “</w:t>
      </w:r>
      <w:r>
        <w:rPr>
          <w:rFonts w:ascii="Times New Roman" w:hAnsi="Times New Roman"/>
          <w:i/>
          <w:caps w:val="false"/>
          <w:smallCaps w:val="false"/>
          <w:sz w:val="20"/>
        </w:rPr>
        <w:t>Lender</w:t>
      </w:r>
      <w:r>
        <w:rPr>
          <w:rFonts w:ascii="Times New Roman" w:hAnsi="Times New Roman"/>
          <w:caps w:val="false"/>
          <w:smallCaps w:val="false"/>
          <w:sz w:val="20"/>
        </w:rPr>
        <w:t>” on the signature pages hereto, each other Person that becomes a “</w:t>
      </w:r>
      <w:r>
        <w:rPr>
          <w:rFonts w:ascii="Times New Roman" w:hAnsi="Times New Roman"/>
          <w:i/>
          <w:caps w:val="false"/>
          <w:smallCaps w:val="false"/>
          <w:sz w:val="20"/>
        </w:rPr>
        <w:t>Lender</w:t>
      </w:r>
      <w:r>
        <w:rPr>
          <w:rFonts w:ascii="Times New Roman" w:hAnsi="Times New Roman"/>
          <w:caps w:val="false"/>
          <w:smallCaps w:val="false"/>
          <w:sz w:val="20"/>
        </w:rPr>
        <w:t>” in accordance with this Agreement and, their successors and assigns and, unless the context requires otherwise, includes the Swingline Lender.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Lender Parties</w:t>
      </w:r>
      <w:r>
        <w:rPr>
          <w:rFonts w:ascii="Times New Roman" w:hAnsi="Times New Roman"/>
          <w:caps w:val="false"/>
          <w:smallCaps w:val="false"/>
          <w:sz w:val="20"/>
        </w:rPr>
        <w:t>” and “</w:t>
      </w:r>
      <w:r>
        <w:rPr>
          <w:rFonts w:ascii="Times New Roman" w:hAnsi="Times New Roman"/>
          <w:b/>
          <w:i/>
          <w:caps w:val="false"/>
          <w:smallCaps w:val="false"/>
          <w:sz w:val="20"/>
        </w:rPr>
        <w:t>Lender Recipient Parties</w:t>
      </w:r>
      <w:r>
        <w:rPr>
          <w:rFonts w:ascii="Times New Roman" w:hAnsi="Times New Roman"/>
          <w:caps w:val="false"/>
          <w:smallCaps w:val="false"/>
          <w:sz w:val="20"/>
        </w:rPr>
        <w:t>” mean collectively, the Lenders, the Swingline Lender and the L/C Issuer.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Lending Office</w:t>
      </w:r>
      <w:r>
        <w:rPr>
          <w:rFonts w:ascii="Times New Roman" w:hAnsi="Times New Roman"/>
          <w:caps w:val="false"/>
          <w:smallCaps w:val="false"/>
          <w:sz w:val="20"/>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Letter of Credit</w:t>
      </w:r>
      <w:r>
        <w:rPr>
          <w:rFonts w:ascii="Times New Roman" w:hAnsi="Times New Roman"/>
          <w:caps w:val="false"/>
          <w:smallCaps w:val="false"/>
          <w:sz w:val="20"/>
        </w:rPr>
        <w:t>” means any standby letter of credit issued hereunder providing for the payment of cash upon the honoring of a presentation thereunder.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Letter of Credit Application</w:t>
      </w:r>
      <w:r>
        <w:rPr>
          <w:rFonts w:ascii="Times New Roman" w:hAnsi="Times New Roman"/>
          <w:caps w:val="false"/>
          <w:smallCaps w:val="false"/>
          <w:sz w:val="20"/>
        </w:rPr>
        <w:t>” means an application and agreement for the issuance or amendment of a Letter of Credit in the form from time to time in use by the L/C Issuer.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Letter of Credit Fee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2.03(l)</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Letter of Credit Sublimit</w:t>
      </w:r>
      <w:r>
        <w:rPr>
          <w:rFonts w:ascii="Times New Roman" w:hAnsi="Times New Roman"/>
          <w:caps w:val="false"/>
          <w:smallCaps w:val="false"/>
          <w:sz w:val="20"/>
        </w:rPr>
        <w:t xml:space="preserve">” means, as of any date of determination, an amount equal to the lesser of (a) $1,000,000 and (b) the Revolving Facility;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L/C Issuer’s Letter of Credit Sublimit shall not exceed its L/C Commitment. The Letter of Credit Sublimit is part of, and not in addition to, the Revolving Facility.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Lien</w:t>
      </w:r>
      <w:r>
        <w:rPr>
          <w:rFonts w:ascii="Times New Roman" w:hAnsi="Times New Roman"/>
          <w:caps w:val="false"/>
          <w:smallCaps w:val="false"/>
          <w:sz w:val="20"/>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Limited Condition Acquisition</w:t>
      </w:r>
      <w:r>
        <w:rPr>
          <w:rFonts w:ascii="Times New Roman" w:hAnsi="Times New Roman"/>
          <w:caps w:val="false"/>
          <w:smallCaps w:val="false"/>
          <w:sz w:val="20"/>
        </w:rPr>
        <w:t xml:space="preserve">” shall have the meaning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Loan</w:t>
      </w:r>
      <w:r>
        <w:rPr>
          <w:rFonts w:ascii="Times New Roman" w:hAnsi="Times New Roman"/>
          <w:caps w:val="false"/>
          <w:smallCaps w:val="false"/>
          <w:sz w:val="20"/>
        </w:rPr>
        <w:t xml:space="preserve">” means an extension of credit by a Lender to the Borrower under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xml:space="preserve"> in the form of a Term Loan, a Delayed Draw Term Loan, a Revolving Loan or a Swingline Loan.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Loan Documents</w:t>
      </w:r>
      <w:r>
        <w:rPr>
          <w:rFonts w:ascii="Times New Roman" w:hAnsi="Times New Roman"/>
          <w:caps w:val="false"/>
          <w:smallCaps w:val="false"/>
          <w:sz w:val="20"/>
        </w:rPr>
        <w:t xml:space="preserve">” means this Agreement, each Note, each Issuer Document, each Joinder Agreement, the Collateral Documents, the Holdings Guaranty, the Fee Letter and any amendments, modifications or supplements hereto or to any other Loan Document or waivers hereof or to any other Loan Document;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w:t>
      </w:r>
      <w:r>
        <w:rPr>
          <w:rFonts w:ascii="Times New Roman" w:hAnsi="Times New Roman"/>
          <w:i/>
          <w:caps w:val="false"/>
          <w:smallCaps w:val="false"/>
          <w:sz w:val="20"/>
        </w:rPr>
        <w:t>Loan Documents</w:t>
      </w:r>
      <w:r>
        <w:rPr>
          <w:rFonts w:ascii="Times New Roman" w:hAnsi="Times New Roman"/>
          <w:caps w:val="false"/>
          <w:smallCaps w:val="false"/>
          <w:sz w:val="20"/>
        </w:rPr>
        <w:t>” shall specifically exclude Secured Hedge Agreements and any Secured Cash Management Agreements.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Loan Notice</w:t>
      </w:r>
      <w:r>
        <w:rPr>
          <w:rFonts w:ascii="Times New Roman" w:hAnsi="Times New Roman"/>
          <w:caps w:val="false"/>
          <w:smallCaps w:val="false"/>
          <w:sz w:val="20"/>
        </w:rPr>
        <w:t xml:space="preserve">” means a notice of (a) a Borrowing, (b) a conversion of Loans from one (1) Type to the other, or (c) a continuation of Term SOFR Loans,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2.02(a)</w:t>
      </w:r>
      <w:r>
        <w:rPr>
          <w:rFonts w:ascii="Times New Roman" w:hAnsi="Times New Roman"/>
          <w:caps w:val="false"/>
          <w:smallCaps w:val="false"/>
          <w:sz w:val="20"/>
        </w:rPr>
        <w:t xml:space="preserve">, which shall be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Loan Parties</w:t>
      </w:r>
      <w:r>
        <w:rPr>
          <w:rFonts w:ascii="Times New Roman" w:hAnsi="Times New Roman"/>
          <w:caps w:val="false"/>
          <w:smallCaps w:val="false"/>
          <w:sz w:val="20"/>
        </w:rPr>
        <w:t xml:space="preserve">” means, collectively, the Borrower, each Guarantor and so long as the Borrower has complied with </w:t>
      </w:r>
      <w:r>
        <w:rPr>
          <w:rFonts w:ascii="Times New Roman" w:hAnsi="Times New Roman"/>
          <w:b/>
          <w:i/>
          <w:caps w:val="false"/>
          <w:smallCaps w:val="false"/>
          <w:sz w:val="20"/>
        </w:rPr>
        <w:t>Section 6.16(b)</w:t>
      </w:r>
      <w:r>
        <w:rPr>
          <w:rFonts w:ascii="Times New Roman" w:hAnsi="Times New Roman"/>
          <w:caps w:val="false"/>
          <w:smallCaps w:val="false"/>
          <w:sz w:val="20"/>
        </w:rPr>
        <w:t xml:space="preserve">, the Hemp Entities.  For the avoidance of doubt, (i) Holdings is not, and shall not be required to become, a “Loan Party” and (ii) Holdings shall not be permitted to be a “Loan Party” except, in the case of this clause (ii), in compliance with </w:t>
      </w:r>
      <w:r>
        <w:rPr>
          <w:rFonts w:ascii="Times New Roman" w:hAnsi="Times New Roman"/>
          <w:b/>
          <w:i/>
          <w:caps w:val="false"/>
          <w:smallCaps w:val="false"/>
          <w:sz w:val="20"/>
        </w:rPr>
        <w:t>Section 11.01(c)(i)</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Loan Party Group Company</w:t>
      </w:r>
      <w:r>
        <w:rPr>
          <w:rFonts w:ascii="Times New Roman" w:hAnsi="Times New Roman"/>
          <w:caps w:val="false"/>
          <w:smallCaps w:val="false"/>
          <w:sz w:val="20"/>
        </w:rPr>
        <w:t xml:space="preserve">” means, collectively, (a) the Borrower, any of its Subsidiaries, and (b) so long as the Borrower has complied with </w:t>
      </w:r>
      <w:r>
        <w:rPr>
          <w:rFonts w:ascii="Times New Roman" w:hAnsi="Times New Roman"/>
          <w:b/>
          <w:i/>
          <w:caps w:val="false"/>
          <w:smallCaps w:val="false"/>
          <w:sz w:val="20"/>
        </w:rPr>
        <w:t>Section 6.16(b)</w:t>
      </w:r>
      <w:r>
        <w:rPr>
          <w:rFonts w:ascii="Times New Roman" w:hAnsi="Times New Roman"/>
          <w:caps w:val="false"/>
          <w:smallCaps w:val="false"/>
          <w:sz w:val="20"/>
        </w:rPr>
        <w:t>, the Hemp Entities.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Mack Acquisition</w:t>
      </w:r>
      <w:r>
        <w:rPr>
          <w:rFonts w:ascii="Times New Roman" w:hAnsi="Times New Roman"/>
          <w:caps w:val="false"/>
          <w:smallCaps w:val="false"/>
          <w:sz w:val="20"/>
        </w:rPr>
        <w:t>” means the acquisition of the Mack Entities in connection with the consummation of the Mack Acquisition Agreements.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Mack Acquisition Agreements</w:t>
      </w:r>
      <w:r>
        <w:rPr>
          <w:rFonts w:ascii="Times New Roman" w:hAnsi="Times New Roman"/>
          <w:caps w:val="false"/>
          <w:smallCaps w:val="false"/>
          <w:sz w:val="20"/>
        </w:rPr>
        <w:t>” means (x) that certain Membership Interest Purchase Agreement dated as of August 6, 2024, by and among Molson Coors Beverage Company USA LLC, Tilray Brands, Inc. and the Borrower and (y) that certain Membership Interest Purchase Agreement dated as of September 1, 2024, by and among Molson Coors Beverage Company USA LLC, Tilray Brands, Inc. and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Mack Entities</w:t>
      </w:r>
      <w:r>
        <w:rPr>
          <w:rFonts w:ascii="Times New Roman" w:hAnsi="Times New Roman"/>
          <w:caps w:val="false"/>
          <w:smallCaps w:val="false"/>
          <w:sz w:val="20"/>
        </w:rPr>
        <w:t>” means each of Terrapin Beer Company, LLC, a Georgia limited liability company, McKenzie River Brewing Company, LLC d/b/a Hop Valley Brewing Co., an Oregon limited liability company, Revolver Brewing, LLC, a Texas limited liability company, Detroit Rivertown Brewing Company, LLC, a Michigan limited liability company, Park Brewing, L.L.C., a Michigan limited liability company, Liquid GR, L.L.C., a Michigan limited liability company.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Master Agreement</w:t>
      </w:r>
      <w:r>
        <w:rPr>
          <w:rFonts w:ascii="Times New Roman" w:hAnsi="Times New Roman"/>
          <w:caps w:val="false"/>
          <w:smallCaps w:val="false"/>
          <w:sz w:val="20"/>
        </w:rPr>
        <w:t>” has the meaning set forth in the definition of “</w:t>
      </w:r>
      <w:r>
        <w:rPr>
          <w:rFonts w:ascii="Times New Roman" w:hAnsi="Times New Roman"/>
          <w:i/>
          <w:caps w:val="false"/>
          <w:smallCaps w:val="false"/>
          <w:sz w:val="20"/>
        </w:rPr>
        <w:t>Swap Contract.</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Material Adverse Effect</w:t>
      </w:r>
      <w:r>
        <w:rPr>
          <w:rFonts w:ascii="Times New Roman" w:hAnsi="Times New Roman"/>
          <w:caps w:val="false"/>
          <w:smallCaps w:val="false"/>
          <w:sz w:val="20"/>
        </w:rPr>
        <w:t>” means (a) a material adverse change in, or a material adverse effect upon, the operations, business, properties, liabilities (actual or contingent), or financial condition of Holdings, or the Loan Parties and their Subsidiaries taken as a whole; or (b) a material adverse effect on (i) the ability of Holdings or any Loan Party to perform its Obligations under any Loan Document to which it is a party, (ii) the legality, validity, binding effect or enforceability against Holdings or any Loan Party of any Loan Document to which it is a party or (iii) the rights, remedies and benefits available to, or conferred upon, the Administrative Agent or any Lender under any Loan Documents.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Material Contract</w:t>
      </w:r>
      <w:r>
        <w:rPr>
          <w:rFonts w:ascii="Times New Roman" w:hAnsi="Times New Roman"/>
          <w:caps w:val="false"/>
          <w:smallCaps w:val="false"/>
          <w:sz w:val="20"/>
        </w:rPr>
        <w:t xml:space="preserve">” means that certain (a) Distribution Agreement between the Borrower and United Distributors, Inc. of Savannah dated January 1, 2001, (b) Distribution Agreement between the Borrower and United Distributors, Inc. of Smyrna dated January 1, 2001 and (c) Distribution Agreement between United Beverages of North Carolina and Company dated March 18, 2014, in each case of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through and including </w:t>
      </w:r>
      <w:r>
        <w:rPr>
          <w:rFonts w:ascii="Times New Roman" w:hAnsi="Times New Roman"/>
          <w:b/>
          <w:i/>
          <w:caps w:val="false"/>
          <w:smallCaps w:val="false"/>
          <w:sz w:val="20"/>
        </w:rPr>
        <w:t>(c)</w:t>
      </w:r>
      <w:r>
        <w:rPr>
          <w:rFonts w:ascii="Times New Roman" w:hAnsi="Times New Roman"/>
          <w:caps w:val="false"/>
          <w:smallCaps w:val="false"/>
          <w:sz w:val="20"/>
        </w:rPr>
        <w:t>, as may be amended, restated, supplemented or otherwise modified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Maturity Date</w:t>
      </w:r>
      <w:r>
        <w:rPr>
          <w:rFonts w:ascii="Times New Roman" w:hAnsi="Times New Roman"/>
          <w:caps w:val="false"/>
          <w:smallCaps w:val="false"/>
          <w:sz w:val="20"/>
        </w:rPr>
        <w:t xml:space="preserve">” means June 30, 2028;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in each case, if such date is not a Business Day, the Maturity Date shall be the next preceding Business Day.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Minimum Collateral Amount</w:t>
      </w:r>
      <w:r>
        <w:rPr>
          <w:rFonts w:ascii="Times New Roman" w:hAnsi="Times New Roman"/>
          <w:caps w:val="false"/>
          <w:smallCaps w:val="false"/>
          <w:sz w:val="20"/>
        </w:rPr>
        <w:t>” means, at any time, (a) with respect to Cash Collateral consisting of cash or deposit account balances, an amount equal to 105% of the Fronting Exposure of the L/C Issuer with respect to Letters of Credit issued and outstanding at such time and (b) otherwise, an amount determined by the Administrative Agent and the L/C Issuer in their sole discretion.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Minimum TTM EBITDA Testing Period</w:t>
      </w:r>
      <w:r>
        <w:rPr>
          <w:rFonts w:ascii="Times New Roman" w:hAnsi="Times New Roman"/>
          <w:caps w:val="false"/>
          <w:smallCaps w:val="false"/>
          <w:sz w:val="20"/>
        </w:rPr>
        <w:t xml:space="preserve">” means the period from and including the Fifth Amendment Effective Date until the date that the Borrower has delivered a Compliance Certificate signed by the principal executive officer or the principal financial officer of Borrower setting forth in reasonable detail calculations demonstrating compliance with the financial covenants set forth in </w:t>
      </w:r>
      <w:r>
        <w:rPr>
          <w:rFonts w:ascii="Times New Roman" w:hAnsi="Times New Roman"/>
          <w:b/>
          <w:i/>
          <w:caps w:val="false"/>
          <w:smallCaps w:val="false"/>
          <w:sz w:val="20"/>
        </w:rPr>
        <w:t>Sections 7.11(a)</w:t>
      </w:r>
      <w:r>
        <w:rPr>
          <w:rFonts w:ascii="Times New Roman" w:hAnsi="Times New Roman"/>
          <w:caps w:val="false"/>
          <w:smallCaps w:val="false"/>
          <w:sz w:val="20"/>
        </w:rPr>
        <w:t xml:space="preserve"> and </w:t>
      </w:r>
      <w:r>
        <w:rPr>
          <w:rFonts w:ascii="Times New Roman" w:hAnsi="Times New Roman"/>
          <w:b/>
          <w:i/>
          <w:caps w:val="false"/>
          <w:smallCaps w:val="false"/>
          <w:sz w:val="20"/>
        </w:rPr>
        <w:t>7.11(b)</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end date may not occur prior to the date that the audited financial statements are delivered for the Fiscal Year ending May 31, 2026.</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Montauk</w:t>
      </w:r>
      <w:r>
        <w:rPr>
          <w:rFonts w:ascii="Times New Roman" w:hAnsi="Times New Roman"/>
          <w:caps w:val="false"/>
          <w:smallCaps w:val="false"/>
          <w:sz w:val="20"/>
        </w:rPr>
        <w:t>” means Montauk Brewing Company, Inc., a Delaware corporation.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Montauk Contribution</w:t>
      </w:r>
      <w:r>
        <w:rPr>
          <w:rFonts w:ascii="Times New Roman" w:hAnsi="Times New Roman"/>
          <w:caps w:val="false"/>
          <w:smallCaps w:val="false"/>
          <w:sz w:val="20"/>
        </w:rPr>
        <w:t>” means the contribution of all of the Equity Interests of Montauk to the Borrower or another Subsidiary of the Borrower that is a Loan Party whereby Montauk shall be a direct or indirect wholly-owned Subsidiary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Moody</w:t>
      </w:r>
      <w:r>
        <w:rPr>
          <w:rFonts w:ascii="Times New Roman" w:hAnsi="Times New Roman"/>
          <w:caps w:val="false"/>
          <w:smallCaps w:val="false"/>
          <w:sz w:val="20"/>
        </w:rPr>
        <w:t>’</w:t>
      </w:r>
      <w:r>
        <w:rPr>
          <w:rFonts w:ascii="Times New Roman" w:hAnsi="Times New Roman"/>
          <w:b/>
          <w:i/>
          <w:caps w:val="false"/>
          <w:smallCaps w:val="false"/>
          <w:sz w:val="20"/>
        </w:rPr>
        <w:t>s</w:t>
      </w:r>
      <w:r>
        <w:rPr>
          <w:rFonts w:ascii="Times New Roman" w:hAnsi="Times New Roman"/>
          <w:caps w:val="false"/>
          <w:smallCaps w:val="false"/>
          <w:sz w:val="20"/>
        </w:rPr>
        <w:t>” means Moody’s Investors Service, Inc. and any successor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Mortgage</w:t>
      </w:r>
      <w:r>
        <w:rPr>
          <w:rFonts w:ascii="Times New Roman" w:hAnsi="Times New Roman"/>
          <w:caps w:val="false"/>
          <w:smallCaps w:val="false"/>
          <w:sz w:val="20"/>
        </w:rPr>
        <w:t>” or “</w:t>
      </w:r>
      <w:r>
        <w:rPr>
          <w:rFonts w:ascii="Times New Roman" w:hAnsi="Times New Roman"/>
          <w:b/>
          <w:i/>
          <w:caps w:val="false"/>
          <w:smallCaps w:val="false"/>
          <w:sz w:val="20"/>
        </w:rPr>
        <w:t>Mortgages</w:t>
      </w:r>
      <w:r>
        <w:rPr>
          <w:rFonts w:ascii="Times New Roman" w:hAnsi="Times New Roman"/>
          <w:caps w:val="false"/>
          <w:smallCaps w:val="false"/>
          <w:sz w:val="20"/>
        </w:rPr>
        <w:t>” means, individually and collectively, as the context requires, each of the fee or leasehold mortgages, deeds of trust, deeds and other similar security documents executed by a Loan Party that purport to grant a Lien to the Administrative Agent (or a trustee for the benefit of the Administrative Agent) for the benefit of the Secured Parties in any Mortgaged Properties, in form and substance satisfactory to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Mortgaged Property Support Documents</w:t>
      </w:r>
      <w:r>
        <w:rPr>
          <w:rFonts w:ascii="Times New Roman" w:hAnsi="Times New Roman"/>
          <w:caps w:val="false"/>
          <w:smallCaps w:val="false"/>
          <w:sz w:val="20"/>
        </w:rPr>
        <w:t>” means, with respect to any real property subject to a Mortgage, the Administrative Agent shall have received, in form and substance satisfactory to the Administrative Agent and the Lenders a Mortgage, duly executed by the appropriate Loan Party, together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evidence that counterparts of such Mortgage has been duly executed, acknowledged and delivered and is in form suitable for filing or recording in all filing or recording offices that the Administrative Agent may deem necessary or desirable in order to create a valid first and subsisting Lien on the property described therein in favor of the Administrative Agent for the benefit of the Secured Parties and that all filing, documentary, stamp, intangible and recording taxes and other fees in connection therewith have been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fully paid American Land Title Association Lender’s Extended Coverage title insurance policy (the “</w:t>
            </w:r>
            <w:r>
              <w:rPr>
                <w:rFonts w:ascii="Times New Roman" w:hAnsi="Times New Roman"/>
                <w:b/>
                <w:caps w:val="false"/>
                <w:smallCaps w:val="false"/>
                <w:sz w:val="20"/>
              </w:rPr>
              <w:t>Mortgage Policy</w:t>
            </w:r>
            <w:r>
              <w:rPr>
                <w:rFonts w:ascii="Times New Roman" w:hAnsi="Times New Roman"/>
                <w:caps w:val="false"/>
                <w:smallCaps w:val="false"/>
                <w:sz w:val="20"/>
              </w:rPr>
              <w:t>”), with endorsements and in amounts acceptable to the Administrative Agent, issued, coinsured and reinsured by title insurers acceptable to the Administrative Agent, insuring the Mortgages to be valid first and subsisting Liens on the property described therein, free and clear of all Liens, other than Permitted Encumbrances, and providing for such other affirmative insurance and such coinsurance (or reinsurance with direct access) as the Administrative Agent may deem necessary or desirable;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American Land Title Association/National Society of Professional Engineers form survey, for which all necessary fees (where applicable) have been paid, and dated no more than thirty (30) days before the day of the initial Credit Extension, certified to the Administrative Agent and the issuer of the Mortgage Policy in a manner satisfactory to the Administrative Agent by a land surveyor duly registered and licensed in the jurisdiction in which the Material Real Property is located and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acceptable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the request of the Administrative Agent, an engineering, environmental, soils or similar report from professional firms acceptable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55"/>
        <w:gridCol w:w="518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evidence of the insurance required by the terms of </w:t>
            </w:r>
            <w:r>
              <w:rPr>
                <w:rFonts w:ascii="Times New Roman" w:hAnsi="Times New Roman"/>
                <w:b/>
                <w:caps w:val="false"/>
                <w:smallCaps w:val="false"/>
                <w:sz w:val="20"/>
              </w:rPr>
              <w:t>Section 6.06</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completed “Life-of-Loan” Federal Emergency Management Agency Standard Flood Hazard Determination, and, if such Material Real Property is located in a special flood hazard area, (1) a notice to (and confirmations of receipt by) the Borrower as to the existence of a special flood hazard and, if applicable, the availability of flood hazard insurance under the National Flood Insurance Program and (2) evidence of applicable flood insurance, if available, in each case in such form, on such terms and in such amounts as required by the Flood Insurance Laws or as otherwise required by the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appraisal of such real property complying with the requirements of the Federal Financial Institutions Reform, Recovery and Enforcement Act of 1989, which appraisals shall be from a Person acceptable to the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opinion of local counsel as to the enforceability of the Mortgage and such other matters reasonably requested by the Administrative Agent;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evidence that all other action that the Administrative Agent may deem necessary or desirable in order to create valid first and subsisting Liens on such real property has been taken.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Multiemployer Plan</w:t>
      </w:r>
      <w:r>
        <w:rPr>
          <w:rFonts w:ascii="Times New Roman" w:hAnsi="Times New Roman"/>
          <w:caps w:val="false"/>
          <w:smallCaps w:val="false"/>
          <w:sz w:val="20"/>
        </w:rPr>
        <w:t xml:space="preserve">” means any employee benefit plan of the type described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4001(a)(3)</w:t>
      </w:r>
      <w:r>
        <w:rPr>
          <w:rFonts w:ascii="Times New Roman" w:hAnsi="Times New Roman"/>
          <w:caps w:val="false"/>
          <w:smallCaps w:val="false"/>
          <w:sz w:val="20"/>
        </w:rPr>
        <w:t xml:space="preserve"> of ERISA, to which the Borrower or any ERISA Affiliate makes or is obligated to make contributions, or during the preceding five (5) plan years, has made or been obligated to make contributions.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Multiple Employer Plan</w:t>
      </w:r>
      <w:r>
        <w:rPr>
          <w:rFonts w:ascii="Times New Roman" w:hAnsi="Times New Roman"/>
          <w:caps w:val="false"/>
          <w:smallCaps w:val="false"/>
          <w:sz w:val="20"/>
        </w:rPr>
        <w:t xml:space="preserve">” means a Plan which has two (2) or more contributing sponsors (including the Borrower or any ERISA Affiliate) at least two (2) of whom are not under common control, as such a plan is described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4064</w:t>
      </w:r>
      <w:r>
        <w:rPr>
          <w:rFonts w:ascii="Times New Roman" w:hAnsi="Times New Roman"/>
          <w:caps w:val="false"/>
          <w:smallCaps w:val="false"/>
          <w:sz w:val="20"/>
        </w:rPr>
        <w:t xml:space="preserve"> of ERISA.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Net Assets</w:t>
      </w:r>
      <w:r>
        <w:rPr>
          <w:rFonts w:ascii="Times New Roman" w:hAnsi="Times New Roman"/>
          <w:caps w:val="false"/>
          <w:smallCaps w:val="false"/>
          <w:sz w:val="20"/>
        </w:rPr>
        <w:t xml:space="preserve">” shall mean, as of any date, the total shareholders’ equity in the Loan Party Group Companies calculated as (a) the total assets of the Loan Party Group Companies, </w:t>
      </w:r>
      <w:r>
        <w:rPr>
          <w:rFonts w:ascii="Times New Roman" w:hAnsi="Times New Roman"/>
          <w:i/>
          <w:caps w:val="false"/>
          <w:smallCaps w:val="false"/>
          <w:sz w:val="20"/>
        </w:rPr>
        <w:t>minus</w:t>
      </w:r>
      <w:r>
        <w:rPr>
          <w:rFonts w:ascii="Times New Roman" w:hAnsi="Times New Roman"/>
          <w:caps w:val="false"/>
          <w:smallCaps w:val="false"/>
          <w:sz w:val="20"/>
        </w:rPr>
        <w:t xml:space="preserve"> (b) the total liabilities of the Loan Party Group Companies, each as set forth on the consolidated balance sheet of the Loan Party Group Companies most recently delivered before that date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5.01(b)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Net Cash Proceeds</w:t>
      </w:r>
      <w:r>
        <w:rPr>
          <w:rFonts w:ascii="Times New Roman" w:hAnsi="Times New Roman"/>
          <w:caps w:val="false"/>
          <w:smallCaps w:val="false"/>
          <w:sz w:val="20"/>
        </w:rPr>
        <w:t>” means the aggregate cash or Cash Equivalents proceeds received by any Loan Party or any Subsidiary in respect of any Disposition, Debt Issuance or Recovery Event, net of (a) direct costs incurred in connection therewith (including, without limitation, legal, accounting and investment banking fees and sales commissions), (b) taxes paid or payable as a result thereof, (c) in the case of any Disposition or any Recovery Event, the amount necessary to retire any Indebtedness secured by a Permitted Lien on the related property and (d) any reserve for adjustment in respect of (x) the sale price of the property that is subject to a Disposition established in accordance with GAAP and (y) any liabilities associated with such property and retained by any Loan Party Group Company after such Disposition, including pension and other post-employment benefit liabilities and liabilities related to environmental matters or against any indemnification obligations associated with such transaction; it being understood that “</w:t>
      </w:r>
      <w:r>
        <w:rPr>
          <w:rFonts w:ascii="Times New Roman" w:hAnsi="Times New Roman"/>
          <w:i/>
          <w:caps w:val="false"/>
          <w:smallCaps w:val="false"/>
          <w:sz w:val="20"/>
        </w:rPr>
        <w:t>Net Cash Proceeds</w:t>
      </w:r>
      <w:r>
        <w:rPr>
          <w:rFonts w:ascii="Times New Roman" w:hAnsi="Times New Roman"/>
          <w:caps w:val="false"/>
          <w:smallCaps w:val="false"/>
          <w:sz w:val="20"/>
        </w:rPr>
        <w:t>” shall include, without limitation, any cash or Cash Equivalents received upon the sale or other disposition of any non-cash consideration received by any Loan Party or any Subsidiary in any Disposition, Debt Issuance or Recovery Event.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Non-Consenting Lender</w:t>
      </w:r>
      <w:r>
        <w:rPr>
          <w:rFonts w:ascii="Times New Roman" w:hAnsi="Times New Roman"/>
          <w:caps w:val="false"/>
          <w:smallCaps w:val="false"/>
          <w:sz w:val="20"/>
        </w:rPr>
        <w:t xml:space="preserve">” means any Lender that does not approve any consent, waiver or amendment that (a) requires the approval of all Lenders or all affected Lenders in accordance with the terms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w:t>
      </w:r>
      <w:r>
        <w:rPr>
          <w:rFonts w:ascii="Times New Roman" w:hAnsi="Times New Roman"/>
          <w:caps w:val="false"/>
          <w:smallCaps w:val="false"/>
          <w:sz w:val="20"/>
        </w:rPr>
        <w:t xml:space="preserve"> and (b) has been approved by the Required Lenders.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Non-Defaulting Lender</w:t>
      </w:r>
      <w:r>
        <w:rPr>
          <w:rFonts w:ascii="Times New Roman" w:hAnsi="Times New Roman"/>
          <w:caps w:val="false"/>
          <w:smallCaps w:val="false"/>
          <w:sz w:val="20"/>
        </w:rPr>
        <w:t>” means, at any time, each Lender that is not a Defaulting Lender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Non-Extension Notice Date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Note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2.11(a)</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Notice of Loan Prepayment</w:t>
      </w:r>
      <w:r>
        <w:rPr>
          <w:rFonts w:ascii="Times New Roman" w:hAnsi="Times New Roman"/>
          <w:caps w:val="false"/>
          <w:smallCaps w:val="false"/>
          <w:sz w:val="20"/>
        </w:rPr>
        <w:t xml:space="preserve">” means a notice of prepayment with respect to a Loan, which shall be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2.05</w:t>
      </w:r>
      <w:r>
        <w:rPr>
          <w:rFonts w:ascii="Times New Roman" w:hAnsi="Times New Roman"/>
          <w:caps w:val="false"/>
          <w:smallCaps w:val="false"/>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NPL</w:t>
      </w:r>
      <w:r>
        <w:rPr>
          <w:rFonts w:ascii="Times New Roman" w:hAnsi="Times New Roman"/>
          <w:caps w:val="false"/>
          <w:smallCaps w:val="false"/>
          <w:sz w:val="20"/>
        </w:rPr>
        <w:t>” means the National Priorities List under CERCLA.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Obligations</w:t>
      </w:r>
      <w:r>
        <w:rPr>
          <w:rFonts w:ascii="Times New Roman" w:hAnsi="Times New Roman"/>
          <w:caps w:val="false"/>
          <w:smallCaps w:val="false"/>
          <w:sz w:val="20"/>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hAnsi="Times New Roman"/>
          <w:i/>
          <w:caps w:val="false"/>
          <w:smallCaps w:val="false"/>
          <w:sz w:val="20"/>
        </w:rPr>
        <w:t>provided</w:t>
      </w:r>
      <w:r>
        <w:rPr>
          <w:rFonts w:ascii="Times New Roman" w:hAnsi="Times New Roman"/>
          <w:caps w:val="false"/>
          <w:smallCaps w:val="false"/>
          <w:sz w:val="20"/>
        </w:rPr>
        <w:t xml:space="preserve"> that, without limiting the foregoing, the Obligations of a Loan Party shall exclude any Excluded Swap Obligations with respect to such Loan Party.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OFAC</w:t>
      </w:r>
      <w:r>
        <w:rPr>
          <w:rFonts w:ascii="Times New Roman" w:hAnsi="Times New Roman"/>
          <w:caps w:val="false"/>
          <w:smallCaps w:val="false"/>
          <w:sz w:val="20"/>
        </w:rPr>
        <w:t>” means the Office of Foreign Assets Control of the United States Department of the Treasury.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Organization Documents</w:t>
      </w:r>
      <w:r>
        <w:rPr>
          <w:rFonts w:ascii="Times New Roman" w:hAnsi="Times New Roman"/>
          <w:caps w:val="false"/>
          <w:smallCaps w:val="false"/>
          <w:sz w:val="20"/>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Other Connection Taxes</w:t>
      </w:r>
      <w:r>
        <w:rPr>
          <w:rFonts w:ascii="Times New Roman" w:hAnsi="Times New Roman"/>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Other Taxes</w:t>
      </w:r>
      <w:r>
        <w:rPr>
          <w:rFonts w:ascii="Times New Roman" w:hAnsi="Times New Roman"/>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3.06</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Other Term Loans</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Outbound Investment Rules</w:t>
      </w:r>
      <w:r>
        <w:rPr>
          <w:rFonts w:ascii="Times New Roman" w:hAnsi="Times New Roman"/>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Fifth Amendment Effective Date,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Outstanding Amount</w:t>
      </w:r>
      <w:r>
        <w:rPr>
          <w:rFonts w:ascii="Times New Roman" w:hAnsi="Times New Roman"/>
          <w:caps w:val="false"/>
          <w:smallCaps w:val="false"/>
          <w:sz w:val="20"/>
        </w:rPr>
        <w:t>” means (a) with respect to any Loans on any date, the aggregate outstanding principal amount thereof after giving effect to any Borrowings and prepayments or repayments of thereof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PACE Financing</w:t>
      </w:r>
      <w:r>
        <w:rPr>
          <w:rFonts w:ascii="Times New Roman" w:hAnsi="Times New Roman"/>
          <w:caps w:val="false"/>
          <w:smallCaps w:val="false"/>
          <w:sz w:val="20"/>
        </w:rPr>
        <w:t>” means any property assessed clean energy financing or similar energy efficiency or renewable energy financing repaid through assessments against property (without regard to the name given to such financing).</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Parent Document Notice Period</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9.14(a)</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Participant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11.06(d)</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Participant Register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11.06(d)</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Patriot Act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11.19</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PBGC</w:t>
      </w:r>
      <w:r>
        <w:rPr>
          <w:rFonts w:ascii="Times New Roman" w:hAnsi="Times New Roman"/>
          <w:caps w:val="false"/>
          <w:smallCaps w:val="false"/>
          <w:sz w:val="20"/>
        </w:rPr>
        <w:t>” means the Pension Benefit Guaranty Corporation.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Pension Funding Rules</w:t>
      </w:r>
      <w:r>
        <w:rPr>
          <w:rFonts w:ascii="Times New Roman" w:hAnsi="Times New Roman"/>
          <w:caps w:val="false"/>
          <w:smallCaps w:val="false"/>
          <w:sz w:val="20"/>
        </w:rPr>
        <w:t xml:space="preserve">” means the rules of the Code and ERISA regarding minimum funding standards with respect to Pension Plans and set forth in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412</w:t>
      </w:r>
      <w:r>
        <w:rPr>
          <w:rFonts w:ascii="Times New Roman" w:hAnsi="Times New Roman"/>
          <w:caps w:val="false"/>
          <w:smallCaps w:val="false"/>
          <w:sz w:val="20"/>
        </w:rPr>
        <w:t xml:space="preserve">, </w:t>
      </w:r>
      <w:r>
        <w:rPr>
          <w:rFonts w:ascii="Times New Roman" w:hAnsi="Times New Roman"/>
          <w:i/>
          <w:caps w:val="false"/>
          <w:smallCaps w:val="false"/>
          <w:sz w:val="20"/>
        </w:rPr>
        <w:t>430</w:t>
      </w:r>
      <w:r>
        <w:rPr>
          <w:rFonts w:ascii="Times New Roman" w:hAnsi="Times New Roman"/>
          <w:caps w:val="false"/>
          <w:smallCaps w:val="false"/>
          <w:sz w:val="20"/>
        </w:rPr>
        <w:t xml:space="preserve">, </w:t>
      </w:r>
      <w:r>
        <w:rPr>
          <w:rFonts w:ascii="Times New Roman" w:hAnsi="Times New Roman"/>
          <w:i/>
          <w:caps w:val="false"/>
          <w:smallCaps w:val="false"/>
          <w:sz w:val="20"/>
        </w:rPr>
        <w:t>431</w:t>
      </w:r>
      <w:r>
        <w:rPr>
          <w:rFonts w:ascii="Times New Roman" w:hAnsi="Times New Roman"/>
          <w:caps w:val="false"/>
          <w:smallCaps w:val="false"/>
          <w:sz w:val="20"/>
        </w:rPr>
        <w:t xml:space="preserve">, </w:t>
      </w:r>
      <w:r>
        <w:rPr>
          <w:rFonts w:ascii="Times New Roman" w:hAnsi="Times New Roman"/>
          <w:i/>
          <w:caps w:val="false"/>
          <w:smallCaps w:val="false"/>
          <w:sz w:val="20"/>
        </w:rPr>
        <w:t>432</w:t>
      </w:r>
      <w:r>
        <w:rPr>
          <w:rFonts w:ascii="Times New Roman" w:hAnsi="Times New Roman"/>
          <w:caps w:val="false"/>
          <w:smallCaps w:val="false"/>
          <w:sz w:val="20"/>
        </w:rPr>
        <w:t xml:space="preserve"> and </w:t>
      </w:r>
      <w:r>
        <w:rPr>
          <w:rFonts w:ascii="Times New Roman" w:hAnsi="Times New Roman"/>
          <w:i/>
          <w:caps w:val="false"/>
          <w:smallCaps w:val="false"/>
          <w:sz w:val="20"/>
        </w:rPr>
        <w:t>436</w:t>
      </w:r>
      <w:r>
        <w:rPr>
          <w:rFonts w:ascii="Times New Roman" w:hAnsi="Times New Roman"/>
          <w:caps w:val="false"/>
          <w:smallCaps w:val="false"/>
          <w:sz w:val="20"/>
        </w:rPr>
        <w:t xml:space="preserve"> of the Code and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302</w:t>
      </w:r>
      <w:r>
        <w:rPr>
          <w:rFonts w:ascii="Times New Roman" w:hAnsi="Times New Roman"/>
          <w:caps w:val="false"/>
          <w:smallCaps w:val="false"/>
          <w:sz w:val="20"/>
        </w:rPr>
        <w:t xml:space="preserve">, </w:t>
      </w:r>
      <w:r>
        <w:rPr>
          <w:rFonts w:ascii="Times New Roman" w:hAnsi="Times New Roman"/>
          <w:i/>
          <w:caps w:val="false"/>
          <w:smallCaps w:val="false"/>
          <w:sz w:val="20"/>
        </w:rPr>
        <w:t>303</w:t>
      </w:r>
      <w:r>
        <w:rPr>
          <w:rFonts w:ascii="Times New Roman" w:hAnsi="Times New Roman"/>
          <w:caps w:val="false"/>
          <w:smallCaps w:val="false"/>
          <w:sz w:val="20"/>
        </w:rPr>
        <w:t xml:space="preserve">, </w:t>
      </w:r>
      <w:r>
        <w:rPr>
          <w:rFonts w:ascii="Times New Roman" w:hAnsi="Times New Roman"/>
          <w:i/>
          <w:caps w:val="false"/>
          <w:smallCaps w:val="false"/>
          <w:sz w:val="20"/>
        </w:rPr>
        <w:t>304</w:t>
      </w:r>
      <w:r>
        <w:rPr>
          <w:rFonts w:ascii="Times New Roman" w:hAnsi="Times New Roman"/>
          <w:caps w:val="false"/>
          <w:smallCaps w:val="false"/>
          <w:sz w:val="20"/>
        </w:rPr>
        <w:t xml:space="preserve"> and </w:t>
      </w:r>
      <w:r>
        <w:rPr>
          <w:rFonts w:ascii="Times New Roman" w:hAnsi="Times New Roman"/>
          <w:i/>
          <w:caps w:val="false"/>
          <w:smallCaps w:val="false"/>
          <w:sz w:val="20"/>
        </w:rPr>
        <w:t>305</w:t>
      </w:r>
      <w:r>
        <w:rPr>
          <w:rFonts w:ascii="Times New Roman" w:hAnsi="Times New Roman"/>
          <w:caps w:val="false"/>
          <w:smallCaps w:val="false"/>
          <w:sz w:val="20"/>
        </w:rPr>
        <w:t xml:space="preserve"> of ERISA.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Pension Plan</w:t>
      </w:r>
      <w:r>
        <w:rPr>
          <w:rFonts w:ascii="Times New Roman" w:hAnsi="Times New Roman"/>
          <w:caps w:val="false"/>
          <w:smallCaps w:val="false"/>
          <w:sz w:val="20"/>
        </w:rPr>
        <w:t xml:space="preserve">”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IV</w:t>
      </w:r>
      <w:r>
        <w:rPr>
          <w:rFonts w:ascii="Times New Roman" w:hAnsi="Times New Roman"/>
          <w:caps w:val="false"/>
          <w:smallCaps w:val="false"/>
          <w:sz w:val="20"/>
        </w:rPr>
        <w:t xml:space="preserve"> of ERISA or is subject to the minimum funding standards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412</w:t>
      </w:r>
      <w:r>
        <w:rPr>
          <w:rFonts w:ascii="Times New Roman" w:hAnsi="Times New Roman"/>
          <w:caps w:val="false"/>
          <w:smallCaps w:val="false"/>
          <w:sz w:val="20"/>
        </w:rPr>
        <w:t xml:space="preserve"> of the Code.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Permitted Acquisition</w:t>
      </w:r>
      <w:r>
        <w:rPr>
          <w:rFonts w:ascii="Times New Roman" w:hAnsi="Times New Roman"/>
          <w:caps w:val="false"/>
          <w:smallCaps w:val="false"/>
          <w:sz w:val="20"/>
        </w:rPr>
        <w:t xml:space="preserve">” means an Investment with Internally Generated Cash consisting of an Acquisition by any Loan Party, with respect to which all of the following criteria are satisfied (except to the extent (I) otherwise agreed in writing by the Required Lenders in their discretion, or (II) Acquisitions in respect of which (A) the aggregate consideration for all such Acquisitions in any Fiscal Year of the Borrower does not exceed $[***], and (B) the conditions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w:t>
      </w:r>
      <w:r>
        <w:rPr>
          <w:rFonts w:ascii="Times New Roman" w:hAnsi="Times New Roman"/>
          <w:caps w:val="false"/>
          <w:smallCaps w:val="false"/>
          <w:sz w:val="20"/>
        </w:rPr>
        <w:t xml:space="preserve">, </w:t>
      </w:r>
      <w:r>
        <w:rPr>
          <w:rFonts w:ascii="Times New Roman" w:hAnsi="Times New Roman"/>
          <w:b/>
          <w:i/>
          <w:caps w:val="false"/>
          <w:smallCaps w:val="false"/>
          <w:sz w:val="20"/>
        </w:rPr>
        <w:t>(f)</w:t>
      </w:r>
      <w:r>
        <w:rPr>
          <w:rFonts w:ascii="Times New Roman" w:hAnsi="Times New Roman"/>
          <w:caps w:val="false"/>
          <w:smallCaps w:val="false"/>
          <w:sz w:val="20"/>
        </w:rPr>
        <w:t xml:space="preserve">, </w:t>
      </w:r>
      <w:r>
        <w:rPr>
          <w:rFonts w:ascii="Times New Roman" w:hAnsi="Times New Roman"/>
          <w:b/>
          <w:i/>
          <w:caps w:val="false"/>
          <w:smallCaps w:val="false"/>
          <w:sz w:val="20"/>
        </w:rPr>
        <w:t>(g)</w:t>
      </w:r>
      <w:r>
        <w:rPr>
          <w:rFonts w:ascii="Times New Roman" w:hAnsi="Times New Roman"/>
          <w:caps w:val="false"/>
          <w:smallCaps w:val="false"/>
          <w:sz w:val="20"/>
        </w:rPr>
        <w:t xml:space="preserve"> and </w:t>
      </w:r>
      <w:r>
        <w:rPr>
          <w:rFonts w:ascii="Times New Roman" w:hAnsi="Times New Roman"/>
          <w:b/>
          <w:i/>
          <w:caps w:val="false"/>
          <w:smallCaps w:val="false"/>
          <w:sz w:val="20"/>
        </w:rPr>
        <w:t>(h)</w:t>
      </w:r>
      <w:r>
        <w:rPr>
          <w:rFonts w:ascii="Times New Roman" w:hAnsi="Times New Roman"/>
          <w:caps w:val="false"/>
          <w:smallCaps w:val="false"/>
          <w:sz w:val="20"/>
        </w:rPr>
        <w:t xml:space="preserve"> below are satisfied), and, where applicable,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 xml:space="preserve"> with respect to a Limited Condition Acquisition: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The Borrower shall have furnished to the Administrative Agent and Lenders at least ten (10) Business Days (or such shorter period as the Administrative Agent may agree in its sole discretion) prior to the consummation of such Acquisition (i) a summary setting forth in reasonable detail the terms and conditions of such Acquisition and, notwithstanding the ten (10) Business Day requirement set forth above, when to the extent available, draft copies of the primary documents related to such Acquisition is to be consummated and, as soon as available, signed acquisition documents (including, without limitation, any related management, non-compete, employment, option or other material agreements), any schedules to such agreements, documents or instruments and all other material ancillary agreements, instruments and documents executed or delivered in connection therewith, (ii) </w:t>
      </w:r>
      <w:r>
        <w:rPr>
          <w:rFonts w:ascii="Times New Roman" w:hAnsi="Times New Roman"/>
          <w:i/>
          <w:caps w:val="false"/>
          <w:smallCaps w:val="false"/>
          <w:sz w:val="20"/>
        </w:rPr>
        <w:t>pro forma</w:t>
      </w:r>
      <w:r>
        <w:rPr>
          <w:rFonts w:ascii="Times New Roman" w:hAnsi="Times New Roman"/>
          <w:caps w:val="false"/>
          <w:smallCaps w:val="false"/>
          <w:sz w:val="20"/>
        </w:rPr>
        <w:t xml:space="preserve"> financial statements of the Loan Party Group Companies after giving effect to the consummation of such Acquisition, (iii) a certificate of a Responsible Officer of the Borrower demonstrating compliance with the financial covenants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7.11</w:t>
      </w:r>
      <w:r>
        <w:rPr>
          <w:rFonts w:ascii="Times New Roman" w:hAnsi="Times New Roman"/>
          <w:caps w:val="false"/>
          <w:smallCaps w:val="false"/>
          <w:sz w:val="20"/>
        </w:rPr>
        <w:t xml:space="preserve"> on a Pro Forma Basis after giving effect to the consummation of such Acquisition and any Credit Extension in connection therewith, and (iv) within the time period required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xml:space="preserve">, the Loan Documents required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including a collateral assignment of the seller’s representations, warranties and indemnities any Loan Party or any Subsidiary under the Acquisition Documents (such collateral assignment to be provided on a commercially reasonable efforts basis if the consideration for such Acquisition is not satisfied wholly or partly, directly or indirectly, by Borrowings);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such Person and each of its Subsidiaries (i) is engaged in the craft alcohol or spirits and beverage production or distribution business and other business reasonably related thereto; provided such related business (y) does not violate any Laws of the United States and (z) is not in violation of </w:t>
      </w:r>
      <w:r>
        <w:rPr>
          <w:rFonts w:ascii="Times New Roman" w:hAnsi="Times New Roman"/>
          <w:b/>
          <w:i/>
          <w:caps w:val="false"/>
          <w:smallCaps w:val="false"/>
          <w:sz w:val="20"/>
        </w:rPr>
        <w:t>Section 7.12</w:t>
      </w:r>
      <w:r>
        <w:rPr>
          <w:rFonts w:ascii="Times New Roman" w:hAnsi="Times New Roman"/>
          <w:caps w:val="false"/>
          <w:smallCaps w:val="false"/>
          <w:sz w:val="20"/>
        </w:rPr>
        <w:t>, and (ii) constituted and has its principal place of business in the United States;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        such Acquisition shall not be an Acquisition of the Equity Interests of a Person through a tender offer or similar solicitation of the owners of such Equity Interests which has not been approved (prior to such Acquisition) by resolutions of the board of directors of such Person (or by similar action if such Person is not a corporation) or if such approval has been withdrawn;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        in the case of a share purchase, (i) immediately thereafter such Person will be a wholly-owned Subsidiary of or merged with a Loan Party Group Company in accordance with this Agreement, and (ii) upon the completion of such Acquisition (A) all Indebtedness (except Indebtedness permitted by this Agreement) of such Person shall be repaid and all Liens (except Liens that will constitute Permitted Liens hereunder) affecting the assets of such Person shall be released and discharged;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        in the case of an asset purchase, (i) upon the completion of such transaction, all Indebtedness (except Indebtedness permitted by this Agreement) secured by the acquired assets shall be repaid and all Liens (except Liens that will constitute Permitted Liens hereunder) affecting such assets shall be released and discharged; and (ii) and within forty-five (45) days following the completion of such transaction (or such later date as the Administrative Agent shall agree) all Collateral required herein to be provided to the Administrative Agent in respect of such assets (including registrations, searches, legal opinions and ancillary documentation) shall be provided;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         the aggregate cash and non-cash consideration (including any assumption of Indebtedness, deferred purchase price and any earn-out obligations, but excluding any equity consideration) paid by any Loan Party shall not exceed (i) with respect to any individual Acquisition $[***], and (ii) with respect to all Acquisitions consummated during the term of this Agreement,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(g)        such Acquisition does not involve the assumption of any material environmental liabilities, and all representations and warranties contained herein with respect to environmental matters shall be true and correct both immediately before and immediately after such Acquisition the Borrower shall deliver a Compliance Certificate evidencing that it is in compliance in all material respects with all covenants and representations and warranties under this Agreement and will remain in compliance in all material respects after giving effect to such acquisition;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        no Default or Event of Default is continuing on the closing date of the Acquisition or would occur as a result of the acquisition.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Permitted Encumbrances</w:t>
      </w:r>
      <w:r>
        <w:rPr>
          <w:rFonts w:ascii="Times New Roman" w:hAnsi="Times New Roman"/>
          <w:caps w:val="false"/>
          <w:smallCaps w:val="false"/>
          <w:sz w:val="20"/>
        </w:rPr>
        <w:t>” shall mean: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Liens for taxes, assessments or governmental charges or levies which are not required to be paid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6.04</w:t>
      </w:r>
      <w:r>
        <w:rPr>
          <w:rFonts w:ascii="Times New Roman" w:hAnsi="Times New Roman"/>
          <w:caps w:val="false"/>
          <w:smallCaps w:val="false"/>
          <w:sz w:val="20"/>
        </w:rPr>
        <w: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        Liens imposed by law, which do not secure Indebtedness for borrowed money, such as carriers,’ warehousemen’s, materialmen’s and mechanics’ liens and other similar Liens, in each case, arising in the ordinary course of business, and (i) which do not in the aggregate materially detract from the value of any Loan Party’s or such Subsidiary’s property or assets or materially impair the use thereof in the operation of the business of the Loan Parties or such Subsidiary or (ii) which are being contested in good faith by appropriate proceedings, which proceedings have the effect of preventing the forfeiture or sale of the property or assets subject to any such Lien and with respect to which adequate reserves are being maintained in accordance with GAAP;</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        Liens (other than Liens imposed under ERISA) incurred in the ordinary course of business in connection with workers compensation claims, unemployment insurance and social security benefits and Liens securing the performance of bids, tenders, public utilities or private utilities, leases and contracts in the ordinary course of business, statutory obligations, surety or appeal bonds, performance bonds and other obligations of a like nature incurred in the ordinary course of business (exclusive of obligations in respect of the payment for borrowed money), and obligations in respect of letters of credit or bank guaranties that have been posted to support payment of the Liens described in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        attachment and judgment Liens in respect of decrees and judgments to the extent, and for so long as, such judgments and decrees do not, individually or in the aggregate constitute an Event of Default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8.01(h)</w:t>
      </w:r>
      <w:r>
        <w:rPr>
          <w:rFonts w:ascii="Times New Roman" w:hAnsi="Times New Roman"/>
          <w:caps w:val="false"/>
          <w:smallCaps w:val="false"/>
          <w:sz w:val="20"/>
        </w:rPr>
        <w: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        any interest or title of a lessor or sublessor under any lease of real estate or personal property permitted hereunder, in each case, only to such real estate or personal property;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         non-exclusive licenses or sublicenses of patents, trademarks, copyrights and other intellectual property rights granted by the Loan Parties in the ordinary course of business and not interfering in any material respect with the ordinary conduct of the business of the Loan Parties;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        (i) bankers’ Liens, rights of setoff and other similar Liens existing solely with respect to cash and Cash Equivalents on deposit in one (1) or more accounts maintained by any Loan Party Group Company, in each case granted in the ordinary course of business in favor of the bank or banks with which such accounts are maintained, (ii) Liens of a collection bank arising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4-210</w:t>
      </w:r>
      <w:r>
        <w:rPr>
          <w:rFonts w:ascii="Times New Roman" w:hAnsi="Times New Roman"/>
          <w:caps w:val="false"/>
          <w:smallCaps w:val="false"/>
          <w:sz w:val="20"/>
        </w:rPr>
        <w:t xml:space="preserve"> of the UCC on items in the course of collection and (iii) Liens that are contractual rights of setoff or rights of pledge relating to purchase orders and other agreements entered into by any Loan Party Group Company in the ordinary course of business;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        purported Liens evidenced by the filing of precautionary UCC financing statements relating solely to operating leases of personal property entered into the ordinary course of business;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         Liens arising out of any conditional sale, title retention, consignment or other similar arrangements for the sale of goods entered into by any Loan Party or any Subsidiary in the ordinary course of business to the extent such Liens do not attach to any assets other than the goods subject to such arrangements;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(j)         other Liens or matters approved by the Administrative Agent in any policy of title insurance issued in connection with any mortgage;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(k)        easements, zoning restrictions, rights-of-way, licenses, covenants, other imperfections of title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Loan Party Group Companies taken as a whole;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(l)         Liens placed upon or suffered by the landlord with respect to the underlying fee estate of any leasehold real property;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(m)       Liens on specific items of inventory or other goods and proceeds thereof securing obligations in respect of documentary letters of credit or banker’s acceptances issued or created to facilitate the purchase, shipment or storage of such inventory or such other goods;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        Liens that are contractual rights of set-off;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        any pledge or deposit securing any settlement of litigation, in an aggregate amount not to exceed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Permitted Liens</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Permitted Tax Distributions</w:t>
      </w:r>
      <w:r>
        <w:rPr>
          <w:rFonts w:ascii="Times New Roman" w:hAnsi="Times New Roman"/>
          <w:caps w:val="false"/>
          <w:smallCaps w:val="false"/>
          <w:sz w:val="20"/>
        </w:rPr>
        <w:t>” shall mean tax distributions by a Loan Party (so long as such Loan Party is treated as a pass-through or disregarded entity) to its members for the immediately preceding fiscal quarter in an amount not to exceed the lesser of (i) available cash as reasonably determined by such Loan Party in good faith, and (ii) the product of (x) the net taxable income of such Loan Party, if positive, for such immediately preceding fiscal quarter, determined by taking into account any basis adjustments under Sections 734, 743 or 754 of the Code and (y) the sum of the maximum federal, state and local income tax rates (including pursuant to Section 1411 of the Code), reduced by any deduction or credit allowable for state and local taxes and the amount of federal, state or local taxes withheld by such Loan Party on behalf of its members, and reflecting any reduced rate applicable to any special class of income that is in effect for such immediately preceding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Permitted Transfers</w:t>
      </w:r>
      <w:r>
        <w:rPr>
          <w:rFonts w:ascii="Times New Roman" w:hAnsi="Times New Roman"/>
          <w:caps w:val="false"/>
          <w:smallCaps w:val="false"/>
          <w:sz w:val="20"/>
        </w:rPr>
        <w:t xml:space="preserve">” means (a) Dispositions of inventory in the ordinary course of business; (b) Dispositions of property to a Loan Party or any Subsidiary; </w:t>
      </w:r>
      <w:r>
        <w:rPr>
          <w:rFonts w:ascii="Times New Roman" w:hAnsi="Times New Roman"/>
          <w:i/>
          <w:caps w:val="false"/>
          <w:smallCaps w:val="false"/>
          <w:sz w:val="20"/>
        </w:rPr>
        <w:t>provided</w:t>
      </w:r>
      <w:r>
        <w:rPr>
          <w:rFonts w:ascii="Times New Roman" w:hAnsi="Times New Roman"/>
          <w:caps w:val="false"/>
          <w:smallCaps w:val="false"/>
          <w:sz w:val="20"/>
        </w:rPr>
        <w:t>, that if the transferor of such property is a Loan Party then the transferee thereof must be a Loan Party; (c) Dispositions of accounts receivable in connection with the collection or compromise thereof; (d) licenses, sublicenses, leases or subleases granted to others not interfering in any material respect with the business of the Loan Parties and their Subsidiaries; (e) the sale or disposition of Cash Equivalents for fair market value in the ordinary course of business; (f) the disposition of shares of Equity Interests of any Subsidiary in order to qualify members of the governing body of such Subsidiary if required by applicable Law; (g) the abandonment of IP Rights in the ordinary course of business which, in the reasonable good faith determination of the Borrower, are no longer used or useful to the business of Loan Parties and their Subsidiaries; (h) any termination of any lease in the ordinary course of business, and (i) any expiration of any option agreement in respect of real or personal property.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Plan</w:t>
      </w:r>
      <w:r>
        <w:rPr>
          <w:rFonts w:ascii="Times New Roman" w:hAnsi="Times New Roman"/>
          <w:caps w:val="false"/>
          <w:smallCaps w:val="false"/>
          <w:sz w:val="20"/>
        </w:rPr>
        <w:t xml:space="preserve">” means any employee benefit plan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3(3)</w:t>
      </w:r>
      <w:r>
        <w:rPr>
          <w:rFonts w:ascii="Times New Roman" w:hAnsi="Times New Roman"/>
          <w:caps w:val="false"/>
          <w:smallCaps w:val="false"/>
          <w:sz w:val="20"/>
        </w:rPr>
        <w:t xml:space="preserve"> of ERISA (including a Pension Plan), maintained for employees of the Borrower or any ERISA Affiliate or any such Plan to which the Borrower or any ERISA Affiliate is required to contribute on behalf of any of its employees.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Platform</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Pro Forma Basis</w:t>
      </w:r>
      <w:r>
        <w:rPr>
          <w:rFonts w:ascii="Times New Roman" w:hAnsi="Times New Roman"/>
          <w:caps w:val="false"/>
          <w:smallCaps w:val="false"/>
          <w:sz w:val="20"/>
        </w:rPr>
        <w:t>” and “</w:t>
      </w:r>
      <w:r>
        <w:rPr>
          <w:rFonts w:ascii="Times New Roman" w:hAnsi="Times New Roman"/>
          <w:b/>
          <w:i/>
          <w:caps w:val="false"/>
          <w:smallCaps w:val="false"/>
          <w:sz w:val="20"/>
        </w:rPr>
        <w:t>Pro Forma Effect</w:t>
      </w:r>
      <w:r>
        <w:rPr>
          <w:rFonts w:ascii="Times New Roman" w:hAnsi="Times New Roman"/>
          <w:caps w:val="false"/>
          <w:smallCaps w:val="false"/>
          <w:sz w:val="20"/>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7.11</w:t>
      </w:r>
      <w:r>
        <w:rPr>
          <w:rFonts w:ascii="Times New Roman" w:hAnsi="Times New Roman"/>
          <w:caps w:val="false"/>
          <w:smallCaps w:val="false"/>
          <w:sz w:val="20"/>
        </w:rPr>
        <w:t xml:space="preserve">, each such transaction or proposed transaction shall be deemed to have occurred on and as of the first day of the relevant four Fiscal Quarter period, and the following </w:t>
      </w:r>
      <w:r>
        <w:rPr>
          <w:rFonts w:ascii="Times New Roman" w:hAnsi="Times New Roman"/>
          <w:i/>
          <w:caps w:val="false"/>
          <w:smallCaps w:val="false"/>
          <w:sz w:val="20"/>
        </w:rPr>
        <w:t>pro forma</w:t>
      </w:r>
      <w:r>
        <w:rPr>
          <w:rFonts w:ascii="Times New Roman" w:hAnsi="Times New Roman"/>
          <w:caps w:val="false"/>
          <w:smallCaps w:val="false"/>
          <w:sz w:val="20"/>
        </w:rPr>
        <w:t xml:space="preserve"> adjustments shall be made: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in the case of an actual or proposed Disposition, all income statement items (whether positive or negative) attributable to the line of business or the Person subject to such Disposition shall be excluded from the results of the Loan Parties and their Subsidiaries for such period;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        in the case of an actual or proposed Acquisition, income statement items (whether positive or negative) attributable to the property, line of business or the Person subject to such Acquisition shall be included in the results of the Loan Parties and their Subsidiaries for such period;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        interest accrued during the relevant period on, and the principal of, any Indebtedness repaid or to be repaid or refinanced in such transaction shall be excluded from the results of the Loan Parties and their Subsidiaries for such period;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        any Indebtedness actually or proposed to be incurred or assumed in such transaction shall be deemed to have been incurred as of the first day of the applicable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Loan Parties and their Subsidiaries for such period.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Property Licenses</w:t>
      </w:r>
      <w:r>
        <w:rPr>
          <w:rFonts w:ascii="Times New Roman" w:hAnsi="Times New Roman"/>
          <w:caps w:val="false"/>
          <w:smallCaps w:val="false"/>
          <w:sz w:val="20"/>
        </w:rPr>
        <w:t>” means (a) that certain License Agreement dated as of January 31, 2024 by and among ABC Beverages Properties, LLC and American Beverage Crafts, LLC regarding the use of leased real property currently used by 10 Barrell Brewing, LLC, (b) that certain License Agreement dated as of January 31, 2024 by and among ABC Beverages Properties, LLC and American Beverage Crafts, LLC regarding the use of leased real property currently used by Blue Point Brewing Company, Inc. and (c) that certain License Agreement dated as of January 31, 2024 by and among ABC Beverages Properties, LLC and American Beverage Crafts, LLC regarding the use of leased real property located at 714 East Pike Street, Seattle, Washington.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PTE</w:t>
      </w:r>
      <w:r>
        <w:rPr>
          <w:rFonts w:ascii="Times New Roman" w:hAnsi="Times New Roman"/>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Public Lender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QFC</w:t>
      </w:r>
      <w:r>
        <w:rPr>
          <w:rFonts w:ascii="Times New Roman" w:hAnsi="Times New Roman"/>
          <w:caps w:val="false"/>
          <w:smallCaps w:val="false"/>
          <w:sz w:val="20"/>
        </w:rPr>
        <w:t>” has the meaning assigned to the term “</w:t>
      </w:r>
      <w:r>
        <w:rPr>
          <w:rFonts w:ascii="Times New Roman" w:hAnsi="Times New Roman"/>
          <w:i/>
          <w:caps w:val="false"/>
          <w:smallCaps w:val="false"/>
          <w:sz w:val="20"/>
        </w:rPr>
        <w:t>qualified financial contract</w:t>
      </w:r>
      <w:r>
        <w:rPr>
          <w:rFonts w:ascii="Times New Roman" w:hAnsi="Times New Roman"/>
          <w:caps w:val="false"/>
          <w:smallCaps w:val="false"/>
          <w:sz w:val="20"/>
        </w:rPr>
        <w:t>” in, and shall be interpreted in accordance with, 12 U.S.C. 5390(c)(8)(D).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QFC Credit Support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11.21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Qualified ECP Guarantor</w:t>
      </w:r>
      <w:r>
        <w:rPr>
          <w:rFonts w:ascii="Times New Roman" w:hAnsi="Times New Roman"/>
          <w:caps w:val="false"/>
          <w:smallCaps w:val="false"/>
          <w:sz w:val="20"/>
        </w:rPr>
        <w:t>” means, at any time, each Loan Party with total assets exceeding $10,000,000 or that qualifies at such time as an “</w:t>
      </w:r>
      <w:r>
        <w:rPr>
          <w:rFonts w:ascii="Times New Roman" w:hAnsi="Times New Roman"/>
          <w:i/>
          <w:caps w:val="false"/>
          <w:smallCaps w:val="false"/>
          <w:sz w:val="20"/>
        </w:rPr>
        <w:t>eligible contract participant</w:t>
      </w:r>
      <w:r>
        <w:rPr>
          <w:rFonts w:ascii="Times New Roman" w:hAnsi="Times New Roman"/>
          <w:caps w:val="false"/>
          <w:smallCaps w:val="false"/>
          <w:sz w:val="20"/>
        </w:rPr>
        <w:t>” under the Commodity Exchange Act and can cause another Person to qualify as an “</w:t>
      </w:r>
      <w:r>
        <w:rPr>
          <w:rFonts w:ascii="Times New Roman" w:hAnsi="Times New Roman"/>
          <w:i/>
          <w:caps w:val="false"/>
          <w:smallCaps w:val="false"/>
          <w:sz w:val="20"/>
        </w:rPr>
        <w:t>eligible contract participant</w:t>
      </w:r>
      <w:r>
        <w:rPr>
          <w:rFonts w:ascii="Times New Roman" w:hAnsi="Times New Roman"/>
          <w:caps w:val="false"/>
          <w:smallCaps w:val="false"/>
          <w:sz w:val="20"/>
        </w:rPr>
        <w:t xml:space="preserve">” at such time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1a(18)(A)(v)(II)</w:t>
      </w:r>
      <w:r>
        <w:rPr>
          <w:rFonts w:ascii="Times New Roman" w:hAnsi="Times New Roman"/>
          <w:caps w:val="false"/>
          <w:smallCaps w:val="false"/>
          <w:sz w:val="20"/>
        </w:rPr>
        <w:t xml:space="preserve"> of the Commodity Exchange Act.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Recipient</w:t>
      </w:r>
      <w:r>
        <w:rPr>
          <w:rFonts w:ascii="Times New Roman" w:hAnsi="Times New Roman"/>
          <w:caps w:val="false"/>
          <w:smallCaps w:val="false"/>
          <w:sz w:val="20"/>
        </w:rPr>
        <w:t>” means the Administrative Agent, any Lender, the L/C Issuer or any other recipient of any payment to be made by or on account of any obligation of any Loan Party hereunder.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Recovery Event</w:t>
      </w:r>
      <w:r>
        <w:rPr>
          <w:rFonts w:ascii="Times New Roman" w:hAnsi="Times New Roman"/>
          <w:caps w:val="false"/>
          <w:smallCaps w:val="false"/>
          <w:sz w:val="20"/>
        </w:rPr>
        <w:t>” means any loss of, damage to or destruction of, or any condemnation or other taking for public use of, any property of any Loan Party or any Subsidiary.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Register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11.06(c)</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Regulation U</w:t>
      </w:r>
      <w:r>
        <w:rPr>
          <w:rFonts w:ascii="Times New Roman" w:hAnsi="Times New Roman"/>
          <w:caps w:val="false"/>
          <w:smallCaps w:val="false"/>
          <w:sz w:val="20"/>
        </w:rPr>
        <w:t>” means Regulation U of the FRB, as in effect from time to time and all official rulings and interpretations thereunder or thereof.</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Related Parties</w:t>
      </w:r>
      <w:r>
        <w:rPr>
          <w:rFonts w:ascii="Times New Roman" w:hAnsi="Times New Roman"/>
          <w:caps w:val="false"/>
          <w:smallCaps w:val="false"/>
          <w:sz w:val="20"/>
        </w:rPr>
        <w:t>” 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Release</w:t>
      </w:r>
      <w:r>
        <w:rPr>
          <w:rFonts w:ascii="Times New Roman" w:hAnsi="Times New Roman"/>
          <w:caps w:val="false"/>
          <w:smallCaps w:val="false"/>
          <w:sz w:val="20"/>
        </w:rPr>
        <w:t>” means any release, spill, emission, discharge, deposit, disposal, leaking, pumping, pouring, dumping, emptying, injection or leaching into the Environment, or into, from or through any building, structure or facility.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Remedial Actions Declining Lender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9.14(d)</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Reportable Event</w:t>
      </w:r>
      <w:r>
        <w:rPr>
          <w:rFonts w:ascii="Times New Roman" w:hAnsi="Times New Roman"/>
          <w:caps w:val="false"/>
          <w:smallCaps w:val="false"/>
          <w:sz w:val="20"/>
        </w:rPr>
        <w:t xml:space="preserve">” means any of the events set forth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4043(c)</w:t>
      </w:r>
      <w:r>
        <w:rPr>
          <w:rFonts w:ascii="Times New Roman" w:hAnsi="Times New Roman"/>
          <w:caps w:val="false"/>
          <w:smallCaps w:val="false"/>
          <w:sz w:val="20"/>
        </w:rPr>
        <w:t xml:space="preserve"> of ERISA, other than events for which the thirty (30) day notice period has been waived.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Request for Credit Extension</w:t>
      </w:r>
      <w:r>
        <w:rPr>
          <w:rFonts w:ascii="Times New Roman" w:hAnsi="Times New Roman"/>
          <w:caps w:val="false"/>
          <w:smallCaps w:val="false"/>
          <w:sz w:val="20"/>
        </w:rPr>
        <w:t>” means (a) with respect to a Borrowing, conversion or continuation of Loans (other than Swingline Loans), a Loan Notice, (b) with respect to an L/C Credit Extension, a Letter of Credit Application, and (c) with respect to a Swingline Loan, a Swingline Loan Notice.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Required Lenders</w:t>
      </w:r>
      <w:r>
        <w:rPr>
          <w:rFonts w:ascii="Times New Roman" w:hAnsi="Times New Roman"/>
          <w:caps w:val="false"/>
          <w:smallCaps w:val="false"/>
          <w:sz w:val="20"/>
        </w:rPr>
        <w:t xml:space="preserve">” means, at any time, at least two (2) Lenders having Total Credit Exposures representing more than 50% of the Total Credit Exposures of all Lenders. The Total Credit Exposure of any Defaulting Lender shall be disregarded in determining Required Lenders at any time;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Rescindable Amount</w:t>
      </w:r>
      <w:r>
        <w:rPr>
          <w:rFonts w:ascii="Times New Roman" w:hAnsi="Times New Roman"/>
          <w:caps w:val="false"/>
          <w:smallCaps w:val="false"/>
          <w:sz w:val="20"/>
        </w:rPr>
        <w:t xml:space="preserve">” has the meaning as defined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2.12(b)(i)</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Resignation Effective Date</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9.06</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Responsible Officer</w:t>
      </w:r>
      <w:r>
        <w:rPr>
          <w:rFonts w:ascii="Times New Roman" w:hAnsi="Times New Roman"/>
          <w:caps w:val="false"/>
          <w:smallCaps w:val="false"/>
          <w:sz w:val="20"/>
        </w:rPr>
        <w:t xml:space="preserve">” means the chief executive officer, president, chief financial officer, treasurer, assistant treasurer or controller of a Loan Party, solely for purposes of the delivery of incumbency certificates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4.01(b)</w:t>
      </w:r>
      <w:r>
        <w:rPr>
          <w:rFonts w:ascii="Times New Roman" w:hAnsi="Times New Roman"/>
          <w:caps w:val="false"/>
          <w:smallCaps w:val="false"/>
          <w:sz w:val="20"/>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Restricted Payment</w:t>
      </w:r>
      <w:r>
        <w:rPr>
          <w:rFonts w:ascii="Times New Roman" w:hAnsi="Times New Roman"/>
          <w:caps w:val="false"/>
          <w:smallCaps w:val="false"/>
          <w:sz w:val="20"/>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Restructuring Costs</w:t>
      </w:r>
      <w:r>
        <w:rPr>
          <w:rFonts w:ascii="Times New Roman" w:hAnsi="Times New Roman"/>
          <w:caps w:val="false"/>
          <w:smallCaps w:val="false"/>
          <w:sz w:val="20"/>
        </w:rPr>
        <w:t>” all customary one-time fees, losses, charges, expenses, costs, legal fees and expenses, accruals and reserves related to operating expense reductions, restructurings, integration, transition, insourcing initiatives, operating improvements, cost savings initiatives and other business optimization initiatives, actions or events incurred in connection with Permitted Acquisitions in each case, reasonably identifiable, in process, factually supportable, and incurred within nine months following the applicable Permitted Acquisition consummation date.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Revolving Availability</w:t>
      </w:r>
      <w:r>
        <w:rPr>
          <w:rFonts w:ascii="Times New Roman" w:hAnsi="Times New Roman"/>
          <w:caps w:val="false"/>
          <w:smallCaps w:val="false"/>
          <w:sz w:val="20"/>
        </w:rPr>
        <w:t xml:space="preserve">” means the amount available to be drawn under the Aggregate Revolving Commitments (subject to any limitation thereof during the Minimum TTM EBITDA Testing Period) </w:t>
      </w:r>
      <w:r>
        <w:rPr>
          <w:rFonts w:ascii="Times New Roman" w:hAnsi="Times New Roman"/>
          <w:i/>
          <w:caps w:val="false"/>
          <w:smallCaps w:val="false"/>
          <w:sz w:val="20"/>
        </w:rPr>
        <w:t>minus</w:t>
      </w:r>
      <w:r>
        <w:rPr>
          <w:rFonts w:ascii="Times New Roman" w:hAnsi="Times New Roman"/>
          <w:caps w:val="false"/>
          <w:smallCaps w:val="false"/>
          <w:sz w:val="20"/>
        </w:rPr>
        <w:t xml:space="preserve"> the aggregate Revolving Exposure.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Revolving Commitment</w:t>
      </w:r>
      <w:r>
        <w:rPr>
          <w:rFonts w:ascii="Times New Roman" w:hAnsi="Times New Roman"/>
          <w:caps w:val="false"/>
          <w:smallCaps w:val="false"/>
          <w:sz w:val="20"/>
        </w:rPr>
        <w:t xml:space="preserve">” means, as to each Revolving Lender, its obligation to (a) make Revolving Loans to the Borrower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2.01(c)</w:t>
      </w:r>
      <w:r>
        <w:rPr>
          <w:rFonts w:ascii="Times New Roman" w:hAnsi="Times New Roman"/>
          <w:caps w:val="false"/>
          <w:smallCaps w:val="false"/>
          <w:sz w:val="20"/>
        </w:rPr>
        <w:t xml:space="preserve">, (b) purchase participations in L/C Obligations, and (c) purchase participations in Swingline Loans, in an aggregate principal amount at any one (1) time outstanding not to exceed the amount set forth opposite such Lender’s name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 xml:space="preserve"> under the caption “</w:t>
      </w:r>
      <w:r>
        <w:rPr>
          <w:rFonts w:ascii="Times New Roman" w:hAnsi="Times New Roman"/>
          <w:i/>
          <w:caps w:val="false"/>
          <w:smallCaps w:val="false"/>
          <w:sz w:val="20"/>
        </w:rPr>
        <w:t>Revolving Commitment</w:t>
      </w:r>
      <w:r>
        <w:rPr>
          <w:rFonts w:ascii="Times New Roman" w:hAnsi="Times New Roman"/>
          <w:caps w:val="false"/>
          <w:smallCaps w:val="false"/>
          <w:sz w:val="20"/>
        </w:rPr>
        <w:t>” or opposite such caption in the Assignment and Assumption pursuant to which such Lender becomes a party hereto, as applicable, as such amount may be adjusted from time to time in accordance with this Agreement.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Revolving Exposure</w:t>
      </w:r>
      <w:r>
        <w:rPr>
          <w:rFonts w:ascii="Times New Roman" w:hAnsi="Times New Roman"/>
          <w:caps w:val="false"/>
          <w:smallCaps w:val="false"/>
          <w:sz w:val="20"/>
        </w:rPr>
        <w:t>” means, as to any Lender at any time, the aggregate principal amount at such time of its outstanding Revolving Loans and such Lender’s participation in L/C Obligations and Swingline Loans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Revolving Facility</w:t>
      </w:r>
      <w:r>
        <w:rPr>
          <w:rFonts w:ascii="Times New Roman" w:hAnsi="Times New Roman"/>
          <w:caps w:val="false"/>
          <w:smallCaps w:val="false"/>
          <w:sz w:val="20"/>
        </w:rPr>
        <w:t xml:space="preserve">” means the revolving credit facility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2.01(c)</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Revolving Lender</w:t>
      </w:r>
      <w:r>
        <w:rPr>
          <w:rFonts w:ascii="Times New Roman" w:hAnsi="Times New Roman"/>
          <w:caps w:val="false"/>
          <w:smallCaps w:val="false"/>
          <w:sz w:val="20"/>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Revolving Loan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2.01(c)</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S&amp;P</w:t>
      </w:r>
      <w:r>
        <w:rPr>
          <w:rFonts w:ascii="Times New Roman" w:hAnsi="Times New Roman"/>
          <w:caps w:val="false"/>
          <w:smallCaps w:val="false"/>
          <w:sz w:val="20"/>
        </w:rPr>
        <w:t>” means Standard &amp; Poor’s Financial Services LLC, a subsidiary of S&amp;P Global Inc., and any successor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Sale and Leaseback Transaction</w:t>
      </w:r>
      <w:r>
        <w:rPr>
          <w:rFonts w:ascii="Times New Roman" w:hAnsi="Times New Roman"/>
          <w:caps w:val="false"/>
          <w:smallCaps w:val="false"/>
          <w:sz w:val="20"/>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Sanctioned Country</w:t>
      </w:r>
      <w:r>
        <w:rPr>
          <w:rFonts w:ascii="Times New Roman" w:hAnsi="Times New Roman"/>
          <w:caps w:val="false"/>
          <w:smallCaps w:val="false"/>
          <w:sz w:val="20"/>
        </w:rPr>
        <w:t>” shall mean, at any time, a country or territory that is, or whose government is, the subject or target of any Sanctions.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Sanctioned Person</w:t>
      </w:r>
      <w:r>
        <w:rPr>
          <w:rFonts w:ascii="Times New Roman" w:hAnsi="Times New Roman"/>
          <w:caps w:val="false"/>
          <w:smallCaps w:val="false"/>
          <w:sz w:val="20"/>
        </w:rPr>
        <w:t>” shall mean, at any time, (a) any Person listed in any Sanctions-related list of designated Persons maintained by OFAC, the U.S. Department of State, the United Nations Security Council, the European Union or any European Union member state, (b) any Person located, organized or resident in a Sanctioned Country or (c) any Person controlled by any such Person.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Sanction(s)</w:t>
      </w:r>
      <w:r>
        <w:rPr>
          <w:rFonts w:ascii="Times New Roman" w:hAnsi="Times New Roman"/>
          <w:caps w:val="false"/>
          <w:smallCaps w:val="false"/>
          <w:sz w:val="20"/>
        </w:rPr>
        <w:t>” means any sanction administered or enforced by the United States Government (including, without limitation, OFAC), the United Nations Security Council, the European Union, Her Majesty’s Treasury (“</w:t>
      </w:r>
      <w:r>
        <w:rPr>
          <w:rFonts w:ascii="Times New Roman" w:hAnsi="Times New Roman"/>
          <w:b/>
          <w:i/>
          <w:caps w:val="false"/>
          <w:smallCaps w:val="false"/>
          <w:sz w:val="20"/>
        </w:rPr>
        <w:t>HMT</w:t>
      </w:r>
      <w:r>
        <w:rPr>
          <w:rFonts w:ascii="Times New Roman" w:hAnsi="Times New Roman"/>
          <w:caps w:val="false"/>
          <w:smallCaps w:val="false"/>
          <w:sz w:val="20"/>
        </w:rPr>
        <w:t>”) or other relevant sanctions authority.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Securities and Exchange Commission, or any Governmental Authority succeeding to any of its principal functions.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Second Amendment Effective Date</w:t>
      </w:r>
      <w:r>
        <w:rPr>
          <w:rFonts w:ascii="Times New Roman" w:hAnsi="Times New Roman"/>
          <w:caps w:val="false"/>
          <w:smallCaps w:val="false"/>
          <w:sz w:val="20"/>
        </w:rPr>
        <w:t>” means September 29, 2023.</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Secured Cash Management Agreement</w:t>
      </w:r>
      <w:r>
        <w:rPr>
          <w:rFonts w:ascii="Times New Roman" w:hAnsi="Times New Roman"/>
          <w:caps w:val="false"/>
          <w:smallCaps w:val="false"/>
          <w:sz w:val="20"/>
        </w:rPr>
        <w:t>” means any Cash Management Agreement between the any Loan Party and any of its Subsidiaries and any Cash Management Bank.</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Secured Hedge Agreement</w:t>
      </w:r>
      <w:r>
        <w:rPr>
          <w:rFonts w:ascii="Times New Roman" w:hAnsi="Times New Roman"/>
          <w:caps w:val="false"/>
          <w:smallCaps w:val="false"/>
          <w:sz w:val="20"/>
        </w:rPr>
        <w:t xml:space="preserve">” means any interest rate, currency, foreign exchange, or commodity Swap Contract not prohibited under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w:t>
      </w:r>
      <w:r>
        <w:rPr>
          <w:rFonts w:ascii="Times New Roman" w:hAnsi="Times New Roman"/>
          <w:caps w:val="false"/>
          <w:smallCaps w:val="false"/>
          <w:sz w:val="20"/>
        </w:rPr>
        <w:t xml:space="preserve"> or </w:t>
      </w:r>
      <w:r>
        <w:rPr>
          <w:rFonts w:ascii="Times New Roman" w:hAnsi="Times New Roman"/>
          <w:b/>
          <w:i/>
          <w:caps w:val="false"/>
          <w:smallCaps w:val="false"/>
          <w:sz w:val="20"/>
        </w:rPr>
        <w:t>VII</w:t>
      </w:r>
      <w:r>
        <w:rPr>
          <w:rFonts w:ascii="Times New Roman" w:hAnsi="Times New Roman"/>
          <w:caps w:val="false"/>
          <w:smallCaps w:val="false"/>
          <w:sz w:val="20"/>
        </w:rPr>
        <w:t xml:space="preserve"> between any Loan Party and any of its Subsidiaries and any Hedge Bank.</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Secured Obligations</w:t>
      </w:r>
      <w:r>
        <w:rPr>
          <w:rFonts w:ascii="Times New Roman" w:hAnsi="Times New Roman"/>
          <w:caps w:val="false"/>
          <w:smallCaps w:val="false"/>
          <w:sz w:val="20"/>
        </w:rPr>
        <w:t>” means all Obligations and all Additional Secured Obligations.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Secured Parties</w:t>
      </w:r>
      <w:r>
        <w:rPr>
          <w:rFonts w:ascii="Times New Roman" w:hAnsi="Times New Roman"/>
          <w:caps w:val="false"/>
          <w:smallCaps w:val="false"/>
          <w:sz w:val="20"/>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9.05</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Secured Party Designation Notice</w:t>
      </w:r>
      <w:r>
        <w:rPr>
          <w:rFonts w:ascii="Times New Roman" w:hAnsi="Times New Roman"/>
          <w:caps w:val="false"/>
          <w:smallCaps w:val="false"/>
          <w:sz w:val="20"/>
        </w:rPr>
        <w:t xml:space="preserve">” means a notice from any Lender or an Affiliate of a Lender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1.01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Securitization Transaction</w:t>
      </w:r>
      <w:r>
        <w:rPr>
          <w:rFonts w:ascii="Times New Roman" w:hAnsi="Times New Roman"/>
          <w:caps w:val="false"/>
          <w:smallCaps w:val="false"/>
          <w:sz w:val="20"/>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Security Agreement</w:t>
      </w:r>
      <w:r>
        <w:rPr>
          <w:rFonts w:ascii="Times New Roman" w:hAnsi="Times New Roman"/>
          <w:caps w:val="false"/>
          <w:smallCaps w:val="false"/>
          <w:sz w:val="20"/>
        </w:rPr>
        <w:t>” means the security and pledge agreement, dated as of the Closing Date, executed in favor of the Administrative Agent by each of the Loan Parties.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SOFR</w:t>
      </w:r>
      <w:r>
        <w:rPr>
          <w:rFonts w:ascii="Times New Roman" w:hAnsi="Times New Roman"/>
          <w:caps w:val="false"/>
          <w:smallCaps w:val="false"/>
          <w:sz w:val="20"/>
        </w:rPr>
        <w:t>” means the Secured Overnight Financing Rate as administered by the Federal Reserve Bank of New York (or a successor administrator).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SOFR Adjustment</w:t>
      </w:r>
      <w:r>
        <w:rPr>
          <w:rFonts w:ascii="Times New Roman" w:hAnsi="Times New Roman"/>
          <w:caps w:val="false"/>
          <w:smallCaps w:val="false"/>
          <w:sz w:val="20"/>
        </w:rPr>
        <w:t>” with respect to Term SOFR means 0.10% (10 basis points).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Solvent</w:t>
      </w:r>
      <w:r>
        <w:rPr>
          <w:rFonts w:ascii="Times New Roman" w:hAnsi="Times New Roman"/>
          <w:caps w:val="false"/>
          <w:smallCaps w:val="false"/>
          <w:sz w:val="20"/>
        </w:rPr>
        <w:t>” and “</w:t>
      </w:r>
      <w:r>
        <w:rPr>
          <w:rFonts w:ascii="Times New Roman" w:hAnsi="Times New Roman"/>
          <w:b/>
          <w:i/>
          <w:caps w:val="false"/>
          <w:smallCaps w:val="false"/>
          <w:sz w:val="20"/>
        </w:rPr>
        <w:t>Solvency</w:t>
      </w:r>
      <w:r>
        <w:rPr>
          <w:rFonts w:ascii="Times New Roman" w:hAnsi="Times New Roman"/>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Specified Financial Statements</w:t>
      </w:r>
      <w:r>
        <w:rPr>
          <w:rFonts w:ascii="Times New Roman" w:hAnsi="Times New Roman"/>
          <w:caps w:val="false"/>
          <w:smallCaps w:val="false"/>
          <w:sz w:val="20"/>
        </w:rPr>
        <w:t>” means (a) the audited consolidated balance sheet of the Borrower and its Subsidiaries for the Fiscal Year ended May 31, 2022, and the related consolidated statements of income or operations, shareholders’ Equity Interests and cash flows for such Fiscal Year of the Borrower and its Subsidiaries, including the notes thereto and (b) the company prepared consolidated balance sheet of Tilray Holdco M, LLC and its Subsidiaries for the nine-month period ended September 30, 2022 and the related consolidated statements of income or operations for such Fiscal Year of Tilray Holdco M, LLC and its Subsidiaries, including the notes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Specified Loan Party</w:t>
      </w:r>
      <w:r>
        <w:rPr>
          <w:rFonts w:ascii="Times New Roman" w:hAnsi="Times New Roman"/>
          <w:caps w:val="false"/>
          <w:smallCaps w:val="false"/>
          <w:sz w:val="20"/>
        </w:rPr>
        <w:t>” means any Loan Party that is not then an “</w:t>
      </w:r>
      <w:r>
        <w:rPr>
          <w:rFonts w:ascii="Times New Roman" w:hAnsi="Times New Roman"/>
          <w:i/>
          <w:caps w:val="false"/>
          <w:smallCaps w:val="false"/>
          <w:sz w:val="20"/>
        </w:rPr>
        <w:t>eligible contract participant</w:t>
      </w:r>
      <w:r>
        <w:rPr>
          <w:rFonts w:ascii="Times New Roman" w:hAnsi="Times New Roman"/>
          <w:caps w:val="false"/>
          <w:smallCaps w:val="false"/>
          <w:sz w:val="20"/>
        </w:rPr>
        <w:t xml:space="preserve">” under the Commodity Exchange Act (determined prior to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10.11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caps w:val="false"/>
          <w:smallCaps w:val="false"/>
          <w:sz w:val="20"/>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(1) or more intermediaries, or both, by such Person. Unless otherwise specified, all references herein to a “</w:t>
      </w:r>
      <w:r>
        <w:rPr>
          <w:rFonts w:ascii="Times New Roman" w:hAnsi="Times New Roman"/>
          <w:b/>
          <w:i/>
          <w:caps w:val="false"/>
          <w:smallCaps w:val="false"/>
          <w:sz w:val="20"/>
        </w:rPr>
        <w:t>Subsidiary</w:t>
      </w:r>
      <w:r>
        <w:rPr>
          <w:rFonts w:ascii="Times New Roman" w:hAnsi="Times New Roman"/>
          <w:caps w:val="false"/>
          <w:smallCaps w:val="false"/>
          <w:sz w:val="20"/>
        </w:rPr>
        <w:t>” or to “</w:t>
      </w:r>
      <w:r>
        <w:rPr>
          <w:rFonts w:ascii="Times New Roman" w:hAnsi="Times New Roman"/>
          <w:b/>
          <w:i/>
          <w:caps w:val="false"/>
          <w:smallCaps w:val="false"/>
          <w:sz w:val="20"/>
        </w:rPr>
        <w:t>Subsidiaries</w:t>
      </w:r>
      <w:r>
        <w:rPr>
          <w:rFonts w:ascii="Times New Roman" w:hAnsi="Times New Roman"/>
          <w:caps w:val="false"/>
          <w:smallCaps w:val="false"/>
          <w:sz w:val="20"/>
        </w:rPr>
        <w:t>” shall refer to a Subsidiary or Subsidiaries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Successor Rate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3.03(b)</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Supported QFC</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11.21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 Brewing</w:t>
      </w:r>
      <w:r>
        <w:rPr>
          <w:rFonts w:ascii="Times New Roman" w:hAnsi="Times New Roman"/>
          <w:caps w:val="false"/>
          <w:smallCaps w:val="false"/>
          <w:sz w:val="20"/>
        </w:rPr>
        <w:t>” shall mean SW Brewing Company, LLC a Delaware corporation.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Swap Contract</w:t>
      </w:r>
      <w:r>
        <w:rPr>
          <w:rFonts w:ascii="Times New Roman" w:hAnsi="Times New Roman"/>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b/>
          <w:i/>
          <w:caps w:val="false"/>
          <w:smallCaps w:val="false"/>
          <w:sz w:val="20"/>
        </w:rPr>
        <w:t>Master Agreement</w:t>
      </w:r>
      <w:r>
        <w:rPr>
          <w:rFonts w:ascii="Times New Roman" w:hAnsi="Times New Roman"/>
          <w:caps w:val="false"/>
          <w:smallCaps w:val="false"/>
          <w:sz w:val="20"/>
        </w:rPr>
        <w:t>”), including any such obligations or liabilities under any Master Agreement.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Swap Obligations</w:t>
      </w:r>
      <w:r>
        <w:rPr>
          <w:rFonts w:ascii="Times New Roman" w:hAnsi="Times New Roman"/>
          <w:caps w:val="false"/>
          <w:smallCaps w:val="false"/>
          <w:sz w:val="20"/>
        </w:rPr>
        <w:t>” means with respect to any Guarantor, any obligation to pay or perform under any agreement, contract or transaction that constitutes a “</w:t>
      </w:r>
      <w:r>
        <w:rPr>
          <w:rFonts w:ascii="Times New Roman" w:hAnsi="Times New Roman"/>
          <w:i/>
          <w:caps w:val="false"/>
          <w:smallCaps w:val="false"/>
          <w:sz w:val="20"/>
        </w:rPr>
        <w:t>swap</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1a(47)</w:t>
      </w:r>
      <w:r>
        <w:rPr>
          <w:rFonts w:ascii="Times New Roman" w:hAnsi="Times New Roman"/>
          <w:caps w:val="false"/>
          <w:smallCaps w:val="false"/>
          <w:sz w:val="20"/>
        </w:rPr>
        <w:t xml:space="preserve"> of the Commodity Exchange Act.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Swap Termination Value</w:t>
      </w:r>
      <w:r>
        <w:rPr>
          <w:rFonts w:ascii="Times New Roman" w:hAnsi="Times New Roman"/>
          <w:caps w:val="false"/>
          <w:smallCaps w:val="false"/>
          <w:sz w:val="20"/>
        </w:rPr>
        <w:t xml:space="preserve">” means, in respect of any one (1)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the amount(s) determined as the mark-to-market value(s) for such Swap Contracts, as determined based upon one (1) or more mid-market or other readily available quotations provided by any recognized dealer in such Swap Contracts (which may include a Lender or any Affiliate of a Lender).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Swingline Commitment</w:t>
      </w:r>
      <w:r>
        <w:rPr>
          <w:rFonts w:ascii="Times New Roman" w:hAnsi="Times New Roman"/>
          <w:caps w:val="false"/>
          <w:smallCaps w:val="false"/>
          <w:sz w:val="20"/>
        </w:rPr>
        <w:t xml:space="preserve">” means, as to any Lender (a) the amount set forth opposite such Lender’s name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 xml:space="preserve"> 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11.06(c)</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Swingline Lender</w:t>
      </w:r>
      <w:r>
        <w:rPr>
          <w:rFonts w:ascii="Times New Roman" w:hAnsi="Times New Roman"/>
          <w:caps w:val="false"/>
          <w:smallCaps w:val="false"/>
          <w:sz w:val="20"/>
        </w:rPr>
        <w:t>” means Bank of America, in its capacity as provider of Swingline Loans, or any successor swingline lender hereunder.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Swingline Loan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2.04(a)</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Swingline Loan Notice</w:t>
      </w:r>
      <w:r>
        <w:rPr>
          <w:rFonts w:ascii="Times New Roman" w:hAnsi="Times New Roman"/>
          <w:caps w:val="false"/>
          <w:smallCaps w:val="false"/>
          <w:sz w:val="20"/>
        </w:rPr>
        <w:t xml:space="preserve">” means a notice of a Borrowing of Swingline Loans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2.04(b)</w:t>
      </w:r>
      <w:r>
        <w:rPr>
          <w:rFonts w:ascii="Times New Roman" w:hAnsi="Times New Roman"/>
          <w:caps w:val="false"/>
          <w:smallCaps w:val="false"/>
          <w:sz w:val="20"/>
        </w:rPr>
        <w:t xml:space="preserve">, which shall be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2.04</w:t>
      </w:r>
      <w:r>
        <w:rPr>
          <w:rFonts w:ascii="Times New Roman" w:hAnsi="Times New Roman"/>
          <w:caps w:val="false"/>
          <w:smallCaps w:val="false"/>
          <w:sz w:val="20"/>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Swingline Sublimit</w:t>
      </w:r>
      <w:r>
        <w:rPr>
          <w:rFonts w:ascii="Times New Roman" w:hAnsi="Times New Roman"/>
          <w:caps w:val="false"/>
          <w:smallCaps w:val="false"/>
          <w:sz w:val="20"/>
        </w:rPr>
        <w:t>” means an amount equal to the lesser of (a) $1,000,000 and (b) the Revolving Facility. The Swingline Sublimit is part of, and not in addition to, the Revolving Facility.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Synthetic Debt</w:t>
      </w:r>
      <w:r>
        <w:rPr>
          <w:rFonts w:ascii="Times New Roman" w:hAnsi="Times New Roman"/>
          <w:caps w:val="false"/>
          <w:smallCaps w:val="false"/>
          <w:sz w:val="20"/>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Times New Roman" w:hAnsi="Times New Roman"/>
          <w:i/>
          <w:caps w:val="false"/>
          <w:smallCaps w:val="false"/>
          <w:sz w:val="20"/>
        </w:rPr>
        <w:t>Indebtedness</w:t>
      </w:r>
      <w:r>
        <w:rPr>
          <w:rFonts w:ascii="Times New Roman" w:hAnsi="Times New Roman"/>
          <w:caps w:val="false"/>
          <w:smallCaps w:val="false"/>
          <w:sz w:val="20"/>
        </w:rPr>
        <w:t>” or as a liability on the consolidated balance sheet of such Person and its Subsidiaries in accordance with GAAP.</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Synthetic Lease Obligation</w:t>
      </w:r>
      <w:r>
        <w:rPr>
          <w:rFonts w:ascii="Times New Roman" w:hAnsi="Times New Roman"/>
          <w:caps w:val="false"/>
          <w:smallCaps w:val="false"/>
          <w:sz w:val="20"/>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Taxes</w:t>
      </w:r>
      <w:r>
        <w:rPr>
          <w:rFonts w:ascii="Times New Roman" w:hAnsi="Times New Roman"/>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Commitment</w:t>
      </w:r>
      <w:r>
        <w:rPr>
          <w:rFonts w:ascii="Times New Roman" w:hAnsi="Times New Roman"/>
          <w:caps w:val="false"/>
          <w:smallCaps w:val="false"/>
          <w:sz w:val="20"/>
        </w:rPr>
        <w:t xml:space="preserve">” means, as to each Term Lender, its obligation to make Term Loans to the Borrower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2.01(a)</w:t>
      </w:r>
      <w:r>
        <w:rPr>
          <w:rFonts w:ascii="Times New Roman" w:hAnsi="Times New Roman"/>
          <w:caps w:val="false"/>
          <w:smallCaps w:val="false"/>
          <w:sz w:val="20"/>
        </w:rPr>
        <w:t xml:space="preserve"> in an aggregate principal amount at any one (1) time outstanding not to exceed the amount set forth opposite such Term Lender’s name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 xml:space="preserve"> under the caption “</w:t>
      </w:r>
      <w:r>
        <w:rPr>
          <w:rFonts w:ascii="Times New Roman" w:hAnsi="Times New Roman"/>
          <w:i/>
          <w:caps w:val="false"/>
          <w:smallCaps w:val="false"/>
          <w:sz w:val="20"/>
        </w:rPr>
        <w:t>Term Commitment</w:t>
      </w:r>
      <w:r>
        <w:rPr>
          <w:rFonts w:ascii="Times New Roman" w:hAnsi="Times New Roman"/>
          <w:caps w:val="false"/>
          <w:smallCaps w:val="false"/>
          <w:sz w:val="20"/>
        </w:rPr>
        <w:t>” or opposite such caption in the Assignment and Assumption pursuant to which such Term Lender becomes a party hereto, as applicable, as such amount may be adjusted from time to time in accordance with this Agreement. The Term Commitments of all of the Term Lenders on the Fifth Amendment Effective Date shall be $0.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Facility</w:t>
      </w:r>
      <w:r>
        <w:rPr>
          <w:rFonts w:ascii="Times New Roman" w:hAnsi="Times New Roman"/>
          <w:caps w:val="false"/>
          <w:smallCaps w:val="false"/>
          <w:sz w:val="20"/>
        </w:rPr>
        <w:t>” means, at any time, (a) on or prior to the Fifth Amendment Effective Date, the aggregate amount of the Term Commitments at such time and (b) thereafter, the aggregate principal amount of the Term Loans of all Term Lenders outstanding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Lender</w:t>
      </w:r>
      <w:r>
        <w:rPr>
          <w:rFonts w:ascii="Times New Roman" w:hAnsi="Times New Roman"/>
          <w:caps w:val="false"/>
          <w:smallCaps w:val="false"/>
          <w:sz w:val="20"/>
        </w:rPr>
        <w:t>” means (a) at any time on or prior to the Fifth Amendment Effective Date, any Lender that has a Term Commitment at such time and (b) at any time after the Fifth Amendment Effective Date, any Lender that holds Term Loans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Loan</w:t>
      </w:r>
      <w:r>
        <w:rPr>
          <w:rFonts w:ascii="Times New Roman" w:hAnsi="Times New Roman"/>
          <w:caps w:val="false"/>
          <w:smallCaps w:val="false"/>
          <w:sz w:val="20"/>
        </w:rPr>
        <w:t>” means the Term Loan and any Delayed Draw Term Loan. The Outstanding Amount of Term Loans on the Fifth Amendment Effective Date is $78,750,000.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SOFR</w:t>
      </w:r>
      <w:r>
        <w:rPr>
          <w:rFonts w:ascii="Times New Roman" w:hAnsi="Times New Roman"/>
          <w:caps w:val="false"/>
          <w:smallCaps w:val="false"/>
          <w:sz w:val="20"/>
        </w:rPr>
        <w:t>” means: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for any Interest Period with respect to a Term SOFR Loan,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Term SOFR Screen Rate two (2) U.S. Government Securities Business Days prior to the commencement of such Interest Period with a term equivalent to such Interest Period;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i/>
          <w:caps w:val="false"/>
          <w:smallCaps w:val="false"/>
          <w:sz w:val="20"/>
        </w:rPr>
        <w:t>plus</w:t>
      </w:r>
      <w:r>
        <w:rPr>
          <w:rFonts w:ascii="Times New Roman" w:hAnsi="Times New Roman"/>
          <w:caps w:val="false"/>
          <w:smallCaps w:val="false"/>
          <w:sz w:val="20"/>
        </w:rPr>
        <w:t xml:space="preserve"> the SOFR Adjustment;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for any interest calculation with respect to a Base Rate Loan on any date,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Term SOFR Screen Rate with a term of one (1) month commencing that day;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that if the Term SOFR determined in accordance with either of the foregoing </w:t>
      </w:r>
      <w:r>
        <w:rPr>
          <w:rFonts w:ascii="Times New Roman" w:hAnsi="Times New Roman"/>
          <w:b/>
          <w:i/>
          <w:caps w:val="false"/>
          <w:smallCaps w:val="false"/>
          <w:sz w:val="20"/>
        </w:rPr>
        <w:t>provisions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or </w:t>
      </w:r>
      <w:r>
        <w:rPr>
          <w:rFonts w:ascii="Times New Roman" w:hAnsi="Times New Roman"/>
          <w:b/>
          <w:i/>
          <w:caps w:val="false"/>
          <w:smallCaps w:val="false"/>
          <w:sz w:val="20"/>
        </w:rPr>
        <w:t>(b)</w:t>
      </w:r>
      <w:r>
        <w:rPr>
          <w:rFonts w:ascii="Times New Roman" w:hAnsi="Times New Roman"/>
          <w:caps w:val="false"/>
          <w:smallCaps w:val="false"/>
          <w:sz w:val="20"/>
        </w:rPr>
        <w:t xml:space="preserve"> of this definition would otherwise be less than zero (0), the Term SOFR shall be deemed zero (0) for purposes of this Agreement.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SOFR Loan</w:t>
      </w:r>
      <w:r>
        <w:rPr>
          <w:rFonts w:ascii="Times New Roman" w:hAnsi="Times New Roman"/>
          <w:caps w:val="false"/>
          <w:smallCaps w:val="false"/>
          <w:sz w:val="20"/>
        </w:rPr>
        <w:t xml:space="preserve">” means a Loan that bears interest at a rate based on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of the definition of Term SOFR.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Term SOFR Screen Rate</w:t>
      </w:r>
      <w:r>
        <w:rPr>
          <w:rFonts w:ascii="Times New Roman" w:hAnsi="Times New Roman"/>
          <w:caps w:val="false"/>
          <w:smallCaps w:val="false"/>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Third Amendment Effective Date</w:t>
      </w:r>
      <w:r>
        <w:rPr>
          <w:rFonts w:ascii="Times New Roman" w:hAnsi="Times New Roman"/>
          <w:caps w:val="false"/>
          <w:smallCaps w:val="false"/>
          <w:sz w:val="20"/>
        </w:rPr>
        <w:t>” means March 29, 2024.</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Threshold Amount</w:t>
      </w:r>
      <w:r>
        <w:rPr>
          <w:rFonts w:ascii="Times New Roman" w:hAnsi="Times New Roman"/>
          <w:caps w:val="false"/>
          <w:smallCaps w:val="false"/>
          <w:sz w:val="20"/>
        </w:rPr>
        <w:t>” means $1,500,000.</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Ticking Fee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2.09(b).</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Tilray Beverage Contribution</w:t>
      </w:r>
      <w:r>
        <w:rPr>
          <w:rFonts w:ascii="Times New Roman" w:hAnsi="Times New Roman"/>
          <w:caps w:val="false"/>
          <w:smallCaps w:val="false"/>
          <w:sz w:val="20"/>
        </w:rPr>
        <w:t>” means, the contribution by Holdings of all of the Equity Interests of Tilray Beverages to the Borrower or another Subsidiary of the Borrower that is a Loan Party whereby Tilray Beverages shall be a direct or indirect wholly-owned Subsidiary of the Borrower.</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Tilray Beverage Entities</w:t>
      </w:r>
      <w:r>
        <w:rPr>
          <w:rFonts w:ascii="Times New Roman" w:hAnsi="Times New Roman"/>
          <w:caps w:val="false"/>
          <w:smallCaps w:val="false"/>
          <w:sz w:val="20"/>
        </w:rPr>
        <w:t>” means, Tilray Beverages, Tilray ABC, LLC, American Beverage Crafts, LLC, Hi-Ball, Inc., Breckenridge Holdings Company, Breckenridge Wynkoop 2, LLC, BBI Acquisition Company, Breckenridge Brewery, LLC, Blue Point Brewing Company, Inc., 10 Barrel Brewing, LLC and 10 Barrel Brewing Idaho, LLC.</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Tilray Beverages</w:t>
      </w:r>
      <w:r>
        <w:rPr>
          <w:rFonts w:ascii="Times New Roman" w:hAnsi="Times New Roman"/>
          <w:caps w:val="false"/>
          <w:smallCaps w:val="false"/>
          <w:sz w:val="20"/>
        </w:rPr>
        <w:t>” means Tilray Beverages, LLC, a Delaware limited liability company.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Tilray Holdco M</w:t>
      </w:r>
      <w:r>
        <w:rPr>
          <w:rFonts w:ascii="Times New Roman" w:hAnsi="Times New Roman"/>
          <w:caps w:val="false"/>
          <w:smallCaps w:val="false"/>
          <w:sz w:val="20"/>
        </w:rPr>
        <w:t>” means Tilray Holdco M, LLC, a Delaware limited liability company.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Total Credit Exposure</w:t>
      </w:r>
      <w:r>
        <w:rPr>
          <w:rFonts w:ascii="Times New Roman" w:hAnsi="Times New Roman"/>
          <w:caps w:val="false"/>
          <w:smallCaps w:val="false"/>
          <w:sz w:val="20"/>
        </w:rPr>
        <w:t>” means, as to any Lender at any time, the unused Commitments, Revolving Exposure and Outstanding Amount of all Term Loans (including all Delayed Draw Term Loans) of such Lender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Total Delayed Draw Term Loan Outstandings</w:t>
      </w:r>
      <w:r>
        <w:rPr>
          <w:rFonts w:ascii="Times New Roman" w:hAnsi="Times New Roman"/>
          <w:caps w:val="false"/>
          <w:smallCaps w:val="false"/>
          <w:sz w:val="20"/>
        </w:rPr>
        <w:t>” means the aggregate Outstanding Amount of all Delayed Draw Term Loans.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Total Revolving Exposure</w:t>
      </w:r>
      <w:r>
        <w:rPr>
          <w:rFonts w:ascii="Times New Roman" w:hAnsi="Times New Roman"/>
          <w:caps w:val="false"/>
          <w:smallCaps w:val="false"/>
          <w:sz w:val="20"/>
        </w:rPr>
        <w:t>” means, as to any Revolving Lender at any time, the unused Commitments and Revolving Exposure of such Revolving Lender at such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Total Revolving Outstandings</w:t>
      </w:r>
      <w:r>
        <w:rPr>
          <w:rFonts w:ascii="Times New Roman" w:hAnsi="Times New Roman"/>
          <w:caps w:val="false"/>
          <w:smallCaps w:val="false"/>
          <w:sz w:val="20"/>
        </w:rPr>
        <w:t>” means the aggregate Outstanding Amount of all Revolving Loans, Swingline Loans and L/C Obligations.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Trade Date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11.06(g)(i)</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Transferred Lease Obligations</w:t>
      </w:r>
      <w:r>
        <w:rPr>
          <w:rFonts w:ascii="Times New Roman" w:hAnsi="Times New Roman"/>
          <w:caps w:val="false"/>
          <w:smallCaps w:val="false"/>
          <w:sz w:val="20"/>
        </w:rPr>
        <w:t>” means, any and all lease or similar payments made in cash by any Loan Party under the Transferred Leases. For the avoidance of doubt, commencing March 1, 2024, there shall be no expenses or costs attributable to the Transferred Lease Obligations so long as, with respect to each subject location, the applicable Property License remains in full force and effect for the applicable period.</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Transferred Leases</w:t>
      </w:r>
      <w:r>
        <w:rPr>
          <w:rFonts w:ascii="Times New Roman" w:hAnsi="Times New Roman"/>
          <w:caps w:val="false"/>
          <w:smallCaps w:val="false"/>
          <w:sz w:val="20"/>
        </w:rPr>
        <w:t>” means, (a) that certain Commercial Lease dated February 29, 2016 between 10 Barrell Brewing, LLC and Basalt Lot 5, LLC, (b) that certain Commercial Lease dated February 29, 2016 between Blue Point Brewing Company, Inc. and Bud and Brewery, LLC and (c) that certain Lease Agreement dated as of January 14, 2016 between Craft Brew Alliance, Inc. and TA Pike Motorworks, LLC.</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TTB</w:t>
      </w:r>
      <w:r>
        <w:rPr>
          <w:rFonts w:ascii="Times New Roman" w:hAnsi="Times New Roman"/>
          <w:caps w:val="false"/>
          <w:smallCaps w:val="false"/>
          <w:sz w:val="20"/>
        </w:rPr>
        <w:t>” means the Alcohol and Tobacco Tax and Trade Bureau.</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Type</w:t>
      </w:r>
      <w:r>
        <w:rPr>
          <w:rFonts w:ascii="Times New Roman" w:hAnsi="Times New Roman"/>
          <w:caps w:val="false"/>
          <w:smallCaps w:val="false"/>
          <w:sz w:val="20"/>
        </w:rPr>
        <w:t>” means, with respect to a Loan, its character as a Base Rate Loan or a Term SOFR Loan.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UCC</w:t>
      </w:r>
      <w:r>
        <w:rPr>
          <w:rFonts w:ascii="Times New Roman" w:hAnsi="Times New Roman"/>
          <w:caps w:val="false"/>
          <w:smallCaps w:val="false"/>
          <w:sz w:val="20"/>
        </w:rPr>
        <w:t xml:space="preserve">” means the Uniform Commercial Code as in effect in the State of New York;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hAnsi="Times New Roman"/>
          <w:b/>
          <w:i/>
          <w:caps w:val="false"/>
          <w:smallCaps w:val="false"/>
          <w:sz w:val="20"/>
        </w:rPr>
        <w:t>UCC</w:t>
      </w:r>
      <w:r>
        <w:rPr>
          <w:rFonts w:ascii="Times New Roman" w:hAnsi="Times New Roman"/>
          <w:caps w:val="false"/>
          <w:smallCaps w:val="false"/>
          <w:sz w:val="20"/>
        </w:rPr>
        <w:t>”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UCP</w:t>
      </w:r>
      <w:r>
        <w:rPr>
          <w:rFonts w:ascii="Times New Roman" w:hAnsi="Times New Roman"/>
          <w:caps w:val="false"/>
          <w:smallCaps w:val="false"/>
          <w:sz w:val="20"/>
        </w:rPr>
        <w:t>” means the Uniform Customs and Practice for Documentary Credits, International Chamber of Commerce Publication No. 600 (or such later version thereof as may be in effect at the applicable time).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UK Financial Institution</w:t>
      </w:r>
      <w:r>
        <w:rPr>
          <w:rFonts w:ascii="Times New Roman" w:hAnsi="Times New Roman"/>
          <w:caps w:val="false"/>
          <w:smallCaps w:val="false"/>
          <w:sz w:val="20"/>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United States</w:t>
      </w:r>
      <w:r>
        <w:rPr>
          <w:rFonts w:ascii="Times New Roman" w:hAnsi="Times New Roman"/>
          <w:caps w:val="false"/>
          <w:smallCaps w:val="false"/>
          <w:sz w:val="20"/>
        </w:rPr>
        <w:t>” and “</w:t>
      </w:r>
      <w:r>
        <w:rPr>
          <w:rFonts w:ascii="Times New Roman" w:hAnsi="Times New Roman"/>
          <w:b/>
          <w:i/>
          <w:caps w:val="false"/>
          <w:smallCaps w:val="false"/>
          <w:sz w:val="20"/>
        </w:rPr>
        <w:t>U.S.</w:t>
      </w:r>
      <w:r>
        <w:rPr>
          <w:rFonts w:ascii="Times New Roman" w:hAnsi="Times New Roman"/>
          <w:caps w:val="false"/>
          <w:smallCaps w:val="false"/>
          <w:sz w:val="20"/>
        </w:rPr>
        <w:t>” mean the United States of America.</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Unreimbursed Amount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Unrestricted Cash</w:t>
      </w:r>
      <w:r>
        <w:rPr>
          <w:rFonts w:ascii="Times New Roman" w:hAnsi="Times New Roman"/>
          <w:caps w:val="false"/>
          <w:smallCaps w:val="false"/>
          <w:sz w:val="20"/>
        </w:rPr>
        <w:t>” means, at any time, (a) the aggregate amount of cash and Cash Equivalents of the Loan Parties at such time that are not subject to any pledge, Lien or control agreement (other than (i) Liens in favor of the Administrative Agent and (ii) statutory Liens in favor of any depositary bank where such cash and Cash Equivalents are maintained) and held by the Administrative Agent or any Lender, minus (b) amounts included in the foregoing clause (a) that are held by a Person other than the Borrower or any of its Subsidiaries as a deposit or security for Contractual Obligations.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U.S. Government Securities Business Day</w:t>
      </w:r>
      <w:r>
        <w:rPr>
          <w:rFonts w:ascii="Times New Roman" w:hAnsi="Times New Roman"/>
          <w:caps w:val="false"/>
          <w:smallCaps w:val="false"/>
          <w:sz w:val="20"/>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U.S. Person</w:t>
      </w:r>
      <w:r>
        <w:rPr>
          <w:rFonts w:ascii="Times New Roman" w:hAnsi="Times New Roman"/>
          <w:caps w:val="false"/>
          <w:smallCaps w:val="false"/>
          <w:sz w:val="20"/>
        </w:rPr>
        <w:t>” means any Person that is a “</w:t>
      </w:r>
      <w:r>
        <w:rPr>
          <w:rFonts w:ascii="Times New Roman" w:hAnsi="Times New Roman"/>
          <w:i/>
          <w:caps w:val="false"/>
          <w:smallCaps w:val="false"/>
          <w:sz w:val="20"/>
        </w:rPr>
        <w:t>United States Person</w:t>
      </w:r>
      <w:r>
        <w:rPr>
          <w:rFonts w:ascii="Times New Roman" w:hAnsi="Times New Roman"/>
          <w:caps w:val="false"/>
          <w:smallCaps w:val="false"/>
          <w:sz w:val="20"/>
        </w:rPr>
        <w:t xml:space="preserve">” as defined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7701(a)(30)</w:t>
      </w:r>
      <w:r>
        <w:rPr>
          <w:rFonts w:ascii="Times New Roman" w:hAnsi="Times New Roman"/>
          <w:caps w:val="false"/>
          <w:smallCaps w:val="false"/>
          <w:sz w:val="20"/>
        </w:rPr>
        <w:t xml:space="preserv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caps w:val="false"/>
          <w:smallCaps w:val="false"/>
        </w:rPr>
      </w:pPr>
      <w:r>
        <w:rPr>
          <w:caps w:val="false"/>
          <w:smallCaps w:val="false"/>
        </w:rPr>
        <w:t>“</w:t>
      </w:r>
      <w:r>
        <w:rPr>
          <w:rFonts w:ascii="Times New Roman" w:hAnsi="Times New Roman"/>
          <w:b/>
          <w:i/>
          <w:caps w:val="false"/>
          <w:smallCaps w:val="false"/>
          <w:sz w:val="20"/>
        </w:rPr>
        <w:t>U.S. Outbound Investment Person</w:t>
      </w:r>
      <w:r>
        <w:rPr>
          <w:rFonts w:ascii="Times New Roman" w:hAnsi="Times New Roman"/>
          <w:caps w:val="false"/>
          <w:smallCaps w:val="false"/>
          <w:sz w:val="20"/>
        </w:rPr>
        <w:t>” 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U.S. Special Resolution Regimes</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11.21</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U.S. Tax Compliance Certificate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3.01(f)(ii)(B)(3)</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Voting Stock</w:t>
      </w:r>
      <w:r>
        <w:rPr>
          <w:rFonts w:ascii="Times New Roman" w:hAnsi="Times New Roman"/>
          <w:caps w:val="false"/>
          <w:smallCaps w:val="false"/>
          <w:sz w:val="20"/>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Weighted Average Life to Maturity</w:t>
      </w:r>
      <w:r>
        <w:rPr>
          <w:rFonts w:ascii="Times New Roman" w:hAnsi="Times New Roman"/>
          <w:caps w:val="false"/>
          <w:smallCaps w:val="false"/>
          <w:sz w:val="20"/>
        </w:rPr>
        <w:t>”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1/12) that will elapse between such date and the making of such payment; by (b) the then outstanding principal amount of such Indebtedness.</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Withholding Agent</w:t>
      </w:r>
      <w:r>
        <w:rPr>
          <w:rFonts w:ascii="Times New Roman" w:hAnsi="Times New Roman"/>
          <w:caps w:val="false"/>
          <w:smallCaps w:val="false"/>
          <w:sz w:val="20"/>
        </w:rPr>
        <w:t>” means the Borrower and the Administrative Agent.</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b/>
          <w:i/>
          <w:caps w:val="false"/>
          <w:smallCaps w:val="false"/>
          <w:sz w:val="20"/>
        </w:rPr>
        <w:t>Write-Down and Conversion Powers</w:t>
      </w:r>
      <w:r>
        <w:rPr>
          <w:rFonts w:ascii="Times New Roman" w:hAnsi="Times New Roman"/>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5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Interpretive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With reference to this Agreement and each other Loan Document, unless otherwise specified herein or in such other Loan Document: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i/>
                <w:caps w:val="false"/>
                <w:smallCaps w:val="false"/>
                <w:sz w:val="20"/>
              </w:rPr>
              <w:t>include,</w:t>
            </w:r>
            <w:r>
              <w:rPr>
                <w:rFonts w:ascii="Times New Roman" w:hAnsi="Times New Roman"/>
                <w:caps w:val="false"/>
                <w:smallCaps w:val="false"/>
                <w:sz w:val="20"/>
              </w:rPr>
              <w:t>” “</w:t>
            </w:r>
            <w:r>
              <w:rPr>
                <w:rFonts w:ascii="Times New Roman" w:hAnsi="Times New Roman"/>
                <w:i/>
                <w:caps w:val="false"/>
                <w:smallCaps w:val="false"/>
                <w:sz w:val="20"/>
              </w:rPr>
              <w:t>includes</w:t>
            </w:r>
            <w:r>
              <w:rPr>
                <w:rFonts w:ascii="Times New Roman" w:hAnsi="Times New Roman"/>
                <w:caps w:val="false"/>
                <w:smallCaps w:val="false"/>
                <w:sz w:val="20"/>
              </w:rPr>
              <w:t>” and “</w:t>
            </w:r>
            <w:r>
              <w:rPr>
                <w:rFonts w:ascii="Times New Roman" w:hAnsi="Times New Roman"/>
                <w:i/>
                <w:caps w:val="false"/>
                <w:smallCaps w:val="false"/>
                <w:sz w:val="20"/>
              </w:rPr>
              <w:t>including</w:t>
            </w:r>
            <w:r>
              <w:rPr>
                <w:rFonts w:ascii="Times New Roman" w:hAnsi="Times New Roman"/>
                <w:caps w:val="false"/>
                <w:smallCaps w:val="false"/>
                <w:sz w:val="20"/>
              </w:rPr>
              <w:t>” shall be deemed to be followed by the phrase “</w:t>
            </w:r>
            <w:r>
              <w:rPr>
                <w:rFonts w:ascii="Times New Roman" w:hAnsi="Times New Roman"/>
                <w:i/>
                <w:caps w:val="false"/>
                <w:smallCaps w:val="false"/>
                <w:sz w:val="20"/>
              </w:rPr>
              <w:t>without limitation.</w:t>
            </w:r>
            <w:r>
              <w:rPr>
                <w:rFonts w:ascii="Times New Roman" w:hAnsi="Times New Roman"/>
                <w:caps w:val="false"/>
                <w:smallCaps w:val="false"/>
                <w:sz w:val="20"/>
              </w:rPr>
              <w:t>” The word “</w:t>
            </w:r>
            <w:r>
              <w:rPr>
                <w:rFonts w:ascii="Times New Roman" w:hAnsi="Times New Roman"/>
                <w:i/>
                <w:caps w:val="false"/>
                <w:smallCaps w:val="false"/>
                <w:sz w:val="20"/>
              </w:rPr>
              <w:t>will</w:t>
            </w:r>
            <w:r>
              <w:rPr>
                <w:rFonts w:ascii="Times New Roman" w:hAnsi="Times New Roman"/>
                <w:caps w:val="false"/>
                <w:smallCaps w:val="false"/>
                <w:sz w:val="20"/>
              </w:rPr>
              <w:t>” shall be construed to have the same meaning and effect as the word “</w:t>
            </w:r>
            <w:r>
              <w:rPr>
                <w:rFonts w:ascii="Times New Roman" w:hAnsi="Times New Roman"/>
                <w:i/>
                <w:caps w:val="false"/>
                <w:smallCaps w:val="false"/>
                <w:sz w:val="20"/>
              </w:rPr>
              <w:t>shall.</w:t>
            </w:r>
            <w:r>
              <w:rPr>
                <w:rFonts w:ascii="Times New Roman" w:hAnsi="Times New Roman"/>
                <w:caps w:val="false"/>
                <w:smallCaps w:val="false"/>
                <w:sz w:val="20"/>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hAnsi="Times New Roman"/>
                <w:i/>
                <w:caps w:val="false"/>
                <w:smallCaps w:val="false"/>
                <w:sz w:val="20"/>
              </w:rPr>
              <w:t>hereto,</w:t>
            </w:r>
            <w:r>
              <w:rPr>
                <w:rFonts w:ascii="Times New Roman" w:hAnsi="Times New Roman"/>
                <w:caps w:val="false"/>
                <w:smallCaps w:val="false"/>
                <w:sz w:val="20"/>
              </w:rPr>
              <w:t>” “</w:t>
            </w:r>
            <w:r>
              <w:rPr>
                <w:rFonts w:ascii="Times New Roman" w:hAnsi="Times New Roman"/>
                <w:i/>
                <w:caps w:val="false"/>
                <w:smallCaps w:val="false"/>
                <w:sz w:val="20"/>
              </w:rPr>
              <w:t>herein,</w:t>
            </w:r>
            <w:r>
              <w:rPr>
                <w:rFonts w:ascii="Times New Roman" w:hAnsi="Times New Roman"/>
                <w:caps w:val="false"/>
                <w:smallCaps w:val="false"/>
                <w:sz w:val="20"/>
              </w:rPr>
              <w:t>” “</w:t>
            </w:r>
            <w:r>
              <w:rPr>
                <w:rFonts w:ascii="Times New Roman" w:hAnsi="Times New Roman"/>
                <w:i/>
                <w:caps w:val="false"/>
                <w:smallCaps w:val="false"/>
                <w:sz w:val="20"/>
              </w:rPr>
              <w:t>hereof</w:t>
            </w:r>
            <w:r>
              <w:rPr>
                <w:rFonts w:ascii="Times New Roman" w:hAnsi="Times New Roman"/>
                <w:caps w:val="false"/>
                <w:smallCaps w:val="false"/>
                <w:sz w:val="20"/>
              </w:rPr>
              <w:t>” and “</w:t>
            </w:r>
            <w:r>
              <w:rPr>
                <w:rFonts w:ascii="Times New Roman" w:hAnsi="Times New Roman"/>
                <w:i/>
                <w:caps w:val="false"/>
                <w:smallCaps w:val="false"/>
                <w:sz w:val="20"/>
              </w:rPr>
              <w:t>hereunder,</w:t>
            </w:r>
            <w:r>
              <w:rPr>
                <w:rFonts w:ascii="Times New Roman" w:hAnsi="Times New Roman"/>
                <w:caps w:val="false"/>
                <w:smallCaps w:val="false"/>
                <w:sz w:val="20"/>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w:t>
            </w:r>
            <w:r>
              <w:rPr>
                <w:rFonts w:ascii="Times New Roman" w:hAnsi="Times New Roman"/>
                <w:i/>
                <w:caps w:val="false"/>
                <w:smallCaps w:val="false"/>
                <w:sz w:val="20"/>
              </w:rPr>
              <w:t>asset</w:t>
            </w:r>
            <w:r>
              <w:rPr>
                <w:rFonts w:ascii="Times New Roman" w:hAnsi="Times New Roman"/>
                <w:caps w:val="false"/>
                <w:smallCaps w:val="false"/>
                <w:sz w:val="20"/>
              </w:rPr>
              <w:t>” and “</w:t>
            </w:r>
            <w:r>
              <w:rPr>
                <w:rFonts w:ascii="Times New Roman" w:hAnsi="Times New Roman"/>
                <w:i/>
                <w:caps w:val="false"/>
                <w:smallCaps w:val="false"/>
                <w:sz w:val="20"/>
              </w:rPr>
              <w:t>property</w:t>
            </w:r>
            <w:r>
              <w:rPr>
                <w:rFonts w:ascii="Times New Roman" w:hAnsi="Times New Roman"/>
                <w:caps w:val="false"/>
                <w:smallCaps w:val="false"/>
                <w:sz w:val="20"/>
              </w:rPr>
              <w:t>” shall be construed to have the same meaning and effect and to refer to any and all tangible and intangible assets and properties, including cash, securities, accounts and contract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computation of periods of time from a specified date to a later specified date, the word “</w:t>
            </w:r>
            <w:r>
              <w:rPr>
                <w:rFonts w:ascii="Times New Roman" w:hAnsi="Times New Roman"/>
                <w:b/>
                <w:i/>
                <w:caps w:val="false"/>
                <w:smallCaps w:val="false"/>
                <w:sz w:val="20"/>
              </w:rPr>
              <w:t>from</w:t>
            </w:r>
            <w:r>
              <w:rPr>
                <w:rFonts w:ascii="Times New Roman" w:hAnsi="Times New Roman"/>
                <w:caps w:val="false"/>
                <w:smallCaps w:val="false"/>
                <w:sz w:val="20"/>
              </w:rPr>
              <w:t>” means “from and including;” the words “</w:t>
            </w:r>
            <w:r>
              <w:rPr>
                <w:rFonts w:ascii="Times New Roman" w:hAnsi="Times New Roman"/>
                <w:b/>
                <w:i/>
                <w:caps w:val="false"/>
                <w:smallCaps w:val="false"/>
                <w:sz w:val="20"/>
              </w:rPr>
              <w:t>to</w:t>
            </w:r>
            <w:r>
              <w:rPr>
                <w:rFonts w:ascii="Times New Roman" w:hAnsi="Times New Roman"/>
                <w:caps w:val="false"/>
                <w:smallCaps w:val="false"/>
                <w:sz w:val="20"/>
              </w:rPr>
              <w:t>” and “</w:t>
            </w:r>
            <w:r>
              <w:rPr>
                <w:rFonts w:ascii="Times New Roman" w:hAnsi="Times New Roman"/>
                <w:b/>
                <w:i/>
                <w:caps w:val="false"/>
                <w:smallCaps w:val="false"/>
                <w:sz w:val="20"/>
              </w:rPr>
              <w:t>until</w:t>
            </w:r>
            <w:r>
              <w:rPr>
                <w:rFonts w:ascii="Times New Roman" w:hAnsi="Times New Roman"/>
                <w:caps w:val="false"/>
                <w:smallCaps w:val="false"/>
                <w:sz w:val="20"/>
              </w:rPr>
              <w:t>” each mean “to but excluding;” and the word “</w:t>
            </w:r>
            <w:r>
              <w:rPr>
                <w:rFonts w:ascii="Times New Roman" w:hAnsi="Times New Roman"/>
                <w:b/>
                <w:i/>
                <w:caps w:val="false"/>
                <w:smallCaps w:val="false"/>
                <w:sz w:val="20"/>
              </w:rPr>
              <w:t>through</w:t>
            </w:r>
            <w:r>
              <w:rPr>
                <w:rFonts w:ascii="Times New Roman" w:hAnsi="Times New Roman"/>
                <w:caps w:val="false"/>
                <w:smallCaps w:val="false"/>
                <w:sz w:val="20"/>
              </w:rPr>
              <w:t>” means “to and including.”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headings herein and in the other Loan Documents are included for convenience of reference only and shall not affect the interpretation of this Agreement or any other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
        <w:gridCol w:w="170"/>
        <w:gridCol w:w="1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Accounting Terms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Generally</w:t>
            </w:r>
            <w:r>
              <w:rPr>
                <w:rFonts w:ascii="Times New Roman" w:hAnsi="Times New Roman"/>
                <w:caps w:val="false"/>
                <w:smallCaps w:val="false"/>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Specified Financial Statements, except as otherwise specifically prescribed herein. Notwithstanding the foregoing, for purposes of determining compliance with any covenant (including the computation of any financial covenant) contained herein, (i) Indebtedness of the Loan Parties and their Subsidiaries shall be deemed to be carried at 100% of the outstanding principal amount thereof, and the effects of FASB ASC 825 and FASB ASC 470-20 on financial liabilities shall be disregarded and (ii) all terms of an accounting or financial nature used herein shall be construed, and all computations of amounts and ratios referred to herein shall be made, without giving effect to any election under FASB ASC Topic 825 “</w:t>
            </w:r>
            <w:r>
              <w:rPr>
                <w:rFonts w:ascii="Times New Roman" w:hAnsi="Times New Roman"/>
                <w:i/>
                <w:caps w:val="false"/>
                <w:smallCaps w:val="false"/>
                <w:sz w:val="20"/>
              </w:rPr>
              <w:t>Financial Instruments</w:t>
            </w:r>
            <w:r>
              <w:rPr>
                <w:rFonts w:ascii="Times New Roman" w:hAnsi="Times New Roman"/>
                <w:caps w:val="false"/>
                <w:smallCaps w:val="false"/>
                <w:sz w:val="20"/>
              </w:rPr>
              <w:t>” (or any other financial accounting standard having a similar result or effect) to value any Indebtedness of any Loan Party or any Subsidiary at “</w:t>
            </w:r>
            <w:r>
              <w:rPr>
                <w:rFonts w:ascii="Times New Roman" w:hAnsi="Times New Roman"/>
                <w:i/>
                <w:caps w:val="false"/>
                <w:smallCaps w:val="false"/>
                <w:sz w:val="20"/>
              </w:rPr>
              <w:t>fair value</w:t>
            </w:r>
            <w:r>
              <w:rPr>
                <w:rFonts w:ascii="Times New Roman" w:hAnsi="Times New Roman"/>
                <w:caps w:val="false"/>
                <w:smallCaps w:val="false"/>
                <w:sz w:val="20"/>
              </w:rPr>
              <w:t>”, as defined therein. For purposes of determining the amount of any outstanding Indebtedness, no effect shall be given to (x) any election by the Borrower to measure an item of Indebtedness using fair value (as permitted by Financial Accounting Standards Board Accounting Standards Codification 825</w:t>
              <w:noBreakHyphen/>
              <w:t>10-25 (formerly known as FASB 159) or any similar accounting standard) or (y) any change in accounting for leases pursuant to GAAP resulting from the implementation of Financial Accounting Standards Board ASU No. 2016-02, Leases (Topic 842), to the extent such adoption would require recognition of a lease liability where such lease (or similar arrangement) would not have required a lease liability under GAAP as in effect on December 31, 2015.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Changes in GAAP</w:t>
            </w:r>
            <w:r>
              <w:rPr>
                <w:rFonts w:ascii="Times New Roman" w:hAnsi="Times New Roman"/>
                <w:caps w:val="false"/>
                <w:smallCaps w:val="false"/>
                <w:sz w:val="20"/>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i/>
                <w:caps w:val="false"/>
                <w:smallCaps w:val="false"/>
                <w:sz w:val="20"/>
              </w:rPr>
              <w:t>provided</w:t>
            </w:r>
            <w:r>
              <w:rPr>
                <w:rFonts w:ascii="Times New Roman" w:hAnsi="Times New Roman"/>
                <w:caps w:val="false"/>
                <w:smallCaps w:val="false"/>
                <w:sz w:val="20"/>
              </w:rPr>
              <w:t>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Consolidation of Variable Interest Entities</w:t>
            </w:r>
            <w:r>
              <w:rPr>
                <w:rFonts w:ascii="Times New Roman" w:hAnsi="Times New Roman"/>
                <w:caps w:val="false"/>
                <w:smallCaps w:val="false"/>
                <w:sz w:val="20"/>
              </w:rPr>
              <w:t>. All references herein to consolidated financial statements of the Loan Party Group Companies or to the determination of any amount for the Loan Party Group Companies on a consolidated basis or any similar reference shall, in each case, be deemed to include each variable interest entity that the Borrower is required to consolidate pursuant to FASB ASC 810 as if such variable interest entity were a Subsidiary as defined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 Forma Treatment</w:t>
            </w:r>
            <w:r>
              <w:rPr>
                <w:rFonts w:ascii="Times New Roman" w:hAnsi="Times New Roman"/>
                <w:caps w:val="false"/>
                <w:smallCaps w:val="false"/>
                <w:sz w:val="20"/>
              </w:rPr>
              <w:t xml:space="preserve">. Each Disposition of all or substantially all of a line of business, each Acquisition and the Hemp Contribution, by any Loan Party and its Subsidiaries that is consummated during any four Fiscal Quarter period shall, for purposes of determining compliance with the financial covenants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7.11</w:t>
            </w:r>
            <w:r>
              <w:rPr>
                <w:rFonts w:ascii="Times New Roman" w:hAnsi="Times New Roman"/>
                <w:caps w:val="false"/>
                <w:smallCaps w:val="false"/>
                <w:sz w:val="20"/>
              </w:rPr>
              <w:t> and for purposes of determining the Applicable Rate, be given Pro Forma Effect as of the first day of such four Fiscal Quarter period.</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170"/>
        <w:gridCol w:w="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Any financial ratios required to be maintained by the Borrower pursuant to this Agreement shall be calculated by dividing the appropriate component by the other component, carrying the result to one (1)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60"/>
        <w:gridCol w:w="170"/>
        <w:gridCol w:w="1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1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Times of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70"/>
        <w:gridCol w:w="2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Letter of Credit Amounts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with respect to any Letter of Credit that, by its terms or the terms of any Issuer Document related thereto, provides for one (1)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170"/>
        <w:gridCol w:w="1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UCC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Terms defined in the UCC in effect on the Closing Date and not otherwise defined herein shall, unless the context otherwise indicates, have the meanings provided by those definitions. Subject to the foregoing, the term “</w:t>
      </w:r>
      <w:r>
        <w:rPr>
          <w:rFonts w:ascii="Times New Roman" w:hAnsi="Times New Roman"/>
          <w:b/>
          <w:i/>
          <w:caps w:val="false"/>
          <w:smallCaps w:val="false"/>
          <w:sz w:val="20"/>
        </w:rPr>
        <w:t>UCC</w:t>
      </w:r>
      <w:r>
        <w:rPr>
          <w:rFonts w:ascii="Times New Roman" w:hAnsi="Times New Roman"/>
          <w:caps w:val="false"/>
          <w:smallCaps w:val="false"/>
          <w:sz w:val="20"/>
        </w:rPr>
        <w:t>” refers, as of any date of determination, to the UCC then in effect.</w:t>
      </w:r>
    </w:p>
    <w:p>
      <w:pPr>
        <w:pStyle w:val="TextBody"/>
        <w:bidi w:val="0"/>
        <w:spacing w:before="0" w:after="0"/>
        <w:ind w:left="0" w:right="0" w:hanging="0"/>
        <w:jc w:val="left"/>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60"/>
        <w:gridCol w:w="170"/>
        <w:gridCol w:w="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170"/>
        <w:gridCol w:w="2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Limited Condition Acquisition</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this Agreement but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1.09(c)</w:t>
            </w:r>
            <w:r>
              <w:rPr>
                <w:rFonts w:ascii="Times New Roman" w:hAnsi="Times New Roman"/>
                <w:caps w:val="false"/>
                <w:smallCaps w:val="false"/>
                <w:sz w:val="20"/>
              </w:rPr>
              <w:t xml:space="preserve">, for purposes of (i) determining compliance with any provision of this Agreement that requires the calculation of the Consolidated Leverage Ratio or the Consolidated Fixed Charge Coverage Ratio, determining compliance with representations, warranties, defaults or events of default or (ii) testing availability under baskets set forth herein (including, in each case with respect to the incurrence of debt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2.16</w:t>
            </w:r>
            <w:r>
              <w:rPr>
                <w:rFonts w:ascii="Times New Roman" w:hAnsi="Times New Roman"/>
                <w:caps w:val="false"/>
                <w:smallCaps w:val="false"/>
                <w:sz w:val="20"/>
              </w:rPr>
              <w:t>), in each case, in connection with a Permitted Acquisition or Investment by the Loan Parties, in each case whose consummation is not conditioned on the availability of, or on obtaining, third party financing (any such acquisition, a “</w:t>
            </w:r>
            <w:r>
              <w:rPr>
                <w:rFonts w:ascii="Times New Roman" w:hAnsi="Times New Roman"/>
                <w:b/>
                <w:i/>
                <w:caps w:val="false"/>
                <w:smallCaps w:val="false"/>
                <w:sz w:val="20"/>
              </w:rPr>
              <w:t>Limited Condition Acquisition</w:t>
            </w:r>
            <w:r>
              <w:rPr>
                <w:rFonts w:ascii="Times New Roman" w:hAnsi="Times New Roman"/>
                <w:caps w:val="false"/>
                <w:smallCaps w:val="false"/>
                <w:sz w:val="20"/>
              </w:rPr>
              <w:t>”), at the irrevocable option of the Borrower (the Borrower’s election to exercise such option in connection with any Limited Condition Acquisition, an “</w:t>
            </w:r>
            <w:r>
              <w:rPr>
                <w:rFonts w:ascii="Times New Roman" w:hAnsi="Times New Roman"/>
                <w:b/>
                <w:i/>
                <w:caps w:val="false"/>
                <w:smallCaps w:val="false"/>
                <w:sz w:val="20"/>
              </w:rPr>
              <w:t>LCA Election</w:t>
            </w:r>
            <w:r>
              <w:rPr>
                <w:rFonts w:ascii="Times New Roman" w:hAnsi="Times New Roman"/>
                <w:caps w:val="false"/>
                <w:smallCaps w:val="false"/>
                <w:sz w:val="20"/>
              </w:rPr>
              <w:t>”), the date of determination of whether any such Limited Condition Acquisition is permitted hereunder shall be deemed to be the date the definitive agreements for such Limited Condition Acquisition are entered into (the “</w:t>
            </w:r>
            <w:r>
              <w:rPr>
                <w:rFonts w:ascii="Times New Roman" w:hAnsi="Times New Roman"/>
                <w:b/>
                <w:i/>
                <w:caps w:val="false"/>
                <w:smallCaps w:val="false"/>
                <w:sz w:val="20"/>
              </w:rPr>
              <w:t>LCA Test Date</w:t>
            </w:r>
            <w:r>
              <w:rPr>
                <w:rFonts w:ascii="Times New Roman" w:hAnsi="Times New Roman"/>
                <w:caps w:val="false"/>
                <w:smallCaps w:val="false"/>
                <w:sz w:val="20"/>
              </w:rPr>
              <w:t xml:space="preserve">”), and if, after giving </w:t>
            </w:r>
            <w:r>
              <w:rPr>
                <w:rFonts w:ascii="Times New Roman" w:hAnsi="Times New Roman"/>
                <w:i/>
                <w:caps w:val="false"/>
                <w:smallCaps w:val="false"/>
                <w:sz w:val="20"/>
              </w:rPr>
              <w:t>pro forma</w:t>
            </w:r>
            <w:r>
              <w:rPr>
                <w:rFonts w:ascii="Times New Roman" w:hAnsi="Times New Roman"/>
                <w:caps w:val="false"/>
                <w:smallCaps w:val="false"/>
                <w:sz w:val="20"/>
              </w:rPr>
              <w:t xml:space="preserve"> effect to the Limited Condition Acquisition and the other transactions to be entered into in connection therewith as if they had occurred at the beginning of the most recent Fiscal Quarter ending before the LCA Test Date, the Borrower could have taken such action on the relevant LCA Test Date in compliance with such ratio or basket, such ratio or basket shall be deemed to have been complied with for such Limited Condition Acquisition; </w:t>
            </w:r>
            <w:r>
              <w:rPr>
                <w:rFonts w:ascii="Times New Roman" w:hAnsi="Times New Roman"/>
                <w:i/>
                <w:caps w:val="false"/>
                <w:smallCaps w:val="false"/>
                <w:sz w:val="20"/>
              </w:rPr>
              <w:t>provided</w:t>
            </w:r>
            <w:r>
              <w:rPr>
                <w:rFonts w:ascii="Times New Roman" w:hAnsi="Times New Roman"/>
                <w:caps w:val="false"/>
                <w:smallCaps w:val="false"/>
                <w:sz w:val="20"/>
              </w:rPr>
              <w:t> that, no LCA Test Date may occur more than 120 days before consummation of the applicable Limited Condition Acquisition or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1.09(c)</w:t>
            </w:r>
            <w:r>
              <w:rPr>
                <w:rFonts w:ascii="Times New Roman" w:hAnsi="Times New Roman"/>
                <w:caps w:val="false"/>
                <w:smallCaps w:val="false"/>
                <w:sz w:val="20"/>
              </w:rPr>
              <w:t xml:space="preserve">, to avoid doubt, if the Borrower has made an LCA Election and any of the ratios or baskets for which compliance was determined or tested as of the LCA Test Date (including with respect to the incurrence of any Indebtedness) are exceeded as a result of fluctuations in any such ratio or basket (including due to fluctuations of the target of any Limited Condition Acquisition) at or before consummation of the relevant transaction or action, such ratios or baskets will not be deemed to have been exceeded as a result of such fluctuations. If the Borrower has made an LCA Election for any Limited Condition Acquisition, then in connection with any subsequent calculation of any ratio or basket (other than maintenance testing of the financial covenants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7.11</w:t>
            </w:r>
            <w:r>
              <w:rPr>
                <w:rFonts w:ascii="Times New Roman" w:hAnsi="Times New Roman"/>
                <w:caps w:val="false"/>
                <w:smallCaps w:val="false"/>
                <w:sz w:val="20"/>
              </w:rPr>
              <w:t xml:space="preserve">) on or following the relevant LCA Test Date and before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(x) calculated on a Pro Forma Basis assuming such Limited Condition Acquisition and other transactions in connection therewith (including any incurrence of debt and the use of proceeds thereof) have been consummated, and (y) calculated (and tested) on a Pro Forma Basis assuming such Limited Condition Acquisition and other transactions in connection therewith (including any incurrence of Indebtedness and the use of proceeds thereof) have not been consummated, as applicable; </w:t>
            </w:r>
            <w:r>
              <w:rPr>
                <w:rFonts w:ascii="Times New Roman" w:hAnsi="Times New Roman"/>
                <w:i/>
                <w:caps w:val="false"/>
                <w:smallCaps w:val="false"/>
                <w:sz w:val="20"/>
              </w:rPr>
              <w:t>provided</w:t>
            </w:r>
            <w:r>
              <w:rPr>
                <w:rFonts w:ascii="Times New Roman" w:hAnsi="Times New Roman"/>
                <w:caps w:val="false"/>
                <w:smallCaps w:val="false"/>
                <w:sz w:val="20"/>
              </w:rPr>
              <w:t xml:space="preserve"> that (other than solely with respect to the incurrence test under which such Limited Condition Acquisition is being made and the test set forth in the immediately preceding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(x)</w:t>
            </w:r>
            <w:r>
              <w:rPr>
                <w:rFonts w:ascii="Times New Roman" w:hAnsi="Times New Roman"/>
                <w:caps w:val="false"/>
                <w:smallCaps w:val="false"/>
                <w:sz w:val="20"/>
              </w:rPr>
              <w:t>) Consolidated EBITDA of any target of such Limited Condition Acquisition can only be used in the determination of the relevant ratio and baskets if and when such Limited Condition Acquisition has closed.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 other provision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 xml:space="preserve">, (a) the aggregate consideration for (i) each Limited Condition Acquisition may not exceed $[***], and (ii) all Limited Condition Acquisitions in any Fiscal Year of the Borrower may not exceed $[***], and (b)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 xml:space="preserve"> is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275"/>
        <w:gridCol w:w="20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Holdings</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the avoidance of doubt, (i) Holdings shall not be deemed a Loan Party for any purposes of this Agreement or any other Loan Document, (ii) Holdings shall not be deemed to be subject to, or covered by, any of the representations or warranties set forth in Article V hereof, (iii) Holdings shall not be deemed to be subject to, or covered by, any of the covenants set forth on Article VI or VII, and (iv) in no event shall the operations, financial results, liabilities or Indebtedness of Holdings or any of its Subsidiaries (other than the Loan Party Group Companies) be included in the calculations of Consolidated EBITDA, Consolidated Fixed Charge Coverage Ratio, Consolidated Fixed Charges, Consolidated Funded Indebtedness, Consolidated Interest Charges, Consolidated Leverage Ratio, or Consolidated Net Income hereunder. For the avoidance of doubt, any representations, warranties or covenants of Holdings, shall be specifically set forth in the Holdings Guaranty and/or the Holdings Pledge Agreement.</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85"/>
        <w:gridCol w:w="414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COMMITMENTS AND CREDIT EXTENSIONS</w:t>
            </w:r>
            <w:r>
              <w:rPr>
                <w:rFonts w:ascii="Times New Roman" w:hAnsi="Times New Roman"/>
                <w:caps w:val="false"/>
                <w:smallCaps w:val="false"/>
                <w:sz w:val="20"/>
              </w:rPr>
              <w:t>.</w:t>
            </w:r>
          </w:p>
        </w:tc>
      </w:tr>
    </w:tbl>
    <w:tbl>
      <w:tblPr>
        <w:tblW w:w="820" w:type="dxa"/>
        <w:jc w:val="left"/>
        <w:tblInd w:w="0" w:type="dxa"/>
        <w:tblLayout w:type="fixed"/>
        <w:tblCellMar>
          <w:top w:w="0" w:type="dxa"/>
          <w:left w:w="0" w:type="dxa"/>
          <w:bottom w:w="0" w:type="dxa"/>
          <w:right w:w="0" w:type="dxa"/>
        </w:tblCellMar>
      </w:tblPr>
      <w:tblGrid>
        <w:gridCol w:w="60"/>
        <w:gridCol w:w="170"/>
        <w:gridCol w:w="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Loans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 A Loan</w:t>
            </w:r>
            <w:r>
              <w:rPr>
                <w:rFonts w:ascii="Times New Roman" w:hAnsi="Times New Roman"/>
                <w:caps w:val="false"/>
                <w:smallCaps w:val="false"/>
                <w:sz w:val="20"/>
              </w:rPr>
              <w:t xml:space="preserve">. Subject to the terms and conditions set forth herein, each Term Lender severally agrees to make a single loan to the Borrower, in Dollars, on the Closing Date in an amount not to exceed such Term Lender’s Applicable Percentage of the Term Facility. Such Borrowing shall consist of Term Loans made simultaneously by the Term Lenders in accordance with their respective Applicable Percentage of the Term Facility. The Term Loan may be repaid or prepaid but may not be reborrowed. Term Loans may be Base Rate Loans or Term SOFR Loans, as further provided 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any Borrowing made on the Closing Date shall be made as Base Rate Loans.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Delayed Draw Term Loan</w:t>
            </w:r>
            <w:r>
              <w:rPr>
                <w:rFonts w:ascii="Times New Roman" w:hAnsi="Times New Roman"/>
                <w:caps w:val="false"/>
                <w:smallCaps w:val="false"/>
                <w:sz w:val="20"/>
              </w:rPr>
              <w:t>. Subject to the terms and conditions set forth herein, each Delayed Draw Term Loan Lender severally agrees to make loans (each such loan, a “</w:t>
            </w:r>
            <w:r>
              <w:rPr>
                <w:rFonts w:ascii="Times New Roman" w:hAnsi="Times New Roman"/>
                <w:b/>
                <w:i/>
                <w:caps w:val="false"/>
                <w:smallCaps w:val="false"/>
                <w:sz w:val="20"/>
              </w:rPr>
              <w:t>Delayed Draw Term Loan</w:t>
            </w:r>
            <w:r>
              <w:rPr>
                <w:rFonts w:ascii="Times New Roman" w:hAnsi="Times New Roman"/>
                <w:caps w:val="false"/>
                <w:smallCaps w:val="false"/>
                <w:sz w:val="20"/>
              </w:rPr>
              <w:t xml:space="preserve">”) to the Borrower, in Dollars, from time to time (but in any event limited to a maximum of four (4) drawings, each in a minimum aggregate principal amount of $5,000,000), on any Business Day during the Delayed Draw Term Loan Availability Period, in an aggregate amount not to exceed at any time outstanding the amount of such Lender’s Delayed Draw Term Loan Commitment;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after giving effect to any such Borrowing, the Total Delayed Draw Term Loan Outstandings shall not exceed the Delayed Draw Term Loan Facility. Once funded, Delayed Draw Term Loans shall be deemed to be an increase to the amount of Term Loans for all purposes hereunder and shall be part of the same Class as, and treated in all respects as, Term Loans. The Delayed Draw Term Loan may be repaid or prepaid but may not be reborrowed. Delayed Draw Term Loan may be Base Rate Loans or Term SOFR Loans, as further provided 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any Borrowings made on the Closing Date shall be made as Base Rate Loans.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Revolving Loans</w:t>
            </w:r>
            <w:r>
              <w:rPr>
                <w:rFonts w:ascii="Times New Roman" w:hAnsi="Times New Roman"/>
                <w:caps w:val="false"/>
                <w:smallCaps w:val="false"/>
                <w:sz w:val="20"/>
              </w:rPr>
              <w:t>. Subject to the terms and conditions set forth herein, each Revolving Lender severally agrees to make loans (each such loan, a “</w:t>
            </w:r>
            <w:r>
              <w:rPr>
                <w:rFonts w:ascii="Times New Roman" w:hAnsi="Times New Roman"/>
                <w:b/>
                <w:i/>
                <w:caps w:val="false"/>
                <w:smallCaps w:val="false"/>
                <w:sz w:val="20"/>
              </w:rPr>
              <w:t>Revolving Loan</w:t>
            </w:r>
            <w:r>
              <w:rPr>
                <w:rFonts w:ascii="Times New Roman" w:hAnsi="Times New Roman"/>
                <w:caps w:val="false"/>
                <w:smallCaps w:val="false"/>
                <w:sz w:val="20"/>
              </w:rPr>
              <w:t xml:space="preserve">”) to the Borrower, in Dollars, from time to time, on any Business Day during the Availability Period, in an aggregate amount not to exceed at any time outstanding the amount of such Lender’s Revolving Commitment;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after giving effect to any such Borrowing, (i) the Total Revolving Outstandings shall not exceed the Aggregate Revolving Commitment, (ii) during the Minimum TTM EBITDA Testing Period, the Total Revolving Outstandings shall not exceed $15,000,000, and (iii)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w:t>
            </w:r>
            <w:r>
              <w:rPr>
                <w:rFonts w:ascii="Times New Roman" w:hAnsi="Times New Roman"/>
                <w:caps w:val="false"/>
                <w:smallCaps w:val="false"/>
                <w:sz w:val="20"/>
              </w:rPr>
              <w:t xml:space="preserve">, and reborrow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2.01(c)</w:t>
            </w:r>
            <w:r>
              <w:rPr>
                <w:rFonts w:ascii="Times New Roman" w:hAnsi="Times New Roman"/>
                <w:caps w:val="false"/>
                <w:smallCaps w:val="false"/>
                <w:sz w:val="20"/>
              </w:rPr>
              <w:t xml:space="preserve">. Revolving Loans may be Base Rate Loans or Term SOFR Loans, as further provided 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any Borrowings made on the Closing Date shall be made as Base Rate Loans.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60"/>
        <w:gridCol w:w="170"/>
        <w:gridCol w:w="4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4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Borrowings, Conversions and Continuations of Loans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 of Borrowing</w:t>
            </w:r>
            <w:r>
              <w:rPr>
                <w:rFonts w:ascii="Times New Roman" w:hAnsi="Times New Roman"/>
                <w:caps w:val="false"/>
                <w:smallCaps w:val="false"/>
                <w:sz w:val="20"/>
              </w:rPr>
              <w:t xml:space="preserve">. Each Borrowing, each conversion of Loans from one (1) Type to the other, and each continuation of Term SOFR Loans shall be made upon the Borrower’s irrevocable notice to the Administrative Agent, which may be given by: (i) telephone or (ii) a Loan Notice;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telephonic notice must be confirmed immediately by delivery to the Administrative Agent of a Loan Notice. Each such Loan Notice must be received by the Administrative Agent not later than 11:00 a.m. (A) two (2) Business Days prior to the requested date of any Borrowing of, conversion to or continuation of Term SOFR Loans or of any conversion of Term SOFR Loans to Base Rate Loans, and (B) on the requested date of any Borrowing of Base Rate Loans. Each Borrowing of, conversion to or continuation of Term SOFR Loans shall be in a principal amount of $5,000,000 or a whole multiple of $1,000,000 in excess thereof (or, if less, the entire principal thereof then outstanding). Except as provided in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2.03(c)</w:t>
            </w:r>
            <w:r>
              <w:rPr>
                <w:rFonts w:ascii="Times New Roman" w:hAnsi="Times New Roman"/>
                <w:caps w:val="false"/>
                <w:smallCaps w:val="false"/>
                <w:sz w:val="20"/>
              </w:rPr>
              <w:t> and </w:t>
            </w:r>
            <w:r>
              <w:rPr>
                <w:rFonts w:ascii="Times New Roman" w:hAnsi="Times New Roman"/>
                <w:b/>
                <w:i/>
                <w:caps w:val="false"/>
                <w:smallCaps w:val="false"/>
                <w:sz w:val="20"/>
              </w:rPr>
              <w:t>2.04(c)</w:t>
            </w:r>
            <w:r>
              <w:rPr>
                <w:rFonts w:ascii="Times New Roman" w:hAnsi="Times New Roman"/>
                <w:caps w:val="false"/>
                <w:smallCaps w:val="false"/>
                <w:sz w:val="20"/>
              </w:rPr>
              <w:t>, each Borrowing of or conversion to Base Rate Loans shall be in a principal amount of $500,000 or a whole multiple of $100,000 in excess thereof (or, if less, the entire principal thereof then outstanding). Each Loan Notice and each telephonic notice shall specify (I) the applicable Facility and whether the Borrower is requesting a Borrowing, a conversion of Loans from one (1) Type to the other, or a continuation of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(1) month.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Advances</w:t>
            </w:r>
            <w:r>
              <w:rPr>
                <w:rFonts w:ascii="Times New Roman" w:hAnsi="Times New Roman"/>
                <w:caps w:val="false"/>
                <w:smallCaps w:val="false"/>
                <w:sz w:val="20"/>
              </w:rPr>
              <w:t xml:space="preserve">. Following receipt of a Loan Notice, the Administrative Agent shall promptly notify each applicable Lender of the amount of its Applicable Percentage of the applicable Loans, and if no timely notice of a conversion or continuation is provided by the Borrower, the Administrative Agent shall notify each applicable Lender of the details of any automatic conversion to Base Rate Loans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2.02(a)</w:t>
            </w:r>
            <w:r>
              <w:rPr>
                <w:rFonts w:ascii="Times New Roman" w:hAnsi="Times New Roman"/>
                <w:caps w:val="false"/>
                <w:smallCaps w:val="false"/>
                <w:sz w:val="20"/>
              </w:rPr>
              <w:t xml:space="preserve">. In the case of a Borrowing, each applicable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xml:space="preserve"> (and, if such Borrowing is the initial Credit Extension,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4.01</w:t>
            </w:r>
            <w:r>
              <w:rPr>
                <w:rFonts w:ascii="Times New Roman" w:hAnsi="Times New Roman"/>
                <w:caps w:val="false"/>
                <w:smallCaps w:val="false"/>
                <w:sz w:val="20"/>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on the date a Loan Notice with respect to a Borrowing of Revolving Loans is given by the Borrower, there are L/C Borrowings outstanding, then the proceeds of such Borrowing, first, shall be applied to the payment in full of any such L/C Borrowings, and second, shall be made available to the Borrower as provided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 SOFR Loans</w:t>
            </w:r>
            <w:r>
              <w:rPr>
                <w:rFonts w:ascii="Times New Roman" w:hAnsi="Times New Roman"/>
                <w:caps w:val="false"/>
                <w:smallCaps w:val="false"/>
                <w:sz w:val="20"/>
              </w:rPr>
              <w:t>.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Rates</w:t>
            </w:r>
            <w:r>
              <w:rPr>
                <w:rFonts w:ascii="Times New Roman" w:hAnsi="Times New Roman"/>
                <w:caps w:val="false"/>
                <w:smallCaps w:val="false"/>
                <w:sz w:val="20"/>
              </w:rPr>
              <w:t>. Each determination of an interest rate by the Administrative Agent pursuant to any provision of this Agreement shall be conclusive and binding on the Borrower and the Lenders in the absence of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Periods</w:t>
            </w:r>
            <w:r>
              <w:rPr>
                <w:rFonts w:ascii="Times New Roman" w:hAnsi="Times New Roman"/>
                <w:caps w:val="false"/>
                <w:smallCaps w:val="false"/>
                <w:sz w:val="20"/>
              </w:rPr>
              <w:t>. After giving effect to all Borrowings, all conversions of Loans from one (1) Type to the other, and all continuations of Loans as the same Type, there shall not be more than eight (8) Interest Periods in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Cashless Settlement Mechanism</w:t>
            </w:r>
            <w:r>
              <w:rPr>
                <w:rFonts w:ascii="Times New Roman" w:hAnsi="Times New Roman"/>
                <w:caps w:val="false"/>
                <w:smallCaps w:val="false"/>
                <w:sz w:val="20"/>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SOFR/Term SOFR</w:t>
            </w:r>
            <w:r>
              <w:rPr>
                <w:rFonts w:ascii="Times New Roman" w:hAnsi="Times New Roman"/>
                <w:caps w:val="false"/>
                <w:smallCaps w:val="false"/>
                <w:sz w:val="20"/>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hAnsi="Times New Roman"/>
                <w:i/>
                <w:caps w:val="false"/>
                <w:smallCaps w:val="false"/>
                <w:sz w:val="20"/>
              </w:rPr>
              <w:t>provided</w:t>
            </w:r>
            <w:r>
              <w:rPr>
                <w:rFonts w:ascii="Times New Roman" w:hAnsi="Times New Roman"/>
                <w:caps w:val="false"/>
                <w:smallCaps w:val="false"/>
                <w:sz w:val="20"/>
              </w:rPr>
              <w:t> that, with respect to any such amendment effected, the Administrative Agent shall post each such amendment implementing such Conforming Changes to the Borrower and the Lenders reasonably promptly after such amendment becomes effective.</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70"/>
        <w:gridCol w:w="7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 Applicable to Swingline Loans</w:t>
            </w:r>
            <w:r>
              <w:rPr>
                <w:rFonts w:ascii="Times New Roman" w:hAnsi="Times New Roman"/>
                <w:caps w:val="false"/>
                <w:smallCaps w:val="false"/>
                <w:sz w:val="20"/>
              </w:rPr>
              <w:t xml:space="preserve">.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shall not apply to Swingline Loans.</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Letters of Credit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Letter of Credit Commitment</w:t>
            </w:r>
            <w:r>
              <w:rPr>
                <w:rFonts w:ascii="Times New Roman" w:hAnsi="Times New Roman"/>
                <w:caps w:val="false"/>
                <w:smallCaps w:val="false"/>
                <w:sz w:val="20"/>
              </w:rPr>
              <w:t xml:space="preserve">. Subject to the terms and conditions set forth herein, in addition to the Loans provided for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w:t>
            </w:r>
            <w:r>
              <w:rPr>
                <w:rFonts w:ascii="Times New Roman" w:hAnsi="Times New Roman"/>
                <w:caps w:val="false"/>
                <w:smallCaps w:val="false"/>
                <w:sz w:val="20"/>
              </w:rPr>
              <w:t xml:space="preserve">, the Borrower may request that the L/C Issuer, in reliance on the agreements of the Revolving Lenders set forth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 issue, at any time and from time to time during the Availability Period, Letters of Credit denominated in Dollars for its own account or the account of any of a Loan Party in such form as is acceptable to the L/C Issuer in its reasonable determination. Letters of Credit issued hereunder shall constitute utilization of the Revolving Commitments.</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 of Issuance, Amendment, Extension, Reinstatement or Renewal</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2.03(d)</w:t>
            </w:r>
            <w:r>
              <w:rPr>
                <w:rFonts w:ascii="Times New Roman" w:hAnsi="Times New Roman"/>
                <w:caps w:val="false"/>
                <w:smallCaps w:val="false"/>
                <w:sz w:val="20"/>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hAnsi="Times New Roman"/>
                <w:b/>
                <w:i/>
                <w:caps w:val="false"/>
                <w:smallCaps w:val="false"/>
                <w:sz w:val="20"/>
              </w:rPr>
              <w:t>Auto-Extension Letter of Credit</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that any such Auto-Extension Letter of Credit shall permit the L/C Issuer to prevent any such extension at least once in each twelve (12)-month period (commencing with the date of issuance of such Letter of Credit) by giving prior notice to the beneficiary thereof not later than a day (the “</w:t>
            </w:r>
            <w:r>
              <w:rPr>
                <w:rFonts w:ascii="Times New Roman" w:hAnsi="Times New Roman"/>
                <w:b/>
                <w:i/>
                <w:caps w:val="false"/>
                <w:smallCaps w:val="false"/>
                <w:sz w:val="20"/>
              </w:rPr>
              <w:t>Non-Extension Notice Date</w:t>
            </w:r>
            <w:r>
              <w:rPr>
                <w:rFonts w:ascii="Times New Roman" w:hAnsi="Times New Roman"/>
                <w:caps w:val="false"/>
                <w:smallCaps w:val="false"/>
                <w:sz w:val="20"/>
              </w:rPr>
              <w:t xml:space="preserve">”) in each such twelve (12)-month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2.03(d)</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Lenders holding a majority of the Revolving Commitments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(1) or more of the applicable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is not then satisfied, and in each such case directing the L/C Issuer not to permit such extension.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Limitations on Amounts, Issuance and Amendment</w:t>
            </w:r>
            <w:r>
              <w:rPr>
                <w:rFonts w:ascii="Times New Roman" w:hAnsi="Times New Roman"/>
                <w:caps w:val="false"/>
                <w:smallCaps w:val="false"/>
                <w:sz w:val="20"/>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L/C Sublimit, (y) the Revolving Exposure of any Lender shall not exceed its Revolving Commitment and (z) the Total Revolving Exposure shall not exceed the Aggregate Revolving Commitments.</w:t>
            </w:r>
          </w:p>
        </w:tc>
      </w:tr>
    </w:tbl>
    <w:tbl>
      <w:tblPr>
        <w:tblW w:w="6655" w:type="dxa"/>
        <w:jc w:val="left"/>
        <w:tblInd w:w="0" w:type="dxa"/>
        <w:tblLayout w:type="fixed"/>
        <w:tblCellMar>
          <w:top w:w="0" w:type="dxa"/>
          <w:left w:w="0" w:type="dxa"/>
          <w:bottom w:w="0" w:type="dxa"/>
          <w:right w:w="0" w:type="dxa"/>
        </w:tblCellMar>
      </w:tblPr>
      <w:tblGrid>
        <w:gridCol w:w="60"/>
        <w:gridCol w:w="125"/>
        <w:gridCol w:w="647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L/C Issuer shall not be under any obligation to issue any Letter of Credit if:</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issuance of such Letter of Credit would violate one (1) or more policies of the L/C Issuer applicable to letters of credit generally;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agreed by the Administrative Agent and the L/C Issuer, the Letter of Credit is in an initial stated amount less than $100,000, in the case of a commercial Letter of Credit, or $500,000, in the case of a standby Letter of Credit;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2.15(a)(iv)</w:t>
            </w:r>
            <w:r>
              <w:rPr>
                <w:rFonts w:ascii="Times New Roman" w:hAnsi="Times New Roman"/>
                <w:caps w:val="false"/>
                <w:smallCaps w:val="false"/>
                <w:sz w:val="20"/>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Expiration Date</w:t>
            </w:r>
            <w:r>
              <w:rPr>
                <w:rFonts w:ascii="Times New Roman" w:hAnsi="Times New Roman"/>
                <w:caps w:val="false"/>
                <w:smallCaps w:val="false"/>
                <w:sz w:val="20"/>
              </w:rPr>
              <w:t>. Each Letter of Credit shall have a stated expiration date no later than the earlier of (i) the date twelve (12) months after the date of the issuance of such Letter of Credit (or, in the case of any extension of the expiration date thereof, whether automatic or by amendment, twelve months after the then current expiration date of such Letter of Credit) and (ii) the date that is five (5) Business Days prior to 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60"/>
        <w:gridCol w:w="155"/>
        <w:gridCol w:w="126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Participations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(e)</w:t>
            </w:r>
            <w:r>
              <w:rPr>
                <w:rFonts w:ascii="Times New Roman" w:hAnsi="Times New Roman"/>
                <w:caps w:val="false"/>
                <w:smallCaps w:val="false"/>
                <w:sz w:val="20"/>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consideration and in furtherance of the foregoing, each Revolving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Revolving Lenders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with respect to Loans made by such Lender (and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shall apply,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to the payment obligations of the Revolving Lenders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 xml:space="preserve">, the Administrative Agent shall distribute such payment to the L/C Issuer or, to the extent that the Revolving Lenders have made payments pursuant to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(e)</w:t>
            </w:r>
            <w:r>
              <w:rPr>
                <w:rFonts w:ascii="Times New Roman" w:hAnsi="Times New Roman"/>
                <w:caps w:val="false"/>
                <w:smallCaps w:val="false"/>
                <w:sz w:val="20"/>
              </w:rPr>
              <w:t xml:space="preserve"> to reimburse the L/C Issuer, then to such Lenders and the L/C Issuer as their interests may appear. Any payment made by a Lender pursuant to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(e)</w:t>
            </w:r>
            <w:r>
              <w:rPr>
                <w:rFonts w:ascii="Times New Roman" w:hAnsi="Times New Roman"/>
                <w:caps w:val="false"/>
                <w:smallCaps w:val="false"/>
                <w:sz w:val="20"/>
              </w:rPr>
              <w:t> to reimburse the L/C Issuer for any L/C Disbursement shall not constitute a Loan and shall not relieve the Borrower of its obligation to reimburse such L/C Disbursement.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(including pursuant to the operation of </w:t>
            </w:r>
            <w:r>
              <w:rPr>
                <w:rFonts w:ascii="Times New Roman" w:hAnsi="Times New Roman"/>
                <w:b/>
                <w:i/>
                <w:caps w:val="false"/>
                <w:smallCaps w:val="false"/>
                <w:sz w:val="20"/>
              </w:rPr>
              <w:t>Sections 2.14</w:t>
            </w:r>
            <w:r>
              <w:rPr>
                <w:rFonts w:ascii="Times New Roman" w:hAnsi="Times New Roman"/>
                <w:caps w:val="false"/>
                <w:smallCaps w:val="false"/>
                <w:sz w:val="20"/>
              </w:rPr>
              <w:t xml:space="preserve"> or 2.15), as a result of an assignment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or otherwise pursuant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Revolving Lender fails to make available to the Administrative Agent for the account of the L/C Issuer any amount required to be paid by such Lender pursuant to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2.03(e)</w:t>
            </w:r>
            <w:r>
              <w:rPr>
                <w:rFonts w:ascii="Times New Roman" w:hAnsi="Times New Roman"/>
                <w:caps w:val="false"/>
                <w:smallCaps w:val="false"/>
                <w:sz w:val="20"/>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w:t>
            </w:r>
            <w:r>
              <w:rPr>
                <w:rFonts w:ascii="Times New Roman" w:hAnsi="Times New Roman"/>
                <w:i/>
                <w:caps w:val="false"/>
                <w:smallCaps w:val="false"/>
                <w:sz w:val="20"/>
              </w:rPr>
              <w:t>per annum</w:t>
            </w:r>
            <w:r>
              <w:rPr>
                <w:rFonts w:ascii="Times New Roman" w:hAnsi="Times New Roman"/>
                <w:caps w:val="false"/>
                <w:smallCaps w:val="false"/>
                <w:sz w:val="20"/>
              </w:rPr>
              <w:t> equal to the greater of the Federal Funds Rate and a rate determined by the L/C Issuer in accordance with banking industry rules on interbank compensation, </w:t>
            </w:r>
            <w:r>
              <w:rPr>
                <w:rFonts w:ascii="Times New Roman" w:hAnsi="Times New Roman"/>
                <w:i/>
                <w:caps w:val="false"/>
                <w:smallCaps w:val="false"/>
                <w:sz w:val="20"/>
              </w:rPr>
              <w:t>plus</w:t>
            </w:r>
            <w:r>
              <w:rPr>
                <w:rFonts w:ascii="Times New Roman" w:hAnsi="Times New Roman"/>
                <w:caps w:val="false"/>
                <w:smallCaps w:val="false"/>
                <w:sz w:val="20"/>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Revolving Lender (through the Administrative Agent) with respect to any amounts owing under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(e)(iv)</w:t>
            </w:r>
            <w:r>
              <w:rPr>
                <w:rFonts w:ascii="Times New Roman" w:hAnsi="Times New Roman"/>
                <w:caps w:val="false"/>
                <w:smallCaps w:val="false"/>
                <w:sz w:val="20"/>
              </w:rPr>
              <w:t> shall be conclusive absent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Reimbursement</w:t>
            </w:r>
            <w:r>
              <w:rPr>
                <w:rFonts w:ascii="Times New Roman" w:hAnsi="Times New Roman"/>
                <w:caps w:val="false"/>
                <w:smallCaps w:val="false"/>
                <w:sz w:val="20"/>
              </w:rPr>
              <w:t xml:space="preserve">. If the L/C Issuer shall make any L/C Disbursement in respect of a Letter of Credit, the Borrower shall reimburse the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or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w:t>
            </w:r>
            <w:r>
              <w:rPr>
                <w:rFonts w:ascii="Times New Roman" w:hAnsi="Times New Roman"/>
                <w:caps w:val="false"/>
                <w:smallCaps w:val="false"/>
                <w:sz w:val="20"/>
              </w:rPr>
              <w:t> that such payment be financed with a Borrowing of Revolving Loans that are Base Rate Loans or a Swingline Loan in an equivalent amount and, to the extent so financed, the Borrower’s obligation to make such payment shall be discharged and replaced by the resulting Borrowing. If the Borrower fails to make such payment when due, the Administrative Agent shall notify each Revolving Lender of the applicable L/C Disbursement, the payment then due from the Borrower in respect thereof (the “</w:t>
            </w:r>
            <w:r>
              <w:rPr>
                <w:rFonts w:ascii="Times New Roman" w:hAnsi="Times New Roman"/>
                <w:b/>
                <w:i/>
                <w:caps w:val="false"/>
                <w:smallCaps w:val="false"/>
                <w:sz w:val="20"/>
              </w:rPr>
              <w:t>Unreimbursed Amount</w:t>
            </w:r>
            <w:r>
              <w:rPr>
                <w:rFonts w:ascii="Times New Roman" w:hAnsi="Times New Roman"/>
                <w:caps w:val="false"/>
                <w:smallCaps w:val="false"/>
                <w:sz w:val="20"/>
              </w:rPr>
              <w:t xml:space="preserve">”) and such Lender’s Applicable Percentage thereof. Promptly upon receipt of such notice, each Revolving Lender shall pay to the Administrative Agent its Applicable Percentage of the Unreimbursed Amount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2.03(e)(ii)</w:t>
            </w:r>
            <w:r>
              <w:rPr>
                <w:rFonts w:ascii="Times New Roman" w:hAnsi="Times New Roman"/>
                <w:caps w:val="false"/>
                <w:smallCaps w:val="false"/>
                <w:sz w:val="20"/>
              </w:rPr>
              <w:t xml:space="preserve">, subject to the amount of the unutilized portion of the aggregate Revolving Commitments. Any notice given by the L/C Issuer or the Administrative Agent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 xml:space="preserve"> may be given by telephone if immediately confirmed in writing; </w:t>
            </w:r>
            <w:r>
              <w:rPr>
                <w:rFonts w:ascii="Times New Roman" w:hAnsi="Times New Roman"/>
                <w:i/>
                <w:caps w:val="false"/>
                <w:smallCaps w:val="false"/>
                <w:sz w:val="20"/>
              </w:rPr>
              <w:t>provided</w:t>
            </w:r>
            <w:r>
              <w:rPr>
                <w:rFonts w:ascii="Times New Roman" w:hAnsi="Times New Roman"/>
                <w:caps w:val="false"/>
                <w:smallCaps w:val="false"/>
                <w:sz w:val="20"/>
              </w:rPr>
              <w:t> that the lack of such an immediate confirmation shall not affect the conclusiveness or binding effect of such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Obligations Absolute</w:t>
            </w:r>
            <w:r>
              <w:rPr>
                <w:rFonts w:ascii="Times New Roman" w:hAnsi="Times New Roman"/>
                <w:caps w:val="false"/>
                <w:smallCaps w:val="false"/>
                <w:sz w:val="20"/>
              </w:rPr>
              <w:t xml:space="preserve">. The Borrower’s obligation to reimburse L/C Disbursements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 shall be absolute, unconditional and irrevocable, and shall be performed strictly in accordance with the terms of this Agreement under any and all circumstances whatsoever and irrespective of:</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lack of validity or enforceability of this Agreement, any other Loan Document or any Letter of Credit, or any term or provision herein or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by the L/C Issuer of any requirement that exists for the L/C Issuer’s protection and not the protection of the Borrower or any waiver by the L/C Issuer which does not in fact materially prejudice the Borrower;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honor of a demand for payment presented electronically even if such Letter of Credit requires that demand be in the form of a draft;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9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50"/>
        <w:gridCol w:w="979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9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other event or circumstance whatsoever, whether or not similar to any of the foregoing, that might, but for the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 constitute a legal or equitable discharge of, or provide a right of setoff against, the Borrower’s obligations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Examination</w:t>
            </w:r>
            <w:r>
              <w:rPr>
                <w:rFonts w:ascii="Times New Roman" w:hAnsi="Times New Roman"/>
                <w:caps w:val="false"/>
                <w:smallCaps w:val="false"/>
                <w:sz w:val="20"/>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Liability</w:t>
            </w:r>
            <w:r>
              <w:rPr>
                <w:rFonts w:ascii="Times New Roman" w:hAnsi="Times New Roman"/>
                <w:caps w:val="false"/>
                <w:smallCaps w:val="false"/>
                <w:sz w:val="20"/>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hAnsi="Times New Roman"/>
                <w:i/>
                <w:caps w:val="false"/>
                <w:smallCaps w:val="false"/>
                <w:sz w:val="20"/>
              </w:rPr>
              <w:t>provided</w:t>
            </w:r>
            <w:r>
              <w:rPr>
                <w:rFonts w:ascii="Times New Roman" w:hAnsi="Times New Roman"/>
                <w:caps w:val="false"/>
                <w:smallCaps w:val="false"/>
                <w:sz w:val="20"/>
              </w:rPr>
              <w:t>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L/C Issuer may replace a purportedly lost, stolen, or destroyed original Letter of Credit or missing amendment thereto with a certified true copy marked as such or waive a requirement for its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L/C Issuer shall have the right, in its sole discretion, to decline to accept such documents and to make such payment if such documents are not in strict compliance with the terms of such Letter of Credit;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(C) against documents that are fraudulent, forged, or for other reasons by which that it is entitled not to honor, (D) following the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Applicability of ISP and UCP</w:t>
            </w:r>
            <w:r>
              <w:rPr>
                <w:rFonts w:ascii="Times New Roman" w:hAnsi="Times New Roman"/>
                <w:caps w:val="false"/>
                <w:smallCaps w:val="false"/>
                <w:sz w:val="20"/>
              </w:rPr>
              <w:t>. Unless otherwise expressly agreed by the L/C Issuer and the Borrower when a Letter of Credit is issued by 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Benefits</w:t>
            </w:r>
            <w:r>
              <w:rPr>
                <w:rFonts w:ascii="Times New Roman" w:hAnsi="Times New Roman"/>
                <w:caps w:val="false"/>
                <w:smallCaps w:val="false"/>
                <w:sz w:val="20"/>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with respect to any acts taken or omissions suffered by the L/C Issuer in connection with Letters of Credit issued by it or proposed to be issued by it and Issuer Documents pertaining to such Letters of Credit as fully as if the term “</w:t>
            </w:r>
            <w:r>
              <w:rPr>
                <w:rFonts w:ascii="Times New Roman" w:hAnsi="Times New Roman"/>
                <w:i/>
                <w:caps w:val="false"/>
                <w:smallCaps w:val="false"/>
                <w:sz w:val="20"/>
              </w:rPr>
              <w:t>Administrative Agent</w:t>
            </w:r>
            <w:r>
              <w:rPr>
                <w:rFonts w:ascii="Times New Roman" w:hAnsi="Times New Roman"/>
                <w:caps w:val="false"/>
                <w:smallCaps w:val="false"/>
                <w:sz w:val="20"/>
              </w:rPr>
              <w:t xml:space="preserve">” as used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included the L/C Issuer with respect to such acts or omissions, and (ii) as additionally provided herein with respect to the L/C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 of Credit Fees</w:t>
            </w:r>
            <w:r>
              <w:rPr>
                <w:rFonts w:ascii="Times New Roman" w:hAnsi="Times New Roman"/>
                <w:caps w:val="false"/>
                <w:smallCaps w:val="false"/>
                <w:sz w:val="20"/>
              </w:rPr>
              <w:t>. The Borrower shall pay to the Administrative Agent for the account of each Revolving Lender in accordance with its Applicable Percentage a Letter of Credit fee (the “</w:t>
            </w:r>
            <w:r>
              <w:rPr>
                <w:rFonts w:ascii="Times New Roman" w:hAnsi="Times New Roman"/>
                <w:b/>
                <w:i/>
                <w:caps w:val="false"/>
                <w:smallCaps w:val="false"/>
                <w:sz w:val="20"/>
              </w:rPr>
              <w:t>Letter of Credit Fee</w:t>
            </w:r>
            <w:r>
              <w:rPr>
                <w:rFonts w:ascii="Times New Roman" w:hAnsi="Times New Roman"/>
                <w:caps w:val="false"/>
                <w:smallCaps w:val="false"/>
                <w:sz w:val="20"/>
              </w:rPr>
              <w:t xml:space="preserve">”) for each Letter of Credit equal to the Applicable Rate times the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1.06</w:t>
            </w:r>
            <w:r>
              <w:rPr>
                <w:rFonts w:ascii="Times New Roman" w:hAnsi="Times New Roman"/>
                <w:caps w:val="false"/>
                <w:smallCaps w:val="false"/>
                <w:sz w:val="20"/>
              </w:rPr>
              <w:t>. Letter of Credit Fees shall be (i) payable on the first Business Day following the end of each March, June, September and December, commencing with the first such date to occur after the issuance of such Letter of Credit, on the Maturity Date and thereafter on demand and (ii)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Lenders (other than Defaulting Lenders) holding a majority of the Revolving Commitments, while any Event of Default exists, all Letter of Credit Fees shall accrue at the Default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5"/>
        <w:gridCol w:w="7740"/>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lllllllllllllllllllllllllllllllllllllll.</w:t>
            </w:r>
          </w:p>
        </w:tc>
        <w:tc>
          <w:tcPr>
            <w:tcW w:w="7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Fronting Fee and Documentary and Processing Charges Payable to L/C Issuer</w:t>
            </w:r>
            <w:r>
              <w:rPr>
                <w:rFonts w:ascii="Times New Roman" w:hAnsi="Times New Roman"/>
                <w:caps w:val="false"/>
                <w:smallCaps w:val="false"/>
                <w:sz w:val="20"/>
              </w:rPr>
              <w:t xml:space="preserve">. The Borrower shall pay directly to the L/C Issuer for its own account a fronting fee with respect to each Letter of Credit, at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percentage separately agreed upon between the Borrower and the L/C Issuer, computed on the daily amount available to be drawn under such Letter of Credit on a quarterly basis in arrears. Such fronting fee shall be due and payable no later than the tenth Business Day after the end of each March, June, September and December in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1.06</w:t>
            </w:r>
            <w:r>
              <w:rPr>
                <w:rFonts w:ascii="Times New Roman" w:hAnsi="Times New Roman"/>
                <w:caps w:val="false"/>
                <w:smallCaps w:val="false"/>
                <w:sz w:val="20"/>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915"/>
        <w:gridCol w:w="4230"/>
      </w:tblGrid>
      <w:tr>
        <w:trPr/>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mmmmmmmmmmmmmmmmmmmmmmmmmmmmmmmmmmmmmmm.</w:t>
            </w:r>
          </w:p>
        </w:tc>
        <w:tc>
          <w:tcPr>
            <w:tcW w:w="4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Disbursement Procedures</w:t>
            </w:r>
            <w:r>
              <w:rPr>
                <w:rFonts w:ascii="Times New Roman" w:hAnsi="Times New Roman"/>
                <w:caps w:val="false"/>
                <w:smallCaps w:val="false"/>
                <w:sz w:val="20"/>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hAnsi="Times New Roman"/>
                <w:i/>
                <w:caps w:val="false"/>
                <w:smallCaps w:val="false"/>
                <w:sz w:val="20"/>
              </w:rPr>
              <w:t>provided</w:t>
            </w:r>
            <w:r>
              <w:rPr>
                <w:rFonts w:ascii="Times New Roman" w:hAnsi="Times New Roman"/>
                <w:caps w:val="false"/>
                <w:smallCaps w:val="false"/>
                <w:sz w:val="20"/>
              </w:rPr>
              <w:t> that any failure to give or delay in giving such notice shall not relieve the Borrower of its obligation to reimburse the L/C Issuer and the Lenders with respect to any such L/C Disbursement.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nnnnnnnnnnnnnnnnnnnnnnnnnnnnnnnnnnnnnnn.</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Interim Interest</w:t>
            </w:r>
            <w:r>
              <w:rPr>
                <w:rFonts w:ascii="Times New Roman" w:hAnsi="Times New Roman"/>
                <w:caps w:val="false"/>
                <w:smallCaps w:val="false"/>
                <w:sz w:val="20"/>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w:t>
            </w:r>
            <w:r>
              <w:rPr>
                <w:rFonts w:ascii="Times New Roman" w:hAnsi="Times New Roman"/>
                <w:i/>
                <w:caps w:val="false"/>
                <w:smallCaps w:val="false"/>
                <w:sz w:val="20"/>
              </w:rPr>
              <w:t>per annum</w:t>
            </w:r>
            <w:r>
              <w:rPr>
                <w:rFonts w:ascii="Times New Roman" w:hAnsi="Times New Roman"/>
                <w:caps w:val="false"/>
                <w:smallCaps w:val="false"/>
                <w:sz w:val="20"/>
              </w:rPr>
              <w:t xml:space="preserve"> then applicable to Base Rate Loans;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Borrower fails to reimburse such L/C Disbursement when due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 xml:space="preserve">, then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2.08(b)</w:t>
            </w:r>
            <w:r>
              <w:rPr>
                <w:rFonts w:ascii="Times New Roman" w:hAnsi="Times New Roman"/>
                <w:caps w:val="false"/>
                <w:smallCaps w:val="false"/>
                <w:sz w:val="20"/>
              </w:rPr>
              <w:t xml:space="preserve"> shall apply. Interest accrued pursuant to this </w:t>
            </w:r>
            <w:r>
              <w:rPr>
                <w:rFonts w:ascii="Times New Roman" w:hAnsi="Times New Roman"/>
                <w:b/>
                <w:i/>
                <w:caps w:val="false"/>
                <w:smallCaps w:val="false"/>
                <w:sz w:val="20"/>
              </w:rPr>
              <w:t>subsection</w:t>
            </w:r>
            <w:r>
              <w:rPr>
                <w:rFonts w:ascii="Times New Roman" w:hAnsi="Times New Roman"/>
                <w:caps w:val="false"/>
                <w:smallCaps w:val="false"/>
                <w:sz w:val="20"/>
              </w:rPr>
              <w:t xml:space="preserve"> shall be for account of the L/C Issuer, except that interest accrued on and after the date of payment by any Lender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2.03(f)</w:t>
            </w:r>
            <w:r>
              <w:rPr>
                <w:rFonts w:ascii="Times New Roman" w:hAnsi="Times New Roman"/>
                <w:caps w:val="false"/>
                <w:smallCaps w:val="false"/>
                <w:sz w:val="20"/>
              </w:rPr>
              <w:t> to reimburse the L/C Issuer shall be for account of such Lender to the extent of such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ooooooooooooooooooooooooooooooooooooooo.</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Replacement of the L/C Issuer</w:t>
            </w:r>
            <w:r>
              <w:rPr>
                <w:rFonts w:ascii="Times New Roman" w:hAnsi="Times New Roman"/>
                <w:caps w:val="false"/>
                <w:smallCaps w:val="false"/>
                <w:sz w:val="20"/>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2.03(m)</w:t>
            </w:r>
            <w:r>
              <w:rPr>
                <w:rFonts w:ascii="Times New Roman" w:hAnsi="Times New Roman"/>
                <w:caps w:val="false"/>
                <w:smallCaps w:val="false"/>
                <w:sz w:val="20"/>
              </w:rPr>
              <w:t>. From and after the effective date of any such replacement, (i) the successor L/C Issuer shall have all the rights and obligations of an L/C Issuer under this Agreement with respect to Letters of Credit to be issued by it thereafter and (ii) references herein to the term “</w:t>
            </w:r>
            <w:r>
              <w:rPr>
                <w:rFonts w:ascii="Times New Roman" w:hAnsi="Times New Roman"/>
                <w:i/>
                <w:caps w:val="false"/>
                <w:smallCaps w:val="false"/>
                <w:sz w:val="20"/>
              </w:rPr>
              <w:t>L/C Issuer</w:t>
            </w:r>
            <w:r>
              <w:rPr>
                <w:rFonts w:ascii="Times New Roman" w:hAnsi="Times New Roman"/>
                <w:caps w:val="false"/>
                <w:smallCaps w:val="false"/>
                <w:sz w:val="20"/>
              </w:rPr>
              <w:t>”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4160"/>
        <w:gridCol w:w="1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ppppppppppppppppppppppppppppppppppppppp.</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Collateralization</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Event of Default shall occur and be continuing, on the Business Day that the Borrower receives notice from the Administrative Agent or the Lenders holding a majority of the Revolving Commitments (or, if the maturity of the Loans has been accelerated, Revolving Lenders with L/C Obligations representing at least 66-2/3% of the total L/C Obligations) demanding the deposit of Cash Collateral pursuant to this </w:t>
            </w:r>
            <w:r>
              <w:rPr>
                <w:rFonts w:ascii="Times New Roman" w:hAnsi="Times New Roman"/>
                <w:b/>
                <w:i/>
                <w:caps w:val="false"/>
                <w:smallCaps w:val="false"/>
                <w:sz w:val="20"/>
              </w:rPr>
              <w:t>subsection</w:t>
            </w:r>
            <w:r>
              <w:rPr>
                <w:rFonts w:ascii="Times New Roman" w:hAnsi="Times New Roman"/>
                <w:caps w:val="false"/>
                <w:smallCaps w:val="false"/>
                <w:sz w:val="20"/>
              </w:rPr>
              <w:t>, the Borrower shall immediately deposit into an account established and maintained on the books and records of the Administrative Agent (the “</w:t>
            </w:r>
            <w:r>
              <w:rPr>
                <w:rFonts w:ascii="Times New Roman" w:hAnsi="Times New Roman"/>
                <w:b/>
                <w:i/>
                <w:caps w:val="false"/>
                <w:smallCaps w:val="false"/>
                <w:sz w:val="20"/>
              </w:rPr>
              <w:t>Collateral Account</w:t>
            </w:r>
            <w:r>
              <w:rPr>
                <w:rFonts w:ascii="Times New Roman" w:hAnsi="Times New Roman"/>
                <w:caps w:val="false"/>
                <w:smallCaps w:val="false"/>
                <w:sz w:val="20"/>
              </w:rPr>
              <w:t>”) an amount in cash equal to 105% of the total L/C Obligations as of such date </w:t>
            </w:r>
            <w:r>
              <w:rPr>
                <w:rFonts w:ascii="Times New Roman" w:hAnsi="Times New Roman"/>
                <w:i/>
                <w:caps w:val="false"/>
                <w:smallCaps w:val="false"/>
                <w:sz w:val="20"/>
              </w:rPr>
              <w:t>plus</w:t>
            </w:r>
            <w:r>
              <w:rPr>
                <w:rFonts w:ascii="Times New Roman" w:hAnsi="Times New Roman"/>
                <w:caps w:val="false"/>
                <w:smallCaps w:val="false"/>
                <w:sz w:val="20"/>
              </w:rPr>
              <w:t xml:space="preserve">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8.01(f)</w:t>
            </w:r>
            <w:r>
              <w:rPr>
                <w:rFonts w:ascii="Times New Roman" w:hAnsi="Times New Roman"/>
                <w:caps w:val="false"/>
                <w:smallCaps w:val="false"/>
                <w:sz w:val="20"/>
              </w:rPr>
              <w:t xml:space="preserve">. Such deposit shall be held by the Administrative Agent as collateral for the payment and performance of the obligations of the Borrower under this Agreement. In addition, and without limiting the foregoing or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2.03(d)</w:t>
            </w:r>
            <w:r>
              <w:rPr>
                <w:rFonts w:ascii="Times New Roman" w:hAnsi="Times New Roman"/>
                <w:caps w:val="false"/>
                <w:smallCaps w:val="false"/>
                <w:sz w:val="20"/>
              </w:rPr>
              <w:t xml:space="preserve">, if any L/C Obligations remain outstanding after the expiration date specified in said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2.03(d)</w:t>
            </w:r>
            <w:r>
              <w:rPr>
                <w:rFonts w:ascii="Times New Roman" w:hAnsi="Times New Roman"/>
                <w:caps w:val="false"/>
                <w:smallCaps w:val="false"/>
                <w:sz w:val="20"/>
              </w:rPr>
              <w:t>, the Borrower shall immediately deposit into the Collateral Account an amount in cash equal to 105% of such L/C Obligations as of such date </w:t>
            </w:r>
            <w:r>
              <w:rPr>
                <w:rFonts w:ascii="Times New Roman" w:hAnsi="Times New Roman"/>
                <w:i/>
                <w:caps w:val="false"/>
                <w:smallCaps w:val="false"/>
                <w:sz w:val="20"/>
              </w:rPr>
              <w:t>plus</w:t>
            </w:r>
            <w:r>
              <w:rPr>
                <w:rFonts w:ascii="Times New Roman" w:hAnsi="Times New Roman"/>
                <w:caps w:val="false"/>
                <w:smallCaps w:val="false"/>
                <w:sz w:val="20"/>
              </w:rPr>
              <w:t> any accrued and unpaid interest thereon.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qqqqqqqqqqqqqqqqqqqqqqqqqqqqqqqqqqqqqqq.</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Letters of Credit Issued for Subsidiaries</w:t>
            </w:r>
            <w:r>
              <w:rPr>
                <w:rFonts w:ascii="Times New Roman" w:hAnsi="Times New Roman"/>
                <w:caps w:val="false"/>
                <w:smallCaps w:val="false"/>
                <w:sz w:val="20"/>
              </w:rPr>
              <w:t>. Notwithstanding that a Letter of Credit issued or outstanding hereunder is in support of any obligations of, or is for the account of, a Loan Party, the Borrower shall be obligated to reimburse, indemnify and compensate the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Loan Parties inures to the benefit of the Borrower, and that the Borrower’s business derives substantial benefits from the businesses of such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5"/>
        <w:gridCol w:w="7740"/>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rrrrrrrrrrrrrrrrrrrrrrrrrrrrrrrrrrrrrrr.</w:t>
            </w:r>
          </w:p>
        </w:tc>
        <w:tc>
          <w:tcPr>
            <w:tcW w:w="7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Conflict with Issuer Documents</w:t>
            </w:r>
            <w:r>
              <w:rPr>
                <w:rFonts w:ascii="Times New Roman" w:hAnsi="Times New Roman"/>
                <w:caps w:val="false"/>
                <w:smallCaps w:val="false"/>
                <w:sz w:val="20"/>
              </w:rPr>
              <w:t>. In the event of any conflict between the terms hereof and the terms of any Issuer Document, the terms hereof shall control.</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Swingline Loans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Swingline</w:t>
            </w:r>
            <w:r>
              <w:rPr>
                <w:rFonts w:ascii="Times New Roman" w:hAnsi="Times New Roman"/>
                <w:caps w:val="false"/>
                <w:smallCaps w:val="false"/>
                <w:sz w:val="20"/>
              </w:rPr>
              <w:t xml:space="preserve">. Subject to the terms and conditions set forth herein, the Swingline Lender, in reliance upon the agreements of the other Lenders set forth in this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2.04</w:t>
            </w:r>
            <w:r>
              <w:rPr>
                <w:rFonts w:ascii="Times New Roman" w:hAnsi="Times New Roman"/>
                <w:caps w:val="false"/>
                <w:smallCaps w:val="false"/>
                <w:sz w:val="20"/>
              </w:rPr>
              <w:t>, may in its sole discretion make loans to the Borrower (each such loan, a “</w:t>
            </w:r>
            <w:r>
              <w:rPr>
                <w:rFonts w:ascii="Times New Roman" w:hAnsi="Times New Roman"/>
                <w:b/>
                <w:i/>
                <w:caps w:val="false"/>
                <w:smallCaps w:val="false"/>
                <w:sz w:val="20"/>
              </w:rPr>
              <w:t>Swingline Loan</w:t>
            </w:r>
            <w:r>
              <w:rPr>
                <w:rFonts w:ascii="Times New Roman" w:hAnsi="Times New Roman"/>
                <w:caps w:val="false"/>
                <w:smallCaps w:val="false"/>
                <w:sz w:val="20"/>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 after giving effect to any Swingline Loan, (A) the Total Revolving Outstandings shall not exceed the Revolving Facility at such time, (B) the Revolving Exposure of any Revolving Lender at such time shall not exceed such Lender’s Revolving Commitment and (C) the aggregate amount of all Swingline Loans outstanding shall not exceed the Swingline Commitment of the Swingline Lender,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w:t>
            </w:r>
            <w:r>
              <w:rPr>
                <w:rFonts w:ascii="Times New Roman" w:hAnsi="Times New Roman"/>
                <w:caps w:val="false"/>
                <w:smallCaps w:val="false"/>
                <w:sz w:val="20"/>
              </w:rPr>
              <w:t xml:space="preserve">, prepay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w:t>
            </w:r>
            <w:r>
              <w:rPr>
                <w:rFonts w:ascii="Times New Roman" w:hAnsi="Times New Roman"/>
                <w:caps w:val="false"/>
                <w:smallCaps w:val="false"/>
                <w:sz w:val="20"/>
              </w:rPr>
              <w:t xml:space="preserve">, and reborrow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w:t>
            </w:r>
            <w:r>
              <w:rPr>
                <w:rFonts w:ascii="Times New Roman" w:hAnsi="Times New Roman"/>
                <w:caps w:val="false"/>
                <w:smallCaps w:val="false"/>
                <w:sz w:val="20"/>
              </w:rPr>
              <w:t>. Each Swingline Loan shall bear interest only at a rate based on the Base Rate </w:t>
            </w:r>
            <w:r>
              <w:rPr>
                <w:rFonts w:ascii="Times New Roman" w:hAnsi="Times New Roman"/>
                <w:i/>
                <w:caps w:val="false"/>
                <w:smallCaps w:val="false"/>
                <w:sz w:val="20"/>
              </w:rPr>
              <w:t>plus</w:t>
            </w:r>
            <w:r>
              <w:rPr>
                <w:rFonts w:ascii="Times New Roman" w:hAnsi="Times New Roman"/>
                <w:caps w:val="false"/>
                <w:smallCaps w:val="false"/>
                <w:sz w:val="20"/>
              </w:rPr>
              <w:t>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Borrowing Procedures</w:t>
            </w:r>
            <w:r>
              <w:rPr>
                <w:rFonts w:ascii="Times New Roman" w:hAnsi="Times New Roman"/>
                <w:caps w:val="false"/>
                <w:smallCaps w:val="false"/>
                <w:sz w:val="20"/>
              </w:rPr>
              <w:t xml:space="preserve">. Each Borrowing of Swingline Loans shall be made upon the Borrower’s irrevocable notice to the Swingline Lender and the Administrative Agent, which may be given by: (i) telephone or (ii) a Swingline Loan Notice;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rate,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Borrowing (1) directing the Swingline Lender not to make such Swingline Loan as a result of the limitations set forth in the first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to the first sentence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2.04(a)</w:t>
            </w:r>
            <w:r>
              <w:rPr>
                <w:rFonts w:ascii="Times New Roman" w:hAnsi="Times New Roman"/>
                <w:caps w:val="false"/>
                <w:smallCaps w:val="false"/>
                <w:sz w:val="20"/>
              </w:rPr>
              <w:t xml:space="preserve">, or (2) that one (1) or more of the applicable conditions specified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is not then satisfied, then, subject to the terms and conditions hereof, the Swingline Lender may, make the amount of its Swingline Loan available to the Borrower at its office by crediting the account of the Borrower on the books of the Swingline Lender in immediately available funds.</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55"/>
        <w:gridCol w:w="273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Refinancing of Swingline Loans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Swingline Lender at any time in its sole discretion may request, on behalf of the Borrower (which hereby irrevocably authorizes the Swingline Lender to so request on its behalf), that each Revolving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without regard to the minimum and multiples specified therein for the principal amount of Base Rate Loans, but subject to the unutilized portion of the Revolving Facility and the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xml:space="preserve">. The Swingline Lender shall furnish the Borrower with a copy of the applicable Loan Notice promptly after delivering such notice to the Administrative Agent. Each Revolving Lender shall make an amount equal to its Applicable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2.04(c)(ii)</w:t>
            </w:r>
            <w:r>
              <w:rPr>
                <w:rFonts w:ascii="Times New Roman" w:hAnsi="Times New Roman"/>
                <w:caps w:val="false"/>
                <w:smallCaps w:val="false"/>
                <w:sz w:val="20"/>
              </w:rPr>
              <w:t>, each Revolving Lender that so makes funds available shall be deemed to have made a Base Rate Loan to the Borrower in such amount. The Administrative Agent shall remit the funds so received to the Swingline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the foregoing, if for any reason any Swingline Loan cannot be refinanced by such a Borrowing of Revolving Loans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2.04(c)(i)</w:t>
            </w:r>
            <w:r>
              <w:rPr>
                <w:rFonts w:ascii="Times New Roman" w:hAnsi="Times New Roman"/>
                <w:caps w:val="false"/>
                <w:smallCaps w:val="false"/>
                <w:sz w:val="20"/>
              </w:rPr>
              <w:t xml:space="preserve"> (including, without limitation, the failure to satisfy the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2.04(c)(i)</w:t>
            </w:r>
            <w:r>
              <w:rPr>
                <w:rFonts w:ascii="Times New Roman" w:hAnsi="Times New Roman"/>
                <w:caps w:val="false"/>
                <w:smallCaps w:val="false"/>
                <w:sz w:val="20"/>
              </w:rPr>
              <w:t> shall be deemed payment in respect of such participation.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Revolving Lender fails to make available to the Administrative Agent for the account of the Swingline Lender any amount required to be paid by such Lender pursuant to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w:t>
            </w:r>
            <w:r>
              <w:rPr>
                <w:rFonts w:ascii="Times New Roman" w:hAnsi="Times New Roman"/>
                <w:caps w:val="false"/>
                <w:smallCaps w:val="false"/>
                <w:sz w:val="20"/>
              </w:rPr>
              <w:t xml:space="preserve"> by the time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2.04(c)(i)</w:t>
            </w:r>
            <w:r>
              <w:rPr>
                <w:rFonts w:ascii="Times New Roman" w:hAnsi="Times New Roman"/>
                <w:caps w:val="false"/>
                <w:smallCaps w:val="false"/>
                <w:sz w:val="20"/>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w:t>
            </w:r>
            <w:r>
              <w:rPr>
                <w:rFonts w:ascii="Times New Roman" w:hAnsi="Times New Roman"/>
                <w:i/>
                <w:caps w:val="false"/>
                <w:smallCaps w:val="false"/>
                <w:sz w:val="20"/>
              </w:rPr>
              <w:t>per annum</w:t>
            </w:r>
            <w:r>
              <w:rPr>
                <w:rFonts w:ascii="Times New Roman" w:hAnsi="Times New Roman"/>
                <w:caps w:val="false"/>
                <w:smallCaps w:val="false"/>
                <w:sz w:val="20"/>
              </w:rPr>
              <w:t> equal to the greater of the Federal Funds Rate and a rate determined by the Swingline Lender in accordance with banking industry rules on interbank compensation, </w:t>
            </w:r>
            <w:r>
              <w:rPr>
                <w:rFonts w:ascii="Times New Roman" w:hAnsi="Times New Roman"/>
                <w:i/>
                <w:caps w:val="false"/>
                <w:smallCaps w:val="false"/>
                <w:sz w:val="20"/>
              </w:rPr>
              <w:t>plus</w:t>
            </w:r>
            <w:r>
              <w:rPr>
                <w:rFonts w:ascii="Times New Roman" w:hAnsi="Times New Roman"/>
                <w:caps w:val="false"/>
                <w:smallCaps w:val="false"/>
                <w:sz w:val="20"/>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Borrowing or funded participation in the relevant Swingline Loan, as the case may be. A certificate of the Swingline Lender submitted to any Lender (through the Administrative Agent) with respect to any amounts owing under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(c)(iii)</w:t>
            </w:r>
            <w:r>
              <w:rPr>
                <w:rFonts w:ascii="Times New Roman" w:hAnsi="Times New Roman"/>
                <w:caps w:val="false"/>
                <w:smallCaps w:val="false"/>
                <w:sz w:val="20"/>
              </w:rPr>
              <w:t> shall be conclusive absent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Revolving Lender’s obligation to make Revolving Loans or to purchase and fund risk participations in Swingline Loans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w:t>
            </w:r>
            <w:r>
              <w:rPr>
                <w:rFonts w:ascii="Times New Roman" w:hAnsi="Times New Roman"/>
                <w:caps w:val="false"/>
                <w:smallCaps w:val="false"/>
                <w:sz w:val="20"/>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each Revolving Lender’s obligation to make Revolving Loans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w:t>
            </w:r>
            <w:r>
              <w:rPr>
                <w:rFonts w:ascii="Times New Roman" w:hAnsi="Times New Roman"/>
                <w:caps w:val="false"/>
                <w:smallCaps w:val="false"/>
                <w:sz w:val="20"/>
              </w:rPr>
              <w:t xml:space="preserve"> is subject to the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(other than delivery by the Borrower of a Loan Notice). No such funding of risk participations shall relieve or otherwise impair the obligation of the Borrower to repay Swingline Loans, together with interest as provided herein.</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70"/>
        <w:gridCol w:w="2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Repayment of Participations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payment received by the Swingline Lender in respect of principal or interest on any Swingline Loan is required to be returned by the Swingline Lender under any of the circumstances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11.05</w:t>
            </w:r>
            <w:r>
              <w:rPr>
                <w:rFonts w:ascii="Times New Roman" w:hAnsi="Times New Roman"/>
                <w:caps w:val="false"/>
                <w:smallCaps w:val="false"/>
                <w:sz w:val="20"/>
              </w:rPr>
              <w:t> (including pursuant to any settlement entered into by the Swingline Lender in its discretion), each Revolving Lender shall pay to the Swingline Lender its Applicable Percentage thereof on demand of the Administrative Agent, </w:t>
            </w:r>
            <w:r>
              <w:rPr>
                <w:rFonts w:ascii="Times New Roman" w:hAnsi="Times New Roman"/>
                <w:i/>
                <w:caps w:val="false"/>
                <w:smallCaps w:val="false"/>
                <w:sz w:val="20"/>
              </w:rPr>
              <w:t>plus</w:t>
            </w:r>
            <w:r>
              <w:rPr>
                <w:rFonts w:ascii="Times New Roman" w:hAnsi="Times New Roman"/>
                <w:caps w:val="false"/>
                <w:smallCaps w:val="false"/>
                <w:sz w:val="20"/>
              </w:rPr>
              <w:t xml:space="preserve"> interest thereon from the date of such demand to the date such amount is returned, at a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Federal Funds Rate. The Administrative Agent will make such demand upon the request of the Swingline Lender. The obligations of the Lenders under this </w:t>
            </w:r>
            <w:r>
              <w:rPr>
                <w:rFonts w:ascii="Times New Roman" w:hAnsi="Times New Roman"/>
                <w:b/>
                <w:i/>
                <w:caps w:val="false"/>
                <w:smallCaps w:val="false"/>
                <w:sz w:val="20"/>
              </w:rPr>
              <w:t>clause</w:t>
            </w:r>
            <w:r>
              <w:rPr>
                <w:rFonts w:ascii="Times New Roman" w:hAnsi="Times New Roman"/>
                <w:caps w:val="false"/>
                <w:smallCaps w:val="false"/>
                <w:sz w:val="20"/>
              </w:rPr>
              <w:t> shall survive the payment in full of the Obligations and the termination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for Account of Swingline Lender</w:t>
            </w:r>
            <w:r>
              <w:rPr>
                <w:rFonts w:ascii="Times New Roman" w:hAnsi="Times New Roman"/>
                <w:caps w:val="false"/>
                <w:smallCaps w:val="false"/>
                <w:sz w:val="20"/>
              </w:rPr>
              <w:t xml:space="preserve">. The Swingline Lender shall be responsible for invoicing the Borrower for interest on the Swingline Loans. Until each Revolving Lender funds its Base Rate Loan or risk participation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w:t>
            </w:r>
            <w:r>
              <w:rPr>
                <w:rFonts w:ascii="Times New Roman" w:hAnsi="Times New Roman"/>
                <w:caps w:val="false"/>
                <w:smallCaps w:val="false"/>
                <w:sz w:val="20"/>
              </w:rPr>
              <w:t> to refinance such Revolving Lender’s Applicable Percentage of any Swingline Loan, interest in respect of such Applicable Percentage shall be solely for the account of the Swingline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Directly to Swingline Lender</w:t>
            </w:r>
            <w:r>
              <w:rPr>
                <w:rFonts w:ascii="Times New Roman" w:hAnsi="Times New Roman"/>
                <w:caps w:val="false"/>
                <w:smallCaps w:val="false"/>
                <w:sz w:val="20"/>
              </w:rPr>
              <w:t>. The Borrower shall make all payments of principal and interest in respect of the Swingline Loans directly to the Swingline Lender.</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170"/>
        <w:gridCol w:w="1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Prepayments</w:t>
            </w:r>
            <w:r>
              <w:rPr>
                <w:rFonts w:ascii="Times New Roman" w:hAnsi="Times New Roman"/>
                <w:caps w:val="false"/>
                <w:smallCaps w:val="false"/>
                <w:sz w:val="20"/>
              </w:rPr>
              <w:t>.</w:t>
            </w:r>
          </w:p>
        </w:tc>
      </w:tr>
    </w:tbl>
    <w:tbl>
      <w:tblPr>
        <w:tblW w:w="1030" w:type="dxa"/>
        <w:jc w:val="left"/>
        <w:tblInd w:w="0" w:type="dxa"/>
        <w:tblLayout w:type="fixed"/>
        <w:tblCellMar>
          <w:top w:w="0" w:type="dxa"/>
          <w:left w:w="0" w:type="dxa"/>
          <w:bottom w:w="0" w:type="dxa"/>
          <w:right w:w="0" w:type="dxa"/>
        </w:tblCellMar>
      </w:tblPr>
      <w:tblGrid>
        <w:gridCol w:w="60"/>
        <w:gridCol w:w="155"/>
        <w:gridCol w:w="81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Optional</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Revolving Loans and Term Loans</w:t>
            </w:r>
            <w:r>
              <w:rPr>
                <w:rFonts w:ascii="Times New Roman" w:hAnsi="Times New Roman"/>
                <w:caps w:val="false"/>
                <w:smallCaps w:val="false"/>
                <w:sz w:val="20"/>
              </w:rPr>
              <w:t xml:space="preserve">. The Borrower may, upon notice to the Administrative Agent pursuant to delivery to the Administrative Agent of a Notice of Loan Prepayment, at any time or from time to time voluntarily prepay Term Loans and Revolving Loans in whole or in part without premium or penalty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3.05</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unless otherwise agreed by the Administrative Agent, (A) such notice must be received by the Administrative Agent not later than 11:00 a.m. (1) two (2) Business Days prior to any date of prepayment of Term SOFR Loans and (2) on the date of prepayment of Base Rate Loans; (B) any prepayment of Term SOFR Loans shall be in a principal amount of $5,000,000 or a whole multiple of $1,000,000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3.05</w:t>
            </w:r>
            <w:r>
              <w:rPr>
                <w:rFonts w:ascii="Times New Roman" w:hAnsi="Times New Roman"/>
                <w:caps w:val="false"/>
                <w:smallCaps w:val="false"/>
                <w:sz w:val="20"/>
              </w:rPr>
              <w:t xml:space="preserve">. Each prepayment of the outstanding Term Loans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2.05(a)</w:t>
            </w:r>
            <w:r>
              <w:rPr>
                <w:rFonts w:ascii="Times New Roman" w:hAnsi="Times New Roman"/>
                <w:caps w:val="false"/>
                <w:smallCaps w:val="false"/>
                <w:sz w:val="20"/>
              </w:rPr>
              <w:t xml:space="preserve"> shall be applied to the principal repayment installments thereof on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(including the required payment on the Maturity Date).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w:t>
            </w:r>
            <w:r>
              <w:rPr>
                <w:rFonts w:ascii="Times New Roman" w:hAnsi="Times New Roman"/>
                <w:caps w:val="false"/>
                <w:smallCaps w:val="false"/>
                <w:sz w:val="20"/>
              </w:rPr>
              <w:t>, such prepayments shall be paid to the Lenders in accordance with their respective Applicable Percentages in respect of each of the relevant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Swingline Loans</w:t>
            </w:r>
            <w:r>
              <w:rPr>
                <w:rFonts w:ascii="Times New Roman" w:hAnsi="Times New Roman"/>
                <w:caps w:val="false"/>
                <w:smallCaps w:val="false"/>
                <w:sz w:val="20"/>
              </w:rPr>
              <w:t xml:space="preserve">. 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hAnsi="Times New Roman"/>
                <w:i/>
                <w:caps w:val="false"/>
                <w:smallCaps w:val="false"/>
                <w:sz w:val="20"/>
              </w:rPr>
              <w:t>provided</w:t>
            </w:r>
            <w:r>
              <w:rPr>
                <w:rFonts w:ascii="Times New Roman" w:hAnsi="Times New Roman"/>
                <w:caps w:val="false"/>
                <w:smallCaps w:val="false"/>
                <w:sz w:val="20"/>
              </w:rPr>
              <w:t>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170"/>
        <w:gridCol w:w="1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Mandatory</w:t>
            </w:r>
            <w:r>
              <w:rPr>
                <w:rFonts w:ascii="Times New Roman" w:hAnsi="Times New Roman"/>
                <w:caps w:val="false"/>
                <w:smallCaps w:val="false"/>
                <w:sz w:val="20"/>
              </w:rPr>
              <w:t>.</w:t>
            </w:r>
          </w:p>
        </w:tc>
      </w:tr>
    </w:tbl>
    <w:tbl>
      <w:tblPr>
        <w:tblW w:w="1150" w:type="dxa"/>
        <w:jc w:val="left"/>
        <w:tblInd w:w="0" w:type="dxa"/>
        <w:tblLayout w:type="fixed"/>
        <w:tblCellMar>
          <w:top w:w="0" w:type="dxa"/>
          <w:left w:w="0" w:type="dxa"/>
          <w:bottom w:w="0" w:type="dxa"/>
          <w:right w:w="0" w:type="dxa"/>
        </w:tblCellMar>
      </w:tblPr>
      <w:tblGrid>
        <w:gridCol w:w="60"/>
        <w:gridCol w:w="125"/>
        <w:gridCol w:w="9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Dispositions and Recovery Events</w:t>
            </w:r>
            <w:r>
              <w:rPr>
                <w:rFonts w:ascii="Times New Roman" w:hAnsi="Times New Roman"/>
                <w:caps w:val="false"/>
                <w:smallCaps w:val="false"/>
                <w:sz w:val="20"/>
              </w:rPr>
              <w:t xml:space="preserve">. The Borrower shall prepay the Loans and/or Cash Collateralize the L/C Obligations as hereinafter provided in an aggregate amount equal to 100% of the Net Cash Proceeds received by any Loan Party or any Subsidiary from all Dispositions (other than Permitted Transfers) and Recovery Events within five (5) Business Days of the date of such Disposition or Recovery Event;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so long as no Default shall have occurred and be continuing, such Net Cash Proceeds shall not be required to be so applied (A) until the aggregate amount of the Net Cash Proceeds derived from any such Disposition or Recovery Event in any Fiscal Year of the Borrower is equal to or greater than $500,000 and (B) at the election of the Borrower (as notified by the Borrower to the Administrative Agent) to the extent such Loan Party or such Subsidiary reinvests all or any portion of such Net Cash Proceeds in operating assets (but specifically excluding current assets as classified by GAAP) within one hundred eighty (180) days after the receipt of such Net Cash Proceeds and, if committed to be reinvested within such one hundred eighty (180) day period, actually reinvested in assets (excluding current assets as classified in accordance with GAAP) within three hundred sixty-five (three hundred sixty-five (365)) days (or such longer period as the Required Lenders may agree in writing) after the date of receipt of such Net Cash Proceeds; </w:t>
            </w:r>
            <w:r>
              <w:rPr>
                <w:rFonts w:ascii="Times New Roman" w:hAnsi="Times New Roman"/>
                <w:i/>
                <w:caps w:val="false"/>
                <w:smallCaps w:val="false"/>
                <w:sz w:val="20"/>
              </w:rPr>
              <w:t>provided</w:t>
            </w:r>
            <w:r>
              <w:rPr>
                <w:rFonts w:ascii="Times New Roman" w:hAnsi="Times New Roman"/>
                <w:caps w:val="false"/>
                <w:smallCaps w:val="false"/>
                <w:sz w:val="20"/>
              </w:rPr>
              <w:t> that, if such Net Cash Proceeds shall have not been so reinvested, such Net Cash Proceeds shall be immediately applied to prepay the Loans and/or Cash Collateralize the L/C Obligations.</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245"/>
        <w:gridCol w:w="9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Debt Issuance</w:t>
            </w:r>
            <w:r>
              <w:rPr>
                <w:rFonts w:ascii="Times New Roman" w:hAnsi="Times New Roman"/>
                <w:caps w:val="false"/>
                <w:smallCaps w:val="false"/>
                <w:sz w:val="20"/>
              </w:rPr>
              <w:t>. Immediately upon the receipt by any Loan Party or any Subsidiary of the Net Cash Proceeds of any Debt Issuance, the Borrower shall prepay the Loans and/or Cash Collateralize the L/C Obligations as hereinafter provided in an aggregate amount equal to 100% of such Net Cash Proceeds.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Extraordinary Receipts</w:t>
            </w:r>
            <w:r>
              <w:rPr>
                <w:rFonts w:ascii="Times New Roman" w:hAnsi="Times New Roman"/>
                <w:caps w:val="false"/>
                <w:smallCaps w:val="false"/>
                <w:sz w:val="20"/>
              </w:rPr>
              <w:t xml:space="preserve">. Immediately upon receipt by any Loan Party or any Subsidiary of any Extraordinary Receipt received by or paid to or for the account of any Loan Party or any of its Subsidiaries, and not otherwise included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the Borrower shall prepay the Loans and/or Cash Collateralize the L/C Obligations as hereinafter provided in an aggregate principal amount equal to 100% of all Net Cash Proceeds received therefrom.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Payments</w:t>
            </w:r>
            <w:r>
              <w:rPr>
                <w:rFonts w:ascii="Times New Roman" w:hAnsi="Times New Roman"/>
                <w:caps w:val="false"/>
                <w:smallCaps w:val="false"/>
                <w:sz w:val="20"/>
              </w:rPr>
              <w:t xml:space="preserve">. Each prepayment of Loans pursuant to the foregoing provisions of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(i)</w:t>
            </w:r>
            <w:r>
              <w:rPr>
                <w:rFonts w:ascii="Times New Roman" w:hAnsi="Times New Roman"/>
                <w:caps w:val="false"/>
                <w:smallCaps w:val="false"/>
                <w:sz w:val="20"/>
              </w:rPr>
              <w:t> through </w:t>
            </w:r>
            <w:r>
              <w:rPr>
                <w:rFonts w:ascii="Times New Roman" w:hAnsi="Times New Roman"/>
                <w:b/>
                <w:i/>
                <w:caps w:val="false"/>
                <w:smallCaps w:val="false"/>
                <w:sz w:val="20"/>
              </w:rPr>
              <w:t>(v)</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xml:space="preserve"> shall be applied, first, to the principal repayment installments of the Term Loan on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for all such principal repayment installments, including, without limitation, the final principal repayment installment on the Maturity Date and, second, to the Revolving Facility in the manner set forth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(viii)</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xml:space="preserv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w:t>
            </w:r>
            <w:r>
              <w:rPr>
                <w:rFonts w:ascii="Times New Roman" w:hAnsi="Times New Roman"/>
                <w:caps w:val="false"/>
                <w:smallCaps w:val="false"/>
                <w:sz w:val="20"/>
              </w:rPr>
              <w:t>, such prepayments shall be paid to the Lenders in accordance with their respective Applicable Percentages in respect of the relevant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9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Revolving Outstandings</w:t>
            </w:r>
            <w:r>
              <w:rPr>
                <w:rFonts w:ascii="Times New Roman" w:hAnsi="Times New Roman"/>
                <w:caps w:val="false"/>
                <w:smallCaps w:val="false"/>
                <w:sz w:val="20"/>
              </w:rPr>
              <w:t xml:space="preserve">. If for any reason the Total Revolving Outstandings at any time exceed the Aggregate Revolving Commitments at such time, the Borrower shall immediately prepay Revolving Loans, Swingline Loans and L/C Borrowings and/or Cash Collateralize the L/C Obligations in an aggregate amount equal to such excess;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Borrower shall not be required to Cash Collateralize the L/C Obligations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2.05(b)(vii)</w:t>
            </w:r>
            <w:r>
              <w:rPr>
                <w:rFonts w:ascii="Times New Roman" w:hAnsi="Times New Roman"/>
                <w:caps w:val="false"/>
                <w:smallCaps w:val="false"/>
                <w:sz w:val="20"/>
              </w:rPr>
              <w:t> unless, after the prepayment of the Revolving Loans and Swingline Loans, the Total Revolving Outstandings exceed the Aggregate Revolving Commitments at such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50"/>
        <w:gridCol w:w="979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9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Other Payments</w:t>
            </w:r>
            <w:r>
              <w:rPr>
                <w:rFonts w:ascii="Times New Roman" w:hAnsi="Times New Roman"/>
                <w:caps w:val="false"/>
                <w:smallCaps w:val="false"/>
                <w:sz w:val="20"/>
              </w:rPr>
              <w:t xml:space="preserve">. Except as otherwise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w:t>
            </w:r>
            <w:r>
              <w:rPr>
                <w:rFonts w:ascii="Times New Roman" w:hAnsi="Times New Roman"/>
                <w:caps w:val="false"/>
                <w:smallCaps w:val="false"/>
                <w:sz w:val="20"/>
              </w:rPr>
              <w:t xml:space="preserve">, prepayments of the Revolving Facility made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first, shall be applied ratably to the L/C Borrowings and the Swingline Loans, second, shall be applied to the outstanding Revolving Loans, and, third, shall be used to Cash Collateralize the remaining L/C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Within the parameters of the applications set forth above, prepayments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xml:space="preserve"> shall be applied first to Base Rate Loans and then to Term SOFR Loans in direct order of Interest Period maturities. All prepayments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xml:space="preserve"> shall be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3.05</w:t>
      </w:r>
      <w:r>
        <w:rPr>
          <w:rFonts w:ascii="Times New Roman" w:hAnsi="Times New Roman"/>
          <w:caps w:val="false"/>
          <w:smallCaps w:val="false"/>
          <w:sz w:val="20"/>
        </w:rPr>
        <w:t>, but otherwise without premium or penalty, and shall be accompanied by interest on the principal amount prepaid through the date of prepayment.</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Termination or Reduction of Commitments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Optional</w:t>
            </w:r>
            <w:r>
              <w:rPr>
                <w:rFonts w:ascii="Times New Roman" w:hAnsi="Times New Roman"/>
                <w:caps w:val="false"/>
                <w:smallCaps w:val="false"/>
                <w:sz w:val="20"/>
              </w:rPr>
              <w:t xml:space="preserve">. The Borrower may, upon notice to the Administrative Agent, terminate the Delayed Draw Term Loan Commitments, the Aggregate Revolving Commitments, the Letter of Credit Sublimit or the Swingline Sublimit, or from time to time permanently reduce the Aggregate Revolving Commitments, the Letter of Credit Sublimit or the Swingline Sublimit; </w:t>
            </w:r>
            <w:r>
              <w:rPr>
                <w:rFonts w:ascii="Times New Roman" w:hAnsi="Times New Roman"/>
                <w:i/>
                <w:caps w:val="false"/>
                <w:smallCaps w:val="false"/>
                <w:sz w:val="20"/>
              </w:rPr>
              <w:t>provided</w:t>
            </w:r>
            <w:r>
              <w:rPr>
                <w:rFonts w:ascii="Times New Roman" w:hAnsi="Times New Roman"/>
                <w:caps w:val="false"/>
                <w:smallCaps w:val="false"/>
                <w:sz w:val="20"/>
              </w:rPr>
              <w:t>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(A) the Aggregate Revolving Commitments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170"/>
        <w:gridCol w:w="1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Mandatory</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Term Commitments shall be automatically and permanently reduced to zero (0) on the date of the Borrowing of the Term Loan.  The portion of Delayed Draw Term Loan Commitments of any Delayed Draw Term Loan Lender shall automatically and permanently terminate upon the funding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after giving effect to any reduction or termination of Revolving Commitments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2.06</w:t>
            </w:r>
            <w:r>
              <w:rPr>
                <w:rFonts w:ascii="Times New Roman" w:hAnsi="Times New Roman"/>
                <w:caps w:val="false"/>
                <w:smallCaps w:val="false"/>
                <w:sz w:val="20"/>
              </w:rPr>
              <w:t>, the Letter of Credit Sublimit or the Swingline Sublimit exceeds the Aggregate Revolving Commitments at such time, the Letter of Credit Sublimit or the Swingline Sublimit, as the case may be, shall be automatically reduced by the amount of such excess.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Commitment Reductions; Payment of Fees</w:t>
            </w:r>
            <w:r>
              <w:rPr>
                <w:rFonts w:ascii="Times New Roman" w:hAnsi="Times New Roman"/>
                <w:caps w:val="false"/>
                <w:smallCaps w:val="false"/>
                <w:sz w:val="20"/>
              </w:rPr>
              <w:t xml:space="preserve">. The Administrative Agent will promptly notify the Lenders of any termination or reduction of the Letter of Credit Sublimit, Swingline Sublimit, the Aggregate Revolving Commitments or the Aggregate Delayed Draw Term Loan Commitments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2.06</w:t>
            </w:r>
            <w:r>
              <w:rPr>
                <w:rFonts w:ascii="Times New Roman" w:hAnsi="Times New Roman"/>
                <w:caps w:val="false"/>
                <w:smallCaps w:val="false"/>
                <w:sz w:val="20"/>
              </w:rPr>
              <w:t>. Upon any reduction of the Aggregate Revolving Commitments, the Revolving Commitment of each Revolving Lender shall be reduced by such Lender’s Applicable Percentage of such reduction. All fees in respect of the Revolving Facility accrued until the effective date of any termination of the Aggregate Revolving Commitments shall be paid on the effective date of such termination. Upon any reduction of the Aggregate Delayed Draw Term Loan Commitments, the Delayed Draw Term Loan Commitment of each Delayed Draw Term Loan Lender shall be reduced by such Lender’s Applicable Percentage of such reduction. All fees in respect of the Delayed Draw Term Loan Facility accrued until the effective date of any termination of the Aggregate Delayed Draw Term Loan Commitments shall be paid on the effective date of such termination.</w:t>
            </w:r>
          </w:p>
        </w:tc>
      </w:tr>
    </w:tbl>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Repayment of Loans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 Loans</w:t>
            </w:r>
            <w:r>
              <w:rPr>
                <w:rFonts w:ascii="Times New Roman" w:hAnsi="Times New Roman"/>
                <w:caps w:val="false"/>
                <w:smallCaps w:val="false"/>
                <w:sz w:val="20"/>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w:t>
            </w:r>
            <w:r>
              <w:rPr>
                <w:rFonts w:ascii="Times New Roman" w:hAnsi="Times New Roman"/>
                <w:caps w:val="false"/>
                <w:smallCaps w:val="false"/>
                <w:sz w:val="20"/>
              </w:rPr>
              <w:t xml:space="preserve"> and increased with respect to any increase to such Term Loan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2.01(b)</w:t>
            </w:r>
            <w:r>
              <w:rPr>
                <w:rFonts w:ascii="Times New Roman" w:hAnsi="Times New Roman"/>
                <w:caps w:val="false"/>
                <w:smallCaps w:val="false"/>
                <w:sz w:val="20"/>
              </w:rPr>
              <w:t xml:space="preserve"> and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2.16</w:t>
            </w:r>
            <w:r>
              <w:rPr>
                <w:rFonts w:ascii="Times New Roman" w:hAnsi="Times New Roman"/>
                <w:caps w:val="false"/>
                <w:smallCaps w:val="false"/>
                <w:sz w:val="20"/>
              </w:rPr>
              <w:t xml:space="preserve">)), unless accelerated sooner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w:t>
            </w:r>
          </w:p>
        </w:tc>
      </w:tr>
    </w:tbl>
    <w:tbl>
      <w:tblPr>
        <w:tblW w:w="4540" w:type="dxa"/>
        <w:jc w:val="left"/>
        <w:tblInd w:w="0" w:type="dxa"/>
        <w:tblLayout w:type="fixed"/>
        <w:tblCellMar>
          <w:top w:w="0" w:type="dxa"/>
          <w:left w:w="0" w:type="dxa"/>
          <w:bottom w:w="28" w:type="dxa"/>
          <w:right w:w="0" w:type="dxa"/>
        </w:tblCellMar>
      </w:tblPr>
      <w:tblGrid>
        <w:gridCol w:w="1640"/>
        <w:gridCol w:w="2900"/>
      </w:tblGrid>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 Dates</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Repayment Installments</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2023</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2023</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2024</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2024</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2024</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2024</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2025</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2025</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2025</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2026</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2026</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2027</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2027</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2027</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2027</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2028</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$1,750,000</w:t>
            </w:r>
          </w:p>
        </w:tc>
      </w:tr>
      <w:tr>
        <w:trPr/>
        <w:tc>
          <w:tcPr>
            <w:tcW w:w="16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Maturity Date</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Remaining Principal Amount</w:t>
            </w:r>
          </w:p>
        </w:tc>
      </w:tr>
      <w:tr>
        <w:trPr/>
        <w:tc>
          <w:tcPr>
            <w:tcW w:w="164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amount of any such payment on the installment dates set forth in the table above shall be automatically adjusted to account for the making of any Delayed Draw Term Loans as follows: from and after the making of any Delayed Draw Term Loan, the Borrower shall make payments on the Term Loans (as increased by such Delayed Draw Term Loans) resulting in quarterly scheduled amortization payments that represent the same percentage as the amortization, expressed as a percentage, that is applicable to the Term Loans (without giving effect to the impact of any mandatory or voluntary prepayments on such scheduled amortization) immediately prior to such Borrowing of Delayed Draw Term Loans (it being understood that, for the avoidance of doubt, no such making of any Delayed Draw Term Loans shall result in a decrease in the amortization applicable to any Term Loans outstanding immediately prior to such Borrowing of Delayed Draw Term Loans), it being understood and agreed that the automatic increase to the installments described in this </w:t>
      </w:r>
      <w:r>
        <w:rPr>
          <w:rFonts w:ascii="Times New Roman" w:hAnsi="Times New Roman"/>
          <w:i/>
          <w:caps w:val="false"/>
          <w:smallCaps w:val="false"/>
          <w:sz w:val="20"/>
        </w:rPr>
        <w:t xml:space="preserve">proviso </w:t>
      </w:r>
      <w:r>
        <w:rPr>
          <w:rFonts w:ascii="Times New Roman" w:hAnsi="Times New Roman"/>
          <w:caps w:val="false"/>
          <w:smallCaps w:val="false"/>
          <w:sz w:val="20"/>
        </w:rPr>
        <w:t>shall not occur until the installment date representing the last day of the first full Fiscal Quarter after the Borrowing of such Delayed Draw Term Loan;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(i) the final principal repayment installment of the Term Loans shall be repaid on the Maturity Date and in any event shall be in an amount equal to the aggregate principal amount of all Term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Revolving Loans</w:t>
            </w:r>
            <w:r>
              <w:rPr>
                <w:rFonts w:ascii="Times New Roman" w:hAnsi="Times New Roman"/>
                <w:caps w:val="false"/>
                <w:smallCaps w:val="false"/>
                <w:sz w:val="20"/>
              </w:rPr>
              <w:t>. The Borrower shall repay to the Revolving Lenders on the Maturity Date the aggregate principal amount of all Revolving Loans outstanding on such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Swingline Loans</w:t>
            </w:r>
            <w:r>
              <w:rPr>
                <w:rFonts w:ascii="Times New Roman" w:hAnsi="Times New Roman"/>
                <w:caps w:val="false"/>
                <w:smallCaps w:val="false"/>
                <w:sz w:val="20"/>
              </w:rPr>
              <w:t>. The Borrower shall repay each Swingline Loan on the earlier to occur of (i) the date ten (10) Business Days after such Loan is made and (ii) 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70"/>
        <w:gridCol w:w="2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and Default Rate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w:t>
            </w:r>
            <w:r>
              <w:rPr>
                <w:rFonts w:ascii="Times New Roman" w:hAnsi="Times New Roman"/>
                <w:caps w:val="false"/>
                <w:smallCaps w:val="false"/>
                <w:sz w:val="20"/>
              </w:rPr>
              <w:t xml:space="preserve">. Subject to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2.08(b)</w:t>
            </w:r>
            <w:r>
              <w:rPr>
                <w:rFonts w:ascii="Times New Roman" w:hAnsi="Times New Roman"/>
                <w:caps w:val="false"/>
                <w:smallCaps w:val="false"/>
                <w:sz w:val="20"/>
              </w:rPr>
              <w:t xml:space="preserve">, (i) each Term SOFR Loan shall bear interest on the outstanding principal amount thereof for each Interest Period from the applicable borrowing date at a rate </w:t>
            </w:r>
            <w:r>
              <w:rPr>
                <w:rFonts w:ascii="Times New Roman" w:hAnsi="Times New Roman"/>
                <w:i/>
                <w:caps w:val="false"/>
                <w:smallCaps w:val="false"/>
                <w:sz w:val="20"/>
              </w:rPr>
              <w:t>per annum</w:t>
            </w:r>
            <w:r>
              <w:rPr>
                <w:rFonts w:ascii="Times New Roman" w:hAnsi="Times New Roman"/>
                <w:caps w:val="false"/>
                <w:smallCaps w:val="false"/>
                <w:sz w:val="20"/>
              </w:rPr>
              <w:t> equal to the Term SOFR for such Interest Period </w:t>
            </w:r>
            <w:r>
              <w:rPr>
                <w:rFonts w:ascii="Times New Roman" w:hAnsi="Times New Roman"/>
                <w:i/>
                <w:caps w:val="false"/>
                <w:smallCaps w:val="false"/>
                <w:sz w:val="20"/>
              </w:rPr>
              <w:t>plus</w:t>
            </w:r>
            <w:r>
              <w:rPr>
                <w:rFonts w:ascii="Times New Roman" w:hAnsi="Times New Roman"/>
                <w:caps w:val="false"/>
                <w:smallCaps w:val="false"/>
                <w:sz w:val="20"/>
              </w:rPr>
              <w:t xml:space="preserve"> the Applicable Rate; (ii) each Base Rate Loan (other than a Swingline Loan) shall bear interest on the outstanding principal amount thereof from the applicable borrowing date at a rate </w:t>
            </w:r>
            <w:r>
              <w:rPr>
                <w:rFonts w:ascii="Times New Roman" w:hAnsi="Times New Roman"/>
                <w:i/>
                <w:caps w:val="false"/>
                <w:smallCaps w:val="false"/>
                <w:sz w:val="20"/>
              </w:rPr>
              <w:t>per annum</w:t>
            </w:r>
            <w:r>
              <w:rPr>
                <w:rFonts w:ascii="Times New Roman" w:hAnsi="Times New Roman"/>
                <w:caps w:val="false"/>
                <w:smallCaps w:val="false"/>
                <w:sz w:val="20"/>
              </w:rPr>
              <w:t> equal to the Base Rate </w:t>
            </w:r>
            <w:r>
              <w:rPr>
                <w:rFonts w:ascii="Times New Roman" w:hAnsi="Times New Roman"/>
                <w:i/>
                <w:caps w:val="false"/>
                <w:smallCaps w:val="false"/>
                <w:sz w:val="20"/>
              </w:rPr>
              <w:t>plus</w:t>
            </w:r>
            <w:r>
              <w:rPr>
                <w:rFonts w:ascii="Times New Roman" w:hAnsi="Times New Roman"/>
                <w:caps w:val="false"/>
                <w:smallCaps w:val="false"/>
                <w:sz w:val="20"/>
              </w:rPr>
              <w:t xml:space="preserve"> the Applicable Rate; and (iii) each Swingline Loan shall bear interest on the outstanding principal amount thereof from the applicable borrowing date at a rate </w:t>
            </w:r>
            <w:r>
              <w:rPr>
                <w:rFonts w:ascii="Times New Roman" w:hAnsi="Times New Roman"/>
                <w:i/>
                <w:caps w:val="false"/>
                <w:smallCaps w:val="false"/>
                <w:sz w:val="20"/>
              </w:rPr>
              <w:t>per annum</w:t>
            </w:r>
            <w:r>
              <w:rPr>
                <w:rFonts w:ascii="Times New Roman" w:hAnsi="Times New Roman"/>
                <w:caps w:val="false"/>
                <w:smallCaps w:val="false"/>
                <w:sz w:val="20"/>
              </w:rPr>
              <w:t> equal to the Base Rate </w:t>
            </w:r>
            <w:r>
              <w:rPr>
                <w:rFonts w:ascii="Times New Roman" w:hAnsi="Times New Roman"/>
                <w:i/>
                <w:caps w:val="false"/>
                <w:smallCaps w:val="false"/>
                <w:sz w:val="20"/>
              </w:rPr>
              <w:t>plus</w:t>
            </w:r>
            <w:r>
              <w:rPr>
                <w:rFonts w:ascii="Times New Roman" w:hAnsi="Times New Roman"/>
                <w:caps w:val="false"/>
                <w:smallCaps w:val="false"/>
                <w:sz w:val="20"/>
              </w:rPr>
              <w:t> the Applicable Rate for the Revolving Facility. To the extent that any calculation of interest or any fee required to be paid under this Agreement shall be based on (or result in) a calculation that is less than zero (0), such calculation shall be deemed zero (0) for purposes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170"/>
        <w:gridCol w:w="1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 Rate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hAnsi="Times New Roman"/>
                <w:i/>
                <w:caps w:val="false"/>
                <w:smallCaps w:val="false"/>
                <w:sz w:val="20"/>
              </w:rPr>
              <w:t>per annum</w:t>
            </w:r>
            <w:r>
              <w:rPr>
                <w:rFonts w:ascii="Times New Roman" w:hAnsi="Times New Roman"/>
                <w:caps w:val="false"/>
                <w:smallCaps w:val="false"/>
                <w:sz w:val="20"/>
              </w:rPr>
              <w:t> at all times equal to the Default Rate to the fullest extent permitted by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w:t>
            </w:r>
            <w:r>
              <w:rPr>
                <w:rFonts w:ascii="Times New Roman" w:hAnsi="Times New Roman"/>
                <w:i/>
                <w:caps w:val="false"/>
                <w:smallCaps w:val="false"/>
                <w:sz w:val="20"/>
              </w:rPr>
              <w:t>per annum</w:t>
            </w:r>
            <w:r>
              <w:rPr>
                <w:rFonts w:ascii="Times New Roman" w:hAnsi="Times New Roman"/>
                <w:caps w:val="false"/>
                <w:smallCaps w:val="false"/>
                <w:sz w:val="20"/>
              </w:rPr>
              <w:t> at all times equal to the Default Rate to the fullest extent permitted by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Upon the request of the Required Lenders, while any Event of Default exists (including a payment default), all outstanding Obligations (including Letter of Credit Fees) shall accrue at a fluctuating interest rate </w:t>
            </w:r>
            <w:r>
              <w:rPr>
                <w:rFonts w:ascii="Times New Roman" w:hAnsi="Times New Roman"/>
                <w:i/>
                <w:caps w:val="false"/>
                <w:smallCaps w:val="false"/>
                <w:sz w:val="20"/>
              </w:rPr>
              <w:t>per annum</w:t>
            </w:r>
            <w:r>
              <w:rPr>
                <w:rFonts w:ascii="Times New Roman" w:hAnsi="Times New Roman"/>
                <w:caps w:val="false"/>
                <w:smallCaps w:val="false"/>
                <w:sz w:val="20"/>
              </w:rPr>
              <w:t> at all times equal to the Default Rate to the fullest extent permitted by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unpaid interest on past due amounts (including interest on past due interest) shall be due and payable upon demand.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Payments</w:t>
            </w:r>
            <w:r>
              <w:rPr>
                <w:rFonts w:ascii="Times New Roman" w:hAnsi="Times New Roman"/>
                <w:caps w:val="false"/>
                <w:smallCaps w:val="false"/>
                <w:sz w:val="20"/>
              </w:rPr>
              <w:t>. Interest on each Loan shall be due and payable in arrears on each Interest Payment Date applicable thereto, on each date of payment of principal in respect of the Loans and at such other times as may be specified herein. Interest hereunder shall be due and payable in accordance with the terms hereof before and after judgment, and before and after the commencement of any proceeding under any Debtor Relief Law.</w:t>
            </w:r>
          </w:p>
        </w:tc>
      </w:tr>
    </w:tbl>
    <w:p>
      <w:pPr>
        <w:pStyle w:val="TextBody"/>
        <w:bidi w:val="0"/>
        <w:spacing w:before="0" w:after="0"/>
        <w:ind w:left="0" w:right="0" w:hanging="0"/>
        <w:jc w:val="left"/>
        <w:rPr>
          <w:caps w:val="false"/>
          <w:smallCaps w:val="false"/>
        </w:rPr>
      </w:pPr>
      <w:r>
        <w:rPr>
          <w:caps w:val="false"/>
          <w:smallCaps w:val="false"/>
        </w:rPr>
        <w:t> </w:t>
      </w:r>
    </w:p>
    <w:tbl>
      <w:tblPr>
        <w:tblW w:w="625" w:type="dxa"/>
        <w:jc w:val="left"/>
        <w:tblInd w:w="0" w:type="dxa"/>
        <w:tblLayout w:type="fixed"/>
        <w:tblCellMar>
          <w:top w:w="0" w:type="dxa"/>
          <w:left w:w="0" w:type="dxa"/>
          <w:bottom w:w="0" w:type="dxa"/>
          <w:right w:w="0" w:type="dxa"/>
        </w:tblCellMar>
      </w:tblPr>
      <w:tblGrid>
        <w:gridCol w:w="60"/>
        <w:gridCol w:w="170"/>
        <w:gridCol w:w="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3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In addition to certain fees described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(l)</w:t>
      </w:r>
      <w:r>
        <w:rPr>
          <w:rFonts w:ascii="Times New Roman" w:hAnsi="Times New Roman"/>
          <w:caps w:val="false"/>
          <w:smallCaps w:val="false"/>
          <w:sz w:val="20"/>
        </w:rPr>
        <w:t xml:space="preserve"> and </w:t>
      </w:r>
      <w:r>
        <w:rPr>
          <w:rFonts w:ascii="Times New Roman" w:hAnsi="Times New Roman"/>
          <w:b/>
          <w:i/>
          <w:caps w:val="false"/>
          <w:smallCaps w:val="false"/>
          <w:sz w:val="20"/>
        </w:rPr>
        <w:t>(m)</w:t>
      </w:r>
      <w:r>
        <w:rPr>
          <w:rFonts w:ascii="Times New Roman" w:hAnsi="Times New Roman"/>
          <w:caps w:val="false"/>
          <w:smallCaps w:val="false"/>
          <w:sz w:val="20"/>
        </w:rPr>
        <w:t xml:space="preserve">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Commitment Fee</w:t>
            </w:r>
            <w:r>
              <w:rPr>
                <w:rFonts w:ascii="Times New Roman" w:hAnsi="Times New Roman"/>
                <w:caps w:val="false"/>
                <w:smallCaps w:val="false"/>
                <w:sz w:val="20"/>
              </w:rPr>
              <w:t xml:space="preserve">. The Borrower shall pay to the Administrative Agent for the account of each Revolving Lender in accordance with its Applicable Percentage, a commitment fee equal to the Applicable Rate times the actual daily amount by which the Aggregate Revolving Commitments exceeds the sum of (i) the Outstanding Amount of Revolving Loans and (ii) the Outstanding Amount of L/C Obligations, subject to adjustment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w:t>
            </w:r>
            <w:r>
              <w:rPr>
                <w:rFonts w:ascii="Times New Roman" w:hAnsi="Times New Roman"/>
                <w:caps w:val="false"/>
                <w:smallCaps w:val="false"/>
                <w:sz w:val="20"/>
              </w:rPr>
              <w:t> (the “</w:t>
            </w:r>
            <w:r>
              <w:rPr>
                <w:rFonts w:ascii="Times New Roman" w:hAnsi="Times New Roman"/>
                <w:b/>
                <w:i/>
                <w:caps w:val="false"/>
                <w:smallCaps w:val="false"/>
                <w:sz w:val="20"/>
              </w:rPr>
              <w:t>Commitment Fee</w:t>
            </w:r>
            <w:r>
              <w:rPr>
                <w:rFonts w:ascii="Times New Roman" w:hAnsi="Times New Roman"/>
                <w:caps w:val="false"/>
                <w:smallCaps w:val="false"/>
                <w:sz w:val="20"/>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(1) or more of the conditions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Ticking Fee</w:t>
            </w:r>
            <w:r>
              <w:rPr>
                <w:rFonts w:ascii="Times New Roman" w:hAnsi="Times New Roman"/>
                <w:caps w:val="false"/>
                <w:smallCaps w:val="false"/>
                <w:sz w:val="20"/>
              </w:rPr>
              <w:t>. The Borrower shall pay to the Administrative Agent for the account of each Delayed Draw Term Loan Lender in accordance with its Applicable Percentage, a ticking fee equal to the Applicable Rate times the actual daily amount by which the Aggregate Delayed Draw Term Loan Commitments exceeds the Outstanding Amount of Delayed Draw Term Loans (the “</w:t>
            </w:r>
            <w:r>
              <w:rPr>
                <w:rFonts w:ascii="Times New Roman" w:hAnsi="Times New Roman"/>
                <w:b/>
                <w:i/>
                <w:caps w:val="false"/>
                <w:smallCaps w:val="false"/>
                <w:sz w:val="20"/>
              </w:rPr>
              <w:t>Ticking Fee</w:t>
            </w:r>
            <w:r>
              <w:rPr>
                <w:rFonts w:ascii="Times New Roman" w:hAnsi="Times New Roman"/>
                <w:caps w:val="false"/>
                <w:smallCaps w:val="false"/>
                <w:sz w:val="20"/>
              </w:rPr>
              <w:t xml:space="preserve">”). The Ticking Fee shall accrue at all times during the Delayed Draw Term Loan Availability Period, including at any time during which one (1) or more of the conditions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is not met, and shall be due and payable quarterly in arrears on the last Business Day of each March, June, September and December, commencing with the first such date to occur after the Closing Date, and on the last day of the Delayed Draw Term Loan Availability Period. The Ticking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155"/>
        <w:gridCol w:w="98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Other Fees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Borrower shall pay to the Administrative Agent and the Arranger for its own account fees in the amounts and at the times specified in the Fee Letter. Such fees shall be fully earned when paid and shall not be refundable for any reason whatsoever.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Borrower shall pay to the Lenders such fees as shall have been separately agreed upon in writing in the amounts and at the times so specified. Such fees shall be fully earned when paid and shall not be refundable for any reason whatsoever.</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275"/>
        <w:gridCol w:w="66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6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Computation of Interest and Fees; Retroactive Adjustments of Applicable Rate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Computation of Interest and Fees</w:t>
            </w:r>
            <w:r>
              <w:rPr>
                <w:rFonts w:ascii="Times New Roman" w:hAnsi="Times New Roman"/>
                <w:caps w:val="false"/>
                <w:smallCaps w:val="false"/>
                <w:sz w:val="20"/>
              </w:rPr>
              <w:t>. All computations of interest for Base Rate Loans (including Base Rate Loans determined by reference to Term SOFR) shall be made on the basis of a year of three hundred sixty-five (365) or three hundred sixty-six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three hundred sixty</w:t>
              <w:noBreakHyphen/>
              <w:t xml:space="preserve">five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2.12(a)</w:t>
            </w:r>
            <w:r>
              <w:rPr>
                <w:rFonts w:ascii="Times New Roman" w:hAnsi="Times New Roman"/>
                <w:caps w:val="false"/>
                <w:smallCaps w:val="false"/>
                <w:sz w:val="20"/>
              </w:rPr>
              <w:t>, bear interest for one (1) day. Each determination by the Administrative Agent of an interest rate or fee hereunder shall be conclusive and binding for all purposes, absent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 Adjustments or Restatements</w:t>
            </w:r>
            <w:r>
              <w:rPr>
                <w:rFonts w:ascii="Times New Roman" w:hAnsi="Times New Roman"/>
                <w:caps w:val="false"/>
                <w:smallCaps w:val="false"/>
                <w:sz w:val="20"/>
              </w:rPr>
              <w:t xml:space="preserve">. 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shall not limit the rights of the Administrative Agent, any Lender or the L/C Issuer, as the case may be, under any provision of this Agreement to payment of any Obligations hereunder at the Default Rate or under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VIII</w:t>
            </w:r>
            <w:r>
              <w:rPr>
                <w:rFonts w:ascii="Times New Roman" w:hAnsi="Times New Roman"/>
                <w:caps w:val="false"/>
                <w:smallCaps w:val="false"/>
                <w:sz w:val="20"/>
              </w:rPr>
              <w:t xml:space="preserve">. The Borrower’s obligations under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shall survive the termination of all Commitments and the repayment of all other Obligations hereunder.</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275"/>
        <w:gridCol w:w="14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Evidence of Debt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Maintenance of Accounts</w:t>
            </w:r>
            <w:r>
              <w:rPr>
                <w:rFonts w:ascii="Times New Roman" w:hAnsi="Times New Roman"/>
                <w:caps w:val="false"/>
                <w:smallCaps w:val="false"/>
                <w:sz w:val="20"/>
              </w:rPr>
              <w:t xml:space="preserve">. The Credit Extensions made by each Lender shall be evidenced by one (1) or more accounts or records maintained by such Lender in the ordinary course of business. The Administrative Agent shall maintain the Register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11.06(c)</w:t>
            </w:r>
            <w:r>
              <w:rPr>
                <w:rFonts w:ascii="Times New Roman" w:hAnsi="Times New Roman"/>
                <w:caps w:val="false"/>
                <w:smallCaps w:val="false"/>
                <w:sz w:val="20"/>
              </w:rPr>
              <w:t xml:space="preserve">.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2.11(a)</w:t>
            </w:r>
            <w:r>
              <w:rPr>
                <w:rFonts w:ascii="Times New Roman" w:hAnsi="Times New Roman"/>
                <w:caps w:val="false"/>
                <w:smallCaps w:val="false"/>
                <w:sz w:val="20"/>
              </w:rPr>
              <w:t> (a “</w:t>
            </w:r>
            <w:r>
              <w:rPr>
                <w:rFonts w:ascii="Times New Roman" w:hAnsi="Times New Roman"/>
                <w:b/>
                <w:i/>
                <w:caps w:val="false"/>
                <w:smallCaps w:val="false"/>
                <w:sz w:val="20"/>
              </w:rPr>
              <w:t>Note</w:t>
            </w:r>
            <w:r>
              <w:rPr>
                <w:rFonts w:ascii="Times New Roman" w:hAnsi="Times New Roman"/>
                <w:caps w:val="false"/>
                <w:smallCaps w:val="false"/>
                <w:sz w:val="20"/>
              </w:rPr>
              <w:t>”), which shall evidence such Lender’s Loans in addition to such accounts or records. Each Lender may attach schedules to its Note and endorse thereon the date, Type (if applicable), amount and maturity of its Loans and payments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Maintenance of Records</w:t>
            </w:r>
            <w:r>
              <w:rPr>
                <w:rFonts w:ascii="Times New Roman" w:hAnsi="Times New Roman"/>
                <w:caps w:val="false"/>
                <w:smallCaps w:val="false"/>
                <w:sz w:val="20"/>
              </w:rPr>
              <w:t xml:space="preserve">. In addition to the accounts and records referred to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2.11(a)</w:t>
            </w:r>
            <w:r>
              <w:rPr>
                <w:rFonts w:ascii="Times New Roman" w:hAnsi="Times New Roman"/>
                <w:caps w:val="false"/>
                <w:smallCaps w:val="false"/>
                <w:sz w:val="20"/>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60"/>
        <w:gridCol w:w="275"/>
        <w:gridCol w:w="47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4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Generally; Administrative Agent</w:t>
            </w:r>
            <w:r>
              <w:rPr>
                <w:rFonts w:ascii="Times New Roman" w:hAnsi="Times New Roman"/>
                <w:caps w:val="false"/>
                <w:smallCaps w:val="false"/>
                <w:sz w:val="20"/>
              </w:rPr>
              <w:t>’</w:t>
            </w:r>
            <w:r>
              <w:rPr>
                <w:rFonts w:ascii="Times New Roman" w:hAnsi="Times New Roman"/>
                <w:b/>
                <w:caps w:val="false"/>
                <w:smallCaps w:val="false"/>
                <w:sz w:val="20"/>
              </w:rPr>
              <w:t>s Clawback</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General</w:t>
            </w:r>
            <w:r>
              <w:rPr>
                <w:rFonts w:ascii="Times New Roman" w:hAnsi="Times New Roman"/>
                <w:caps w:val="false"/>
                <w:smallCaps w:val="false"/>
                <w:sz w:val="20"/>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2.07(a)</w:t>
            </w:r>
            <w:r>
              <w:rPr>
                <w:rFonts w:ascii="Times New Roman" w:hAnsi="Times New Roman"/>
                <w:caps w:val="false"/>
                <w:smallCaps w:val="false"/>
                <w:sz w:val="20"/>
              </w:rPr>
              <w:t>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Funding by Lenders; Presumption by Administrative Agent</w:t>
            </w:r>
            <w:r>
              <w:rPr>
                <w:rFonts w:ascii="Times New Roman" w:hAnsi="Times New Roman"/>
                <w:caps w:val="false"/>
                <w:smallCaps w:val="false"/>
                <w:sz w:val="20"/>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(or, in the case of a Borrowing of Base Rate Loans, that such Lender has made such share available in accordance with and at the time required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hAnsi="Times New Roman"/>
                <w:i/>
                <w:caps w:val="false"/>
                <w:smallCaps w:val="false"/>
                <w:sz w:val="20"/>
              </w:rPr>
              <w:t>plus</w:t>
            </w:r>
            <w:r>
              <w:rPr>
                <w:rFonts w:ascii="Times New Roman" w:hAnsi="Times New Roman"/>
                <w:caps w:val="false"/>
                <w:smallCaps w:val="false"/>
                <w:sz w:val="20"/>
              </w:rPr>
              <w:t>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by Borrower; Presumptions by Administrative Agent</w:t>
            </w:r>
            <w:r>
              <w:rPr>
                <w:rFonts w:ascii="Times New Roman" w:hAnsi="Times New Roman"/>
                <w:caps w:val="false"/>
                <w:smallCaps w:val="false"/>
                <w:sz w:val="20"/>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hAnsi="Times New Roman"/>
                <w:b/>
                <w:i/>
                <w:caps w:val="false"/>
                <w:smallCaps w:val="false"/>
                <w:sz w:val="20"/>
              </w:rPr>
              <w:t>Rescindable Amount</w:t>
            </w:r>
            <w:r>
              <w:rPr>
                <w:rFonts w:ascii="Times New Roman" w:hAnsi="Times New Roman"/>
                <w:caps w:val="false"/>
                <w:smallCaps w:val="false"/>
                <w:sz w:val="20"/>
              </w:rPr>
              <w:t>”) :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notice of the Administrative Agent to any Lender or the Borrower with respect to any amount owing under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shall be conclusive, absent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Failure to Satisfy Conditions Precedent</w:t>
            </w:r>
            <w:r>
              <w:rPr>
                <w:rFonts w:ascii="Times New Roman" w:hAnsi="Times New Roman"/>
                <w:caps w:val="false"/>
                <w:smallCaps w:val="false"/>
                <w:sz w:val="20"/>
              </w:rPr>
              <w:t xml:space="preserve">. If any Lender makes available to the Administrative Agent funds for any Loan to be made by such Lender as provided in the foregoing provisions of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xml:space="preserve">, and such funds are not made available to the Borrower by the Administrative Agent because the conditions to the applicable Credit Extension set forth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are not satisfied or waived in accordance with the terms hereof, the Administrative Agent shall return such funds (in like funds as received from such Lender) to such Lender, without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Obligations of Lenders Several</w:t>
            </w:r>
            <w:r>
              <w:rPr>
                <w:rFonts w:ascii="Times New Roman" w:hAnsi="Times New Roman"/>
                <w:caps w:val="false"/>
                <w:smallCaps w:val="false"/>
                <w:sz w:val="20"/>
              </w:rPr>
              <w:t xml:space="preserve">. The obligations of the Lenders hereunder to make Loans, to fund participations in Letters of Credit and Swingline Loans and to make payments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11.04(c)</w:t>
            </w:r>
            <w:r>
              <w:rPr>
                <w:rFonts w:ascii="Times New Roman" w:hAnsi="Times New Roman"/>
                <w:caps w:val="false"/>
                <w:smallCaps w:val="false"/>
                <w:sz w:val="20"/>
              </w:rPr>
              <w:t xml:space="preserve"> are several and not joint. The failure of any Lender to make any Loan, to fund any such participation or to make any payment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11.04(c)</w:t>
            </w:r>
            <w:r>
              <w:rPr>
                <w:rFonts w:ascii="Times New Roman" w:hAnsi="Times New Roman"/>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11.04(c)</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Funding Source</w:t>
            </w:r>
            <w:r>
              <w:rPr>
                <w:rFonts w:ascii="Times New Roman" w:hAnsi="Times New Roman"/>
                <w:caps w:val="false"/>
                <w:smallCaps w:val="false"/>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275"/>
        <w:gridCol w:w="27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27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Sharing of Payments by Lenders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provided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shall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foregoing, if any Lender (each, an “</w:t>
      </w:r>
      <w:r>
        <w:rPr>
          <w:rFonts w:ascii="Times New Roman" w:hAnsi="Times New Roman"/>
          <w:b/>
          <w:i/>
          <w:caps w:val="false"/>
          <w:smallCaps w:val="false"/>
          <w:sz w:val="20"/>
        </w:rPr>
        <w:t>Impacted Lender</w:t>
      </w:r>
      <w:r>
        <w:rPr>
          <w:rFonts w:ascii="Times New Roman" w:hAnsi="Times New Roman"/>
          <w:caps w:val="false"/>
          <w:smallCaps w:val="false"/>
          <w:sz w:val="20"/>
        </w:rPr>
        <w:t xml:space="preserve">”) determines (in its sole and absolute discretion) that the application of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xml:space="preserve"> in respect of any payment received by another Lender would cause such Impacted Lender to violate, or would result in such Impacted Lender (including in its capacities as a potential Cash Management Bank and a potential Hedge Bank) to be in violation of, any federal or state Laws regarding the restricted activities set forth in </w:t>
      </w:r>
      <w:r>
        <w:rPr>
          <w:rFonts w:ascii="Times New Roman" w:hAnsi="Times New Roman"/>
          <w:b/>
          <w:i/>
          <w:caps w:val="false"/>
          <w:smallCaps w:val="false"/>
          <w:sz w:val="20"/>
        </w:rPr>
        <w:t>Section 7.12</w:t>
      </w:r>
      <w:r>
        <w:rPr>
          <w:rFonts w:ascii="Times New Roman" w:hAnsi="Times New Roman"/>
          <w:caps w:val="false"/>
          <w:smallCaps w:val="false"/>
          <w:sz w:val="20"/>
        </w:rPr>
        <w:t xml:space="preserve"> (each, an “</w:t>
      </w:r>
      <w:r>
        <w:rPr>
          <w:rFonts w:ascii="Times New Roman" w:hAnsi="Times New Roman"/>
          <w:b/>
          <w:i/>
          <w:caps w:val="false"/>
          <w:smallCaps w:val="false"/>
          <w:sz w:val="20"/>
        </w:rPr>
        <w:t>Impacted Payment</w:t>
      </w:r>
      <w:r>
        <w:rPr>
          <w:rFonts w:ascii="Times New Roman" w:hAnsi="Times New Roman"/>
          <w:caps w:val="false"/>
          <w:smallCaps w:val="false"/>
          <w:sz w:val="20"/>
        </w:rPr>
        <w:t xml:space="preserve">”), then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xml:space="preserve"> in respect of such Impacted Payment shall not apply to such Impacted Lender without its prior written consent.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275"/>
        <w:gridCol w:w="14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1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Collateral</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Obligation to Cash Collateralize</w:t>
            </w:r>
            <w:r>
              <w:rPr>
                <w:rFonts w:ascii="Times New Roman" w:hAnsi="Times New Roman"/>
                <w:caps w:val="false"/>
                <w:smallCaps w:val="false"/>
                <w:sz w:val="20"/>
              </w:rPr>
              <w:t xml:space="preserve">. At any time there shall exist a Defaulting Lender, within one (1)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2.15(a)(iv)</w:t>
            </w:r>
            <w:r>
              <w:rPr>
                <w:rFonts w:ascii="Times New Roman" w:hAnsi="Times New Roman"/>
                <w:caps w:val="false"/>
                <w:smallCaps w:val="false"/>
                <w:sz w:val="20"/>
              </w:rPr>
              <w:t> and any Cash Collateral provided by such Defaulting Lender) in an amount not less than the Minimum Collateral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Grant of Security Interest</w:t>
            </w:r>
            <w:r>
              <w:rPr>
                <w:rFonts w:ascii="Times New Roman" w:hAnsi="Times New Roman"/>
                <w:caps w:val="false"/>
                <w:smallCaps w:val="false"/>
                <w:sz w:val="20"/>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2.14(c)</w:t>
            </w:r>
            <w:r>
              <w:rPr>
                <w:rFonts w:ascii="Times New Roman" w:hAnsi="Times New Roman"/>
                <w:caps w:val="false"/>
                <w:smallCaps w:val="false"/>
                <w:sz w:val="20"/>
              </w:rPr>
              <w:t xml:space="preserve">. If at any time the Administrative Agent determines that Cash Collateral is subject to any right or claim of any Person other than the Administrative Agent or the L/C Issuer as herein provided, other than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7.01(j)</w:t>
            </w:r>
            <w:r>
              <w:rPr>
                <w:rFonts w:ascii="Times New Roman" w:hAnsi="Times New Roman"/>
                <w:caps w:val="false"/>
                <w:smallCaps w:val="false"/>
                <w:sz w:val="20"/>
              </w:rPr>
              <w:t xml:space="preserve">,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2.15(a)(v)</w:t>
            </w:r>
            <w:r>
              <w:rPr>
                <w:rFonts w:ascii="Times New Roman" w:hAnsi="Times New Roman"/>
                <w:caps w:val="false"/>
                <w:smallCaps w:val="false"/>
                <w:sz w:val="20"/>
              </w:rPr>
              <w:t xml:space="preserve">, after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2.15(a)(v)</w:t>
            </w:r>
            <w:r>
              <w:rPr>
                <w:rFonts w:ascii="Times New Roman" w:hAnsi="Times New Roman"/>
                <w:caps w:val="false"/>
                <w:smallCaps w:val="false"/>
                <w:sz w:val="20"/>
              </w:rPr>
              <w:t> 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w:t>
            </w:r>
            <w:r>
              <w:rPr>
                <w:rFonts w:ascii="Times New Roman" w:hAnsi="Times New Roman"/>
                <w:caps w:val="false"/>
                <w:smallCaps w:val="false"/>
                <w:sz w:val="20"/>
              </w:rPr>
              <w:t xml:space="preserve">. Notwithstanding anything to the contrary contained in this Agreement, Cash Collateral provided under any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 xml:space="preserve"> or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 xml:space="preserve">, </w:t>
            </w:r>
            <w:r>
              <w:rPr>
                <w:rFonts w:ascii="Times New Roman" w:hAnsi="Times New Roman"/>
                <w:b/>
                <w:i/>
                <w:caps w:val="false"/>
                <w:smallCaps w:val="false"/>
                <w:sz w:val="20"/>
              </w:rPr>
              <w:t>2.05</w:t>
            </w:r>
            <w:r>
              <w:rPr>
                <w:rFonts w:ascii="Times New Roman" w:hAnsi="Times New Roman"/>
                <w:caps w:val="false"/>
                <w:smallCaps w:val="false"/>
                <w:sz w:val="20"/>
              </w:rPr>
              <w:t xml:space="preserve">, </w:t>
            </w:r>
            <w:r>
              <w:rPr>
                <w:rFonts w:ascii="Times New Roman" w:hAnsi="Times New Roman"/>
                <w:b/>
                <w:i/>
                <w:caps w:val="false"/>
                <w:smallCaps w:val="false"/>
                <w:sz w:val="20"/>
              </w:rPr>
              <w:t>2.15</w:t>
            </w:r>
            <w:r>
              <w:rPr>
                <w:rFonts w:ascii="Times New Roman" w:hAnsi="Times New Roman"/>
                <w:caps w:val="false"/>
                <w:smallCaps w:val="false"/>
                <w:sz w:val="20"/>
              </w:rPr>
              <w:t> or </w:t>
            </w:r>
            <w:r>
              <w:rPr>
                <w:rFonts w:ascii="Times New Roman" w:hAnsi="Times New Roman"/>
                <w:b/>
                <w:i/>
                <w:caps w:val="false"/>
                <w:smallCaps w:val="false"/>
                <w:sz w:val="20"/>
              </w:rPr>
              <w:t>8.02</w:t>
            </w:r>
            <w:r>
              <w:rPr>
                <w:rFonts w:ascii="Times New Roman" w:hAnsi="Times New Roman"/>
                <w:caps w:val="false"/>
                <w:smallCaps w:val="false"/>
                <w:sz w:val="20"/>
              </w:rPr>
              <w:t>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Release</w:t>
            </w:r>
            <w:r>
              <w:rPr>
                <w:rFonts w:ascii="Times New Roman" w:hAnsi="Times New Roman"/>
                <w:caps w:val="false"/>
                <w:smallCaps w:val="false"/>
                <w:sz w:val="20"/>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11.06(b)(vi)</w:t>
            </w:r>
            <w:r>
              <w:rPr>
                <w:rFonts w:ascii="Times New Roman" w:hAnsi="Times New Roman"/>
                <w:caps w:val="false"/>
                <w:smallCaps w:val="false"/>
                <w:sz w:val="20"/>
              </w:rPr>
              <w:t xml:space="preserve">)) or (ii) the determination by the Administrative Agent and the L/C Issuer that there exists excess Cash Collateral;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275"/>
        <w:gridCol w:w="16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Adjustments</w:t>
            </w:r>
            <w:r>
              <w:rPr>
                <w:rFonts w:ascii="Times New Roman" w:hAnsi="Times New Roman"/>
                <w:caps w:val="false"/>
                <w:smallCaps w:val="false"/>
                <w:sz w:val="20"/>
              </w:rPr>
              <w:t>. Notwithstanding anything to the contrary contained in this Agreement, if any Lender becomes a Defaulting Lender, then, until such time as that Lender is no longer a Defaulting Lender, to the extent permitted by Applicable Law:</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Waivers and Amendments</w:t>
            </w:r>
            <w:r>
              <w:rPr>
                <w:rFonts w:ascii="Times New Roman" w:hAnsi="Times New Roman"/>
                <w:caps w:val="false"/>
                <w:smallCaps w:val="false"/>
                <w:sz w:val="20"/>
              </w:rPr>
              <w:t>. Such Defaulting Lender’s right to approve or disapprove any amendment, waiver or consent with respect to this Agreement shall be restricted as set forth in the definition of “</w:t>
            </w:r>
            <w:r>
              <w:rPr>
                <w:rFonts w:ascii="Times New Roman" w:hAnsi="Times New Roman"/>
                <w:i/>
                <w:caps w:val="false"/>
                <w:smallCaps w:val="false"/>
                <w:sz w:val="20"/>
              </w:rPr>
              <w:t>Required Lenders</w:t>
            </w:r>
            <w:r>
              <w:rPr>
                <w:rFonts w:ascii="Times New Roman" w:hAnsi="Times New Roman"/>
                <w:caps w:val="false"/>
                <w:smallCaps w:val="false"/>
                <w:sz w:val="20"/>
              </w:rPr>
              <w:t xml:space="preserve">” and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 Waterfall</w:t>
            </w:r>
            <w:r>
              <w:rPr>
                <w:rFonts w:ascii="Times New Roman" w:hAnsi="Times New Roman"/>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VIII</w:t>
            </w:r>
            <w:r>
              <w:rPr>
                <w:rFonts w:ascii="Times New Roman" w:hAnsi="Times New Roman"/>
                <w:caps w:val="false"/>
                <w:smallCaps w:val="false"/>
                <w:sz w:val="20"/>
              </w:rPr>
              <w:t xml:space="preserve"> or otherwise) or received by the Administrative Agent from a Defaulting Lender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11.08</w:t>
            </w:r>
            <w:r>
              <w:rPr>
                <w:rFonts w:ascii="Times New Roman" w:hAnsi="Times New Roman"/>
                <w:caps w:val="false"/>
                <w:smallCaps w:val="false"/>
                <w:sz w:val="20"/>
              </w:rPr>
              <w:t xml:space="preserve"> shall be applied at such time or times as may be determined by the Administrative Agent as follows: </w:t>
            </w:r>
            <w:r>
              <w:rPr>
                <w:rFonts w:ascii="Times New Roman" w:hAnsi="Times New Roman"/>
                <w:i/>
                <w:caps w:val="false"/>
                <w:smallCaps w:val="false"/>
                <w:sz w:val="20"/>
              </w:rPr>
              <w:t>first</w:t>
            </w:r>
            <w:r>
              <w:rPr>
                <w:rFonts w:ascii="Times New Roman" w:hAnsi="Times New Roman"/>
                <w:caps w:val="false"/>
                <w:smallCaps w:val="false"/>
                <w:sz w:val="20"/>
              </w:rPr>
              <w:t xml:space="preserve">, to the payment of any amounts owing by such Defaulting Lender to the Administrative Agent hereunder; </w:t>
            </w:r>
            <w:r>
              <w:rPr>
                <w:rFonts w:ascii="Times New Roman" w:hAnsi="Times New Roman"/>
                <w:i/>
                <w:caps w:val="false"/>
                <w:smallCaps w:val="false"/>
                <w:sz w:val="20"/>
              </w:rPr>
              <w:t>second</w:t>
            </w:r>
            <w:r>
              <w:rPr>
                <w:rFonts w:ascii="Times New Roman" w:hAnsi="Times New Roman"/>
                <w:caps w:val="false"/>
                <w:smallCaps w:val="false"/>
                <w:sz w:val="20"/>
              </w:rPr>
              <w:t xml:space="preserve">, to the payment on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of any amounts owing by such Defaulting Lender to the L/C Issuer or the Swingline Lender hereunder; </w:t>
            </w:r>
            <w:r>
              <w:rPr>
                <w:rFonts w:ascii="Times New Roman" w:hAnsi="Times New Roman"/>
                <w:i/>
                <w:caps w:val="false"/>
                <w:smallCaps w:val="false"/>
                <w:sz w:val="20"/>
              </w:rPr>
              <w:t>third</w:t>
            </w:r>
            <w:r>
              <w:rPr>
                <w:rFonts w:ascii="Times New Roman" w:hAnsi="Times New Roman"/>
                <w:caps w:val="false"/>
                <w:smallCaps w:val="false"/>
                <w:sz w:val="20"/>
              </w:rPr>
              <w:t xml:space="preserve">, to Cash Collateralize the L/C Issuer’s Fronting Exposure with respect to such Defaulting Lender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 xml:space="preserve">; </w:t>
            </w:r>
            <w:r>
              <w:rPr>
                <w:rFonts w:ascii="Times New Roman" w:hAnsi="Times New Roman"/>
                <w:i/>
                <w:caps w:val="false"/>
                <w:smallCaps w:val="false"/>
                <w:sz w:val="20"/>
              </w:rPr>
              <w:t>fourth</w:t>
            </w:r>
            <w:r>
              <w:rPr>
                <w:rFonts w:ascii="Times New Roman" w:hAnsi="Times New Roman"/>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caps w:val="false"/>
                <w:smallCaps w:val="false"/>
                <w:sz w:val="20"/>
              </w:rPr>
              <w:t>fifth</w:t>
            </w:r>
            <w:r>
              <w:rPr>
                <w:rFonts w:ascii="Times New Roman" w:hAnsi="Times New Roman"/>
                <w:caps w:val="false"/>
                <w:smallCaps w:val="false"/>
                <w:sz w:val="20"/>
              </w:rPr>
              <w:t xml:space="preserve">, if so determined by the Administrative Agent and the Borrower, to be held in a deposit account and released </w:t>
            </w:r>
            <w:r>
              <w:rPr>
                <w:rFonts w:ascii="Times New Roman" w:hAnsi="Times New Roman"/>
                <w:i/>
                <w:caps w:val="false"/>
                <w:smallCaps w:val="false"/>
                <w:sz w:val="20"/>
              </w:rPr>
              <w:t>pro rata</w:t>
            </w:r>
            <w:r>
              <w:rPr>
                <w:rFonts w:ascii="Times New Roman" w:hAnsi="Times New Roman"/>
                <w:caps w:val="false"/>
                <w:smallCaps w:val="false"/>
                <w:sz w:val="20"/>
              </w:rPr>
              <w:t xml:space="preserve">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 xml:space="preserve">; </w:t>
            </w:r>
            <w:r>
              <w:rPr>
                <w:rFonts w:ascii="Times New Roman" w:hAnsi="Times New Roman"/>
                <w:i/>
                <w:caps w:val="false"/>
                <w:smallCaps w:val="false"/>
                <w:sz w:val="20"/>
              </w:rPr>
              <w:t>sixth</w:t>
            </w:r>
            <w:r>
              <w:rPr>
                <w:rFonts w:ascii="Times New Roman" w:hAnsi="Times New Roman"/>
                <w:caps w:val="false"/>
                <w:smallCaps w:val="false"/>
                <w:sz w:val="20"/>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hAnsi="Times New Roman"/>
                <w:i/>
                <w:caps w:val="false"/>
                <w:smallCaps w:val="false"/>
                <w:sz w:val="20"/>
              </w:rPr>
              <w:t>seventh</w:t>
            </w:r>
            <w:r>
              <w:rPr>
                <w:rFonts w:ascii="Times New Roman" w:hAnsi="Times New Roman"/>
                <w:caps w:val="false"/>
                <w:smallCaps w:val="false"/>
                <w:sz w:val="20"/>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caps w:val="false"/>
                <w:smallCaps w:val="false"/>
                <w:sz w:val="20"/>
              </w:rPr>
              <w:t>eighth</w:t>
            </w:r>
            <w:r>
              <w:rPr>
                <w:rFonts w:ascii="Times New Roman" w:hAnsi="Times New Roman"/>
                <w:caps w:val="false"/>
                <w:smallCaps w:val="false"/>
                <w:sz w:val="20"/>
              </w:rPr>
              <w:t xml:space="preserve">, to such Defaulting Lender or as otherwise as may be required under the Loan Documents in connection with any Lien conferred thereunder or directed by a court of competent jurisdiction;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xml:space="preserve"> were satisfied or waived, such payment shall be applied solely to pay the Loans of, and L/C Obligations owed to, all Non-Defaulting Lenders on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 w:hAnsi="Times New Roman"/>
                <w:i/>
                <w:caps w:val="false"/>
                <w:smallCaps w:val="false"/>
                <w:sz w:val="20"/>
              </w:rPr>
              <w:t>pro rata</w:t>
            </w:r>
            <w:r>
              <w:rPr>
                <w:rFonts w:ascii="Times New Roman" w:hAnsi="Times New Roman"/>
                <w:caps w:val="false"/>
                <w:smallCaps w:val="false"/>
                <w:sz w:val="20"/>
              </w:rPr>
              <w:t xml:space="preserve"> in accordance with the Commitments hereunder without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2.15(a)(iv)</w:t>
            </w:r>
            <w:r>
              <w:rPr>
                <w:rFonts w:ascii="Times New Roman" w:hAnsi="Times New Roman"/>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2.15(a)(ii)</w:t>
            </w:r>
            <w:r>
              <w:rPr>
                <w:rFonts w:ascii="Times New Roman" w:hAnsi="Times New Roman"/>
                <w:caps w:val="false"/>
                <w:smallCaps w:val="false"/>
                <w:sz w:val="20"/>
              </w:rPr>
              <w:t> shall be deemed paid to and redirected by such Defaulting Lender, and each Lender irrevocably consents hereto.</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60"/>
        <w:gridCol w:w="245"/>
        <w:gridCol w:w="11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Fees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Fees</w:t>
            </w:r>
            <w:r>
              <w:rPr>
                <w:rFonts w:ascii="Times New Roman" w:hAnsi="Times New Roman"/>
                <w:caps w:val="false"/>
                <w:smallCaps w:val="false"/>
                <w:sz w:val="20"/>
              </w:rPr>
              <w:t xml:space="preserve">. No Defaulting Lender shall be entitled to receive any fee payable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2.09(a)</w:t>
            </w:r>
            <w:r>
              <w:rPr>
                <w:rFonts w:ascii="Times New Roman" w:hAnsi="Times New Roman"/>
                <w:caps w:val="false"/>
                <w:smallCaps w:val="false"/>
                <w:sz w:val="20"/>
              </w:rPr>
              <w:t> or </w:t>
            </w:r>
            <w:r>
              <w:rPr>
                <w:rFonts w:ascii="Times New Roman" w:hAnsi="Times New Roman"/>
                <w:b/>
                <w:i/>
                <w:caps w:val="false"/>
                <w:smallCaps w:val="false"/>
                <w:sz w:val="20"/>
              </w:rPr>
              <w:t>(b)</w:t>
            </w:r>
            <w:r>
              <w:rPr>
                <w:rFonts w:ascii="Times New Roman" w:hAnsi="Times New Roman"/>
                <w:caps w:val="false"/>
                <w:smallCaps w:val="false"/>
                <w:sz w:val="20"/>
              </w:rPr>
              <w:t> for any period during which that Lender is a Defaulting Lender (and the Borrower shall not be required to pay any such fee that otherwise would have been required to have been paid to that Defaulting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 of Credit Fees</w:t>
            </w:r>
            <w:r>
              <w:rPr>
                <w:rFonts w:ascii="Times New Roman" w:hAnsi="Times New Roman"/>
                <w:caps w:val="false"/>
                <w:smallCaps w:val="false"/>
                <w:sz w:val="20"/>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 Fees</w:t>
            </w:r>
            <w:r>
              <w:rPr>
                <w:rFonts w:ascii="Times New Roman" w:hAnsi="Times New Roman"/>
                <w:caps w:val="false"/>
                <w:smallCaps w:val="false"/>
                <w:sz w:val="20"/>
              </w:rPr>
              <w:t xml:space="preserve">. With respect to any Letter of Credit Fee not required to be paid to any Defaulting Lender pursuant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below, (2) pay to the L/C Issuer the amount of any such fee otherwise payable to such Defaulting Lender to the extent allocable to such L/C Issuer’s Fronting Exposure to such Defaulting Lender, and (3) not be required to pay the remaining amount of any such fee.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Reallocation of Applicable Percentages to Reduce Fronting Exposure</w:t>
            </w:r>
            <w:r>
              <w:rPr>
                <w:rFonts w:ascii="Times New Roman" w:hAnsi="Times New Roman"/>
                <w:caps w:val="false"/>
                <w:smallCaps w:val="false"/>
                <w:sz w:val="20"/>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11.20</w:t>
            </w:r>
            <w:r>
              <w:rPr>
                <w:rFonts w:ascii="Times New Roman" w:hAnsi="Times New Roman"/>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Collateral, Repayment of Swingline Loans</w:t>
            </w:r>
            <w:r>
              <w:rPr>
                <w:rFonts w:ascii="Times New Roman" w:hAnsi="Times New Roman"/>
                <w:caps w:val="false"/>
                <w:smallCaps w:val="false"/>
                <w:sz w:val="20"/>
              </w:rPr>
              <w:t xml:space="preserve">. If the reallocation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(a)(v)</w:t>
            </w:r>
            <w:r>
              <w:rPr>
                <w:rFonts w:ascii="Times New Roman" w:hAnsi="Times New Roman"/>
                <w:caps w:val="false"/>
                <w:smallCaps w:val="false"/>
                <w:sz w:val="20"/>
              </w:rPr>
              <w:t> above cannot, or can only partially, be effected, the Borrower shall, without prejudice to any right or remedy available to it hereunder or under Applicable Law, (A) </w:t>
            </w:r>
            <w:r>
              <w:rPr>
                <w:rFonts w:ascii="Times New Roman" w:hAnsi="Times New Roman"/>
                <w:i/>
                <w:caps w:val="false"/>
                <w:smallCaps w:val="false"/>
                <w:sz w:val="20"/>
              </w:rPr>
              <w:t>first</w:t>
            </w:r>
            <w:r>
              <w:rPr>
                <w:rFonts w:ascii="Times New Roman" w:hAnsi="Times New Roman"/>
                <w:caps w:val="false"/>
                <w:smallCaps w:val="false"/>
                <w:sz w:val="20"/>
              </w:rPr>
              <w:t>, prepay Swingline Loans in an amount equal to the Swingline Lender’s Fronting Exposure and (B) </w:t>
            </w:r>
            <w:r>
              <w:rPr>
                <w:rFonts w:ascii="Times New Roman" w:hAnsi="Times New Roman"/>
                <w:i/>
                <w:caps w:val="false"/>
                <w:smallCaps w:val="false"/>
                <w:sz w:val="20"/>
              </w:rPr>
              <w:t>second</w:t>
            </w:r>
            <w:r>
              <w:rPr>
                <w:rFonts w:ascii="Times New Roman" w:hAnsi="Times New Roman"/>
                <w:caps w:val="false"/>
                <w:smallCaps w:val="false"/>
                <w:sz w:val="20"/>
              </w:rPr>
              <w:t xml:space="preserve">, Cash Collateralize the L/C Issuer’s Fronting Exposure in accordance with the procedures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 Cure</w:t>
            </w:r>
            <w:r>
              <w:rPr>
                <w:rFonts w:ascii="Times New Roman" w:hAnsi="Times New Roman"/>
                <w:caps w:val="false"/>
                <w:smallCaps w:val="false"/>
                <w:sz w:val="20"/>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hAnsi="Times New Roman"/>
                <w:i/>
                <w:caps w:val="false"/>
                <w:smallCaps w:val="false"/>
                <w:sz w:val="20"/>
              </w:rPr>
              <w:t>pro rata</w:t>
            </w:r>
            <w:r>
              <w:rPr>
                <w:rFonts w:ascii="Times New Roman" w:hAnsi="Times New Roman"/>
                <w:caps w:val="false"/>
                <w:smallCaps w:val="false"/>
                <w:sz w:val="20"/>
              </w:rPr>
              <w:t xml:space="preserve"> by the Lenders in accordance with their Revolving Commitments (without giving effect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2.15(a)(iv)</w:t>
            </w:r>
            <w:r>
              <w:rPr>
                <w:rFonts w:ascii="Times New Roman" w:hAnsi="Times New Roman"/>
                <w:caps w:val="false"/>
                <w:smallCaps w:val="false"/>
                <w:sz w:val="20"/>
              </w:rPr>
              <w:t xml:space="preserve">), whereupon such Lender will cease to be a Defaulting Lender;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adjustments will be made retroactively with respect to fees accrued or payments made by or on behalf of the Borrower while that Lender was a Defaulting Lender;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New Swingline Loans/Letters of Credit</w:t>
            </w:r>
            <w:r>
              <w:rPr>
                <w:rFonts w:ascii="Times New Roman" w:hAnsi="Times New Roman"/>
                <w:caps w:val="false"/>
                <w:smallCaps w:val="false"/>
                <w:sz w:val="20"/>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60"/>
        <w:gridCol w:w="245"/>
        <w:gridCol w:w="45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 YIELD PROTECTION AND ILLEGALITY</w:t>
            </w:r>
            <w:r>
              <w:rPr>
                <w:rFonts w:ascii="Times New Roman" w:hAnsi="Times New Roman"/>
                <w:caps w:val="false"/>
                <w:smallCaps w:val="false"/>
                <w:sz w:val="20"/>
              </w:rPr>
              <w:t>.</w:t>
            </w:r>
          </w:p>
        </w:tc>
      </w:tr>
    </w:tbl>
    <w:tbl>
      <w:tblPr>
        <w:tblW w:w="805" w:type="dxa"/>
        <w:jc w:val="left"/>
        <w:tblInd w:w="0" w:type="dxa"/>
        <w:tblLayout w:type="fixed"/>
        <w:tblCellMar>
          <w:top w:w="0" w:type="dxa"/>
          <w:left w:w="0" w:type="dxa"/>
          <w:bottom w:w="0" w:type="dxa"/>
          <w:right w:w="0" w:type="dxa"/>
        </w:tblCellMar>
      </w:tblPr>
      <w:tblGrid>
        <w:gridCol w:w="60"/>
        <w:gridCol w:w="170"/>
        <w:gridCol w:w="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Defined Terms</w:t>
            </w:r>
            <w:r>
              <w:rPr>
                <w:rFonts w:ascii="Times New Roman" w:hAnsi="Times New Roman"/>
                <w:caps w:val="false"/>
                <w:smallCaps w:val="false"/>
                <w:sz w:val="20"/>
              </w:rPr>
              <w:t xml:space="preserve">. For purposes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the term “</w:t>
            </w:r>
            <w:r>
              <w:rPr>
                <w:rFonts w:ascii="Times New Roman" w:hAnsi="Times New Roman"/>
                <w:i/>
                <w:caps w:val="false"/>
                <w:smallCaps w:val="false"/>
                <w:sz w:val="20"/>
              </w:rPr>
              <w:t>Applicable Law</w:t>
            </w:r>
            <w:r>
              <w:rPr>
                <w:rFonts w:ascii="Times New Roman" w:hAnsi="Times New Roman"/>
                <w:caps w:val="false"/>
                <w:smallCaps w:val="false"/>
                <w:sz w:val="20"/>
              </w:rPr>
              <w:t>” includes FATCA and the term “</w:t>
            </w:r>
            <w:r>
              <w:rPr>
                <w:rFonts w:ascii="Times New Roman" w:hAnsi="Times New Roman"/>
                <w:i/>
                <w:caps w:val="false"/>
                <w:smallCaps w:val="false"/>
                <w:sz w:val="20"/>
              </w:rPr>
              <w:t>Lender</w:t>
            </w:r>
            <w:r>
              <w:rPr>
                <w:rFonts w:ascii="Times New Roman" w:hAnsi="Times New Roman"/>
                <w:caps w:val="false"/>
                <w:smallCaps w:val="false"/>
                <w:sz w:val="20"/>
              </w:rPr>
              <w:t>” includes the L/C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Free of Taxes; Obligation to Withhold; Payments on Account of Taxes</w:t>
            </w:r>
            <w:r>
              <w:rPr>
                <w:rFonts w:ascii="Times New Roman" w:hAnsi="Times New Roman"/>
                <w:caps w:val="false"/>
                <w:smallCaps w:val="false"/>
                <w:sz w:val="20"/>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the applicable Recipient receives an amount equal to the sum it would have received had no such withholding or deduction been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 of Other Taxes by the Loan Parties</w:t>
            </w:r>
            <w:r>
              <w:rPr>
                <w:rFonts w:ascii="Times New Roman" w:hAnsi="Times New Roman"/>
                <w:caps w:val="false"/>
                <w:smallCaps w:val="false"/>
                <w:sz w:val="20"/>
              </w:rPr>
              <w:t>. The Loan Parties shall timely pay to the relevant Governmental Authority in accordance with Applicable Law, or at the option of the Administrative Agent timely reimburse it for the payment of, any Other Taxes.</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 Indemnifications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Lender shall, and does hereby, severally indemnify and shall make payment in respect thereof within ten (10) days after demand therefor, the Administrative Agent against (A) any Indemnified Taxes attributable to such Lender, (B) any Taxes attributable to such Lender’s failure to comply with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11.06(d)</w:t>
            </w:r>
            <w:r>
              <w:rPr>
                <w:rFonts w:ascii="Times New Roman" w:hAnsi="Times New Roman"/>
                <w:caps w:val="false"/>
                <w:smallCaps w:val="false"/>
                <w:sz w:val="20"/>
              </w:rPr>
              <w:t xml:space="preserve"> 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(d)(ii)</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Evidence of Payments</w:t>
            </w:r>
            <w:r>
              <w:rPr>
                <w:rFonts w:ascii="Times New Roman" w:hAnsi="Times New Roman"/>
                <w:caps w:val="false"/>
                <w:smallCaps w:val="false"/>
                <w:sz w:val="20"/>
              </w:rPr>
              <w:t xml:space="preserve">. As soon as practicable after any payment of Taxes by any Loan Party to a Governmental Authority, as provided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0"/>
        <w:gridCol w:w="125"/>
        <w:gridCol w:w="33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Status of Lenders; Tax Documentation</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any Lender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3.01(f)(ii)(A)</w:t>
            </w:r>
            <w:r>
              <w:rPr>
                <w:rFonts w:ascii="Times New Roman" w:hAnsi="Times New Roman"/>
                <w:caps w:val="false"/>
                <w:smallCaps w:val="false"/>
                <w:sz w:val="20"/>
              </w:rPr>
              <w:t xml:space="preserve">, </w:t>
            </w:r>
            <w:r>
              <w:rPr>
                <w:rFonts w:ascii="Times New Roman" w:hAnsi="Times New Roman"/>
                <w:b/>
                <w:i/>
                <w:caps w:val="false"/>
                <w:smallCaps w:val="false"/>
                <w:sz w:val="20"/>
              </w:rPr>
              <w:t>(ii)(B)</w:t>
            </w:r>
            <w:r>
              <w:rPr>
                <w:rFonts w:ascii="Times New Roman" w:hAnsi="Times New Roman"/>
                <w:caps w:val="false"/>
                <w:smallCaps w:val="false"/>
                <w:sz w:val="20"/>
              </w:rPr>
              <w:t> and </w:t>
            </w:r>
            <w:r>
              <w:rPr>
                <w:rFonts w:ascii="Times New Roman" w:hAnsi="Times New Roman"/>
                <w:b/>
                <w:i/>
                <w:caps w:val="false"/>
                <w:smallCaps w:val="false"/>
                <w:sz w:val="20"/>
              </w:rPr>
              <w:t>(ii)(D)</w:t>
            </w:r>
            <w:r>
              <w:rPr>
                <w:rFonts w:ascii="Times New Roman" w:hAnsi="Times New Roman"/>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tc>
      </w:tr>
    </w:tbl>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60"/>
        <w:gridCol w:w="185"/>
        <w:gridCol w:w="774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Without limiting the generality of the foregoing, in the event that the Borrower is a U.S. Person,</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tc>
      </w:tr>
    </w:tbl>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w:t>
            </w:r>
            <w:r>
              <w:rPr>
                <w:rFonts w:ascii="Times New Roman" w:hAnsi="Times New Roman"/>
                <w:i/>
                <w:caps w:val="false"/>
                <w:smallCaps w:val="false"/>
                <w:sz w:val="20"/>
              </w:rPr>
              <w:t>interest</w:t>
            </w:r>
            <w:r>
              <w:rPr>
                <w:rFonts w:ascii="Times New Roman" w:hAnsi="Times New Roman"/>
                <w:caps w:val="false"/>
                <w:smallCaps w:val="false"/>
                <w:sz w:val="20"/>
              </w:rPr>
              <w:t>” article of such tax treaty and (y) with respect to any other applicable payments under any Loan Document, IRS Form W-8BEN-E (or W-8BEN, as applicable) establishing an exemption from, or reduction of, U.S. federal withholding Tax pursuant to the “</w:t>
            </w:r>
            <w:r>
              <w:rPr>
                <w:rFonts w:ascii="Times New Roman" w:hAnsi="Times New Roman"/>
                <w:i/>
                <w:caps w:val="false"/>
                <w:smallCaps w:val="false"/>
                <w:sz w:val="20"/>
              </w:rPr>
              <w:t>business profits</w:t>
            </w:r>
            <w:r>
              <w:rPr>
                <w:rFonts w:ascii="Times New Roman" w:hAnsi="Times New Roman"/>
                <w:caps w:val="false"/>
                <w:smallCaps w:val="false"/>
                <w:sz w:val="20"/>
              </w:rPr>
              <w:t>” or “</w:t>
            </w:r>
            <w:r>
              <w:rPr>
                <w:rFonts w:ascii="Times New Roman" w:hAnsi="Times New Roman"/>
                <w:i/>
                <w:caps w:val="false"/>
                <w:smallCaps w:val="false"/>
                <w:sz w:val="20"/>
              </w:rPr>
              <w:t>other income</w:t>
            </w:r>
            <w:r>
              <w:rPr>
                <w:rFonts w:ascii="Times New Roman" w:hAnsi="Times New Roman"/>
                <w:caps w:val="false"/>
                <w:smallCaps w:val="false"/>
                <w:sz w:val="20"/>
              </w:rPr>
              <w:t>” article of such tax treaty;</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70"/>
        <w:gridCol w:w="3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3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executed copies of IRS Form W-8ECI;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the case of a Foreign Lender claiming the benefits of the exemption for portfolio interest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881(c)</w:t>
            </w:r>
            <w:r>
              <w:rPr>
                <w:rFonts w:ascii="Times New Roman" w:hAnsi="Times New Roman"/>
                <w:caps w:val="false"/>
                <w:smallCaps w:val="false"/>
                <w:sz w:val="20"/>
              </w:rPr>
              <w:t xml:space="preserve"> of the Code, (x) a certificate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3.01-1</w:t>
            </w:r>
            <w:r>
              <w:rPr>
                <w:rFonts w:ascii="Times New Roman" w:hAnsi="Times New Roman"/>
                <w:caps w:val="false"/>
                <w:smallCaps w:val="false"/>
                <w:sz w:val="20"/>
              </w:rPr>
              <w:t> to the effect that such Foreign Lender is not a “</w:t>
            </w:r>
            <w:r>
              <w:rPr>
                <w:rFonts w:ascii="Times New Roman" w:hAnsi="Times New Roman"/>
                <w:i/>
                <w:caps w:val="false"/>
                <w:smallCaps w:val="false"/>
                <w:sz w:val="20"/>
              </w:rPr>
              <w:t>bank</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881(c)(3)(A)</w:t>
            </w:r>
            <w:r>
              <w:rPr>
                <w:rFonts w:ascii="Times New Roman" w:hAnsi="Times New Roman"/>
                <w:caps w:val="false"/>
                <w:smallCaps w:val="false"/>
                <w:sz w:val="20"/>
              </w:rPr>
              <w:t> of the Code, a “</w:t>
            </w:r>
            <w:r>
              <w:rPr>
                <w:rFonts w:ascii="Times New Roman" w:hAnsi="Times New Roman"/>
                <w:i/>
                <w:caps w:val="false"/>
                <w:smallCaps w:val="false"/>
                <w:sz w:val="20"/>
              </w:rPr>
              <w:t>10 percent shareholder</w:t>
            </w:r>
            <w:r>
              <w:rPr>
                <w:rFonts w:ascii="Times New Roman" w:hAnsi="Times New Roman"/>
                <w:caps w:val="false"/>
                <w:smallCaps w:val="false"/>
                <w:sz w:val="20"/>
              </w:rPr>
              <w:t xml:space="preserve">” of the Borrower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881(c)(3)(B)</w:t>
            </w:r>
            <w:r>
              <w:rPr>
                <w:rFonts w:ascii="Times New Roman" w:hAnsi="Times New Roman"/>
                <w:caps w:val="false"/>
                <w:smallCaps w:val="false"/>
                <w:sz w:val="20"/>
              </w:rPr>
              <w:t> of the Code, or a “</w:t>
            </w:r>
            <w:r>
              <w:rPr>
                <w:rFonts w:ascii="Times New Roman" w:hAnsi="Times New Roman"/>
                <w:i/>
                <w:caps w:val="false"/>
                <w:smallCaps w:val="false"/>
                <w:sz w:val="20"/>
              </w:rPr>
              <w:t>controlled foreign corporation</w:t>
            </w:r>
            <w:r>
              <w:rPr>
                <w:rFonts w:ascii="Times New Roman" w:hAnsi="Times New Roman"/>
                <w:caps w:val="false"/>
                <w:smallCaps w:val="false"/>
                <w:sz w:val="20"/>
              </w:rPr>
              <w:t xml:space="preserve">” described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881(c)(3)(C)</w:t>
            </w:r>
            <w:r>
              <w:rPr>
                <w:rFonts w:ascii="Times New Roman" w:hAnsi="Times New Roman"/>
                <w:caps w:val="false"/>
                <w:smallCaps w:val="false"/>
                <w:sz w:val="20"/>
              </w:rPr>
              <w:t> of the Code (a “</w:t>
            </w:r>
            <w:r>
              <w:rPr>
                <w:rFonts w:ascii="Times New Roman" w:hAnsi="Times New Roman"/>
                <w:b/>
                <w:i/>
                <w:caps w:val="false"/>
                <w:smallCaps w:val="false"/>
                <w:sz w:val="20"/>
              </w:rPr>
              <w:t>U.S. Tax Compliance Certificate</w:t>
            </w:r>
            <w:r>
              <w:rPr>
                <w:rFonts w:ascii="Times New Roman" w:hAnsi="Times New Roman"/>
                <w:caps w:val="false"/>
                <w:smallCaps w:val="false"/>
                <w:sz w:val="20"/>
              </w:rPr>
              <w:t>”) and (y) executed copies of IRS Form W 8BEN-E (or W-8BEN, as applicable);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3.01-2</w:t>
            </w:r>
            <w:r>
              <w:rPr>
                <w:rFonts w:ascii="Times New Roman" w:hAnsi="Times New Roman"/>
                <w:caps w:val="false"/>
                <w:smallCaps w:val="false"/>
                <w:sz w:val="20"/>
              </w:rPr>
              <w:t xml:space="preserve"> or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3.01-3</w:t>
            </w:r>
            <w:r>
              <w:rPr>
                <w:rFonts w:ascii="Times New Roman" w:hAnsi="Times New Roman"/>
                <w:caps w:val="false"/>
                <w:smallCaps w:val="false"/>
                <w:sz w:val="20"/>
              </w:rPr>
              <w:t xml:space="preserve">, IRS Form W-9, and/or other certification documents from each beneficial owner, as applicable;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Foreign Lender is a partnership and one (1) or more direct or indirect partners of such Foreign Lender are claiming the portfolio interest exemption, such Foreign Lender may provide a U.S. Tax Compliance Certificate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3.01-4</w:t>
            </w:r>
            <w:r>
              <w:rPr>
                <w:rFonts w:ascii="Times New Roman" w:hAnsi="Times New Roman"/>
                <w:caps w:val="false"/>
                <w:smallCaps w:val="false"/>
                <w:sz w:val="20"/>
              </w:rPr>
              <w:t> on behalf of each such direct and indirect partner;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 payment made to a Lender under any Loan Document would be subject to U.S. federal withholding Tax imposed by FATCA if such Lender were to fail to comply with the applicable reporting requirements of FATCA (including those contained in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1471(b)</w:t>
            </w:r>
            <w:r>
              <w:rPr>
                <w:rFonts w:ascii="Times New Roman" w:hAnsi="Times New Roman"/>
                <w:caps w:val="false"/>
                <w:smallCaps w:val="false"/>
                <w:sz w:val="20"/>
              </w:rPr>
              <w:t> or </w:t>
            </w:r>
            <w:r>
              <w:rPr>
                <w:rFonts w:ascii="Times New Roman" w:hAnsi="Times New Roman"/>
                <w:i/>
                <w:caps w:val="false"/>
                <w:smallCaps w:val="false"/>
                <w:sz w:val="20"/>
              </w:rPr>
              <w:t>1472(b)</w:t>
            </w:r>
            <w:r>
              <w:rPr>
                <w:rFonts w:ascii="Times New Roman" w:hAnsi="Times New Roman"/>
                <w:caps w:val="false"/>
                <w:smallCaps w:val="false"/>
                <w:sz w:val="20"/>
              </w:rPr>
              <w:t xml:space="preserve">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1471(b)(3)(C)(i)</w:t>
            </w:r>
            <w:r>
              <w:rPr>
                <w:rFonts w:ascii="Times New Roman" w:hAnsi="Times New Roman"/>
                <w:caps w:val="false"/>
                <w:smallCaps w:val="false"/>
                <w:sz w:val="20"/>
              </w:rPr>
              <w:t xml:space="preserve">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(f)(ii)(D)</w:t>
            </w:r>
            <w:r>
              <w:rPr>
                <w:rFonts w:ascii="Times New Roman" w:hAnsi="Times New Roman"/>
                <w:caps w:val="false"/>
                <w:smallCaps w:val="false"/>
                <w:sz w:val="20"/>
              </w:rPr>
              <w:t>, “</w:t>
            </w:r>
            <w:r>
              <w:rPr>
                <w:rFonts w:ascii="Times New Roman" w:hAnsi="Times New Roman"/>
                <w:i/>
                <w:caps w:val="false"/>
                <w:smallCaps w:val="false"/>
                <w:sz w:val="20"/>
              </w:rPr>
              <w:t>FATCA</w:t>
            </w:r>
            <w:r>
              <w:rPr>
                <w:rFonts w:ascii="Times New Roman" w:hAnsi="Times New Roman"/>
                <w:caps w:val="false"/>
                <w:smallCaps w:val="false"/>
                <w:sz w:val="20"/>
              </w:rPr>
              <w:t>” shall include any amendments made to FATCA after the date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Lender agrees that if any form or certification it previously delivered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expires or becomes obsolete or inaccurate in any respect, it shall update such form or certification or promptly notify the Borrower and the Administrative Agent in writing of its legal inability to do so.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Certain Refunds</w:t>
            </w:r>
            <w:r>
              <w:rPr>
                <w:rFonts w:ascii="Times New Roman" w:hAnsi="Times New Roman"/>
                <w:caps w:val="false"/>
                <w:smallCaps w:val="false"/>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it shall pay to such Loan Party an amount equal to such refund (but only to the extent of indemnity payments made, or additional amounts paid, by such Loan Party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(g)</w:t>
            </w:r>
            <w:r>
              <w:rPr>
                <w:rFonts w:ascii="Times New Roman" w:hAnsi="Times New Roman"/>
                <w:caps w:val="false"/>
                <w:smallCaps w:val="false"/>
                <w:sz w:val="20"/>
              </w:rPr>
              <w:t xml:space="preserve">, in no event will the applicable Recipient be required to pay any amount to such Loan Party pursuant to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(g)</w:t>
            </w:r>
            <w:r>
              <w:rPr>
                <w:rFonts w:ascii="Times New Roman" w:hAnsi="Times New Roman"/>
                <w:caps w:val="false"/>
                <w:smallCaps w:val="false"/>
                <w:sz w:val="20"/>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(g)</w:t>
            </w:r>
            <w:r>
              <w:rPr>
                <w:rFonts w:ascii="Times New Roman" w:hAnsi="Times New Roman"/>
                <w:caps w:val="false"/>
                <w:smallCaps w:val="false"/>
                <w:sz w:val="20"/>
              </w:rPr>
              <w:t> shall not be construed to require any Recipient to make available its tax returns (or any other information relating to its Taxes that it deems confidential) to any Loan Party or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Survival</w:t>
            </w:r>
            <w:r>
              <w:rPr>
                <w:rFonts w:ascii="Times New Roman" w:hAnsi="Times New Roman"/>
                <w:caps w:val="false"/>
                <w:smallCaps w:val="false"/>
                <w:sz w:val="20"/>
              </w:rPr>
              <w:t xml:space="preserve">. Each party’s obligations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shall survive the resignation or replacement of the Administrative Agent or any assignment of rights by, or the replacement of, a Lender, the termination of the Commitments and the repayment, satisfaction or discharge of all other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60"/>
        <w:gridCol w:w="170"/>
        <w:gridCol w:w="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Illegality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If any Lender determines that any Law has made it unlawful, or that any Governmental Authority has asserted that it is unlawful, for any Lender or its Lending Office to make, maintain or fund or charge interest with respect to any Credit Extension, or to determine or charge interest rates based upon SOFR or Term SOFR, then, upon notice thereof by such Lender to the Borrower (through the Administrative Agent), (i) any obligation of such Lender to make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(B)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
        <w:gridCol w:w="170"/>
        <w:gridCol w:w="2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Inability to Determine Rates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in connection with any request for a Term SOFR Loan or a conversion to or continuation thereof, as applicable, (i) the Administrative Agent determines (which determination shall be conclusive absent manifest error) that (A) no Successor Rate has been determined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3.03(b)</w:t>
            </w:r>
            <w:r>
              <w:rPr>
                <w:rFonts w:ascii="Times New Roman" w:hAnsi="Times New Roman"/>
                <w:caps w:val="false"/>
                <w:smallCaps w:val="false"/>
                <w:sz w:val="20"/>
              </w:rPr>
              <w:t xml:space="preserve">, and the circumstances under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w:t>
            </w:r>
            <w:r>
              <w:rPr>
                <w:rFonts w:ascii="Times New Roman" w:hAnsi="Times New Roman"/>
                <w:caps w:val="false"/>
                <w:smallCaps w:val="false"/>
                <w:sz w:val="20"/>
              </w:rPr>
              <w:t xml:space="preserve">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3.03(b)</w:t>
            </w:r>
            <w:r>
              <w:rPr>
                <w:rFonts w:ascii="Times New Roman" w:hAnsi="Times New Roman"/>
                <w:caps w:val="false"/>
                <w:smallCaps w:val="false"/>
                <w:sz w:val="20"/>
              </w:rPr>
              <w:t xml:space="preserve"> or the Scheduled Unavailability Date has occurred (as applicable)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the Term SOFR for any requested Interest Period with respect to a proposed Term SOFR Loan does not adequately and fairly reflect the cost to such Lenders of funding such Loan, the Administrative Agent will promptly so notify the Borrower and each Lender. 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3.03(a)</w:t>
            </w:r>
            <w:r>
              <w:rPr>
                <w:rFonts w:ascii="Times New Roman" w:hAnsi="Times New Roman"/>
                <w:caps w:val="false"/>
                <w:smallCaps w:val="false"/>
                <w:sz w:val="20"/>
              </w:rPr>
              <w:t>, until the Administrative Agent upon instruction of the Required Lenders) revokes such notice. Upon receipt of such notice, (i) the Borrower may revoke any pending request for a Borrowing of,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at the end of their respective applicable Interest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adequate and reasonable means do not exist for ascertaining one (1) month, three month and six (6) month interest periods of Term SOFR, including, without limitation, because the Term SOFR Screen Rate is not available or published on a current basis and such circumstances are unlikely to be temporary;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(1) month, three month and six (6)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(1) month, three month and six (6) month interest periods of Term SOFR or the Term SOFR Screen Rate are no longer available permanently or indefinitely, the “</w:t>
            </w:r>
            <w:r>
              <w:rPr>
                <w:rFonts w:ascii="Times New Roman" w:hAnsi="Times New Roman"/>
                <w:b/>
                <w:i/>
                <w:caps w:val="false"/>
                <w:smallCaps w:val="false"/>
                <w:sz w:val="20"/>
              </w:rPr>
              <w:t>Scheduled Unavailability Date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then, on a date and time determined by the Administrative Agent (any such date, the “</w:t>
      </w:r>
      <w:r>
        <w:rPr>
          <w:rFonts w:ascii="Times New Roman" w:hAnsi="Times New Roman"/>
          <w:b/>
          <w:i/>
          <w:caps w:val="false"/>
          <w:smallCaps w:val="false"/>
          <w:sz w:val="20"/>
        </w:rPr>
        <w:t>Term SOFR Replacement Date</w:t>
      </w:r>
      <w:r>
        <w:rPr>
          <w:rFonts w:ascii="Times New Roman" w:hAnsi="Times New Roman"/>
          <w:caps w:val="false"/>
          <w:smallCaps w:val="false"/>
          <w:sz w:val="20"/>
        </w:rPr>
        <w:t xml:space="preserve">”), which date shall be at the end of an Interest Period or on the relevant interest payment date, as applicable, for interest calculated and, solely with respect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xml:space="preserve"> above, no later than the Scheduled Unavailability Date, Term SOFR will be replaced hereunder and under any Loan Document with Daily Simple SOFR </w:t>
      </w:r>
      <w:r>
        <w:rPr>
          <w:rFonts w:ascii="Times New Roman" w:hAnsi="Times New Roman"/>
          <w:i/>
          <w:caps w:val="false"/>
          <w:smallCaps w:val="false"/>
          <w:sz w:val="20"/>
        </w:rPr>
        <w:t>plus</w:t>
      </w:r>
      <w:r>
        <w:rPr>
          <w:rFonts w:ascii="Times New Roman" w:hAnsi="Times New Roman"/>
          <w:caps w:val="false"/>
          <w:smallCaps w:val="false"/>
          <w:sz w:val="20"/>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b/>
          <w:i/>
          <w:caps w:val="false"/>
          <w:smallCaps w:val="false"/>
          <w:sz w:val="20"/>
        </w:rPr>
        <w:t>Successor Rate</w:t>
      </w:r>
      <w:r>
        <w:rPr>
          <w:rFonts w:ascii="Times New Roman" w:hAnsi="Times New Roman"/>
          <w:caps w:val="false"/>
          <w:smallCaps w:val="false"/>
          <w:sz w:val="20"/>
        </w:rPr>
        <w: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the Successor Rate is Daily Simple SOFR </w:t>
      </w:r>
      <w:r>
        <w:rPr>
          <w:rFonts w:ascii="Times New Roman" w:hAnsi="Times New Roman"/>
          <w:i/>
          <w:caps w:val="false"/>
          <w:smallCaps w:val="false"/>
          <w:sz w:val="20"/>
        </w:rPr>
        <w:t>plus</w:t>
      </w:r>
      <w:r>
        <w:rPr>
          <w:rFonts w:ascii="Times New Roman" w:hAnsi="Times New Roman"/>
          <w:caps w:val="false"/>
          <w:smallCaps w:val="false"/>
          <w:sz w:val="20"/>
        </w:rPr>
        <w:t xml:space="preserve"> the SOFR Adjustment, all interest payments will be payable on a monthly basis.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3.03(b)(i)</w:t>
      </w:r>
      <w:r>
        <w:rPr>
          <w:rFonts w:ascii="Times New Roman" w:hAnsi="Times New Roman"/>
          <w:caps w:val="false"/>
          <w:smallCaps w:val="false"/>
          <w:sz w:val="20"/>
        </w:rPr>
        <w:t xml:space="preserve"> or </w:t>
      </w:r>
      <w:r>
        <w:rPr>
          <w:rFonts w:ascii="Times New Roman" w:hAnsi="Times New Roman"/>
          <w:b/>
          <w:i/>
          <w:caps w:val="false"/>
          <w:smallCaps w:val="false"/>
          <w:sz w:val="20"/>
        </w:rPr>
        <w:t>(ii)</w:t>
      </w:r>
      <w:r>
        <w:rPr>
          <w:rFonts w:ascii="Times New Roman" w:hAnsi="Times New Roman"/>
          <w:caps w:val="false"/>
          <w:smallCaps w:val="false"/>
          <w:sz w:val="20"/>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w:t>
      </w:r>
      <w:r>
        <w:rPr>
          <w:rFonts w:ascii="Times New Roman" w:hAnsi="Times New Roman"/>
          <w:caps w:val="false"/>
          <w:smallCaps w:val="false"/>
          <w:sz w:val="20"/>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hAnsi="Times New Roman"/>
          <w:i/>
          <w:caps w:val="false"/>
          <w:smallCaps w:val="false"/>
          <w:sz w:val="20"/>
        </w:rPr>
        <w:t>Successor Rate</w:t>
      </w:r>
      <w:r>
        <w:rPr>
          <w:rFonts w:ascii="Times New Roman" w:hAnsi="Times New Roman"/>
          <w:caps w:val="false"/>
          <w:smallCaps w:val="false"/>
          <w:sz w:val="20"/>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will promptly (in one (1) or more notices) notify the Borrower and each Lender of the implementation of any Successor Rate.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Successor Rate shall be applied in a manner consistent with market practice; </w:t>
      </w:r>
      <w:r>
        <w:rPr>
          <w:rFonts w:ascii="Times New Roman" w:hAnsi="Times New Roman"/>
          <w:i/>
          <w:caps w:val="false"/>
          <w:smallCaps w:val="false"/>
          <w:sz w:val="20"/>
        </w:rPr>
        <w:t>provided</w:t>
      </w:r>
      <w:r>
        <w:rPr>
          <w:rFonts w:ascii="Times New Roman" w:hAnsi="Times New Roman"/>
          <w:caps w:val="false"/>
          <w:smallCaps w:val="false"/>
          <w:sz w:val="20"/>
        </w:rPr>
        <w:t xml:space="preserve"> 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else herein, if at any time any Successor Rate as so determined would otherwise be less than 0%, the Successor Rate will be deemed to be 0% for the purposes of this Agreement and the other Loan Documents.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purposes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w:t>
      </w:r>
      <w:r>
        <w:rPr>
          <w:rFonts w:ascii="Times New Roman" w:hAnsi="Times New Roman"/>
          <w:caps w:val="false"/>
          <w:smallCaps w:val="false"/>
          <w:sz w:val="20"/>
        </w:rPr>
        <w:t>,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170"/>
        <w:gridCol w:w="1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Increased Costs</w:t>
            </w:r>
            <w:r>
              <w:rPr>
                <w:rFonts w:ascii="Times New Roman" w:hAnsi="Times New Roman"/>
                <w:caps w:val="false"/>
                <w:smallCaps w:val="false"/>
                <w:sz w:val="20"/>
              </w:rPr>
              <w:t>.</w:t>
            </w:r>
          </w:p>
        </w:tc>
      </w:tr>
    </w:tbl>
    <w:tbl>
      <w:tblPr>
        <w:tblW w:w="4780" w:type="dxa"/>
        <w:jc w:val="left"/>
        <w:tblInd w:w="0" w:type="dxa"/>
        <w:tblLayout w:type="fixed"/>
        <w:tblCellMar>
          <w:top w:w="0" w:type="dxa"/>
          <w:left w:w="0" w:type="dxa"/>
          <w:bottom w:w="0" w:type="dxa"/>
          <w:right w:w="0" w:type="dxa"/>
        </w:tblCellMar>
      </w:tblPr>
      <w:tblGrid>
        <w:gridCol w:w="60"/>
        <w:gridCol w:w="155"/>
        <w:gridCol w:w="456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Increased Costs Generally</w:t>
            </w:r>
            <w:r>
              <w:rPr>
                <w:rFonts w:ascii="Times New Roman" w:hAnsi="Times New Roman"/>
                <w:caps w:val="false"/>
                <w:smallCaps w:val="false"/>
                <w:sz w:val="20"/>
              </w:rPr>
              <w:t>. If any Change in Law shall:</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impose, modify or deem applicable any reserve, special deposit, compulsory loan, insurance charge or similar requirement against assets of, deposits with or for the account of, or credit extended or participated in by, any Lender or the L/C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subject any Recipient to any Taxes (other than (A) Indemnified Taxes, (B) Taxes described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through </w:t>
            </w:r>
            <w:r>
              <w:rPr>
                <w:rFonts w:ascii="Times New Roman" w:hAnsi="Times New Roman"/>
                <w:b/>
                <w:i/>
                <w:caps w:val="false"/>
                <w:smallCaps w:val="false"/>
                <w:sz w:val="20"/>
              </w:rPr>
              <w:t>(d)</w:t>
            </w:r>
            <w:r>
              <w:rPr>
                <w:rFonts w:ascii="Times New Roman" w:hAnsi="Times New Roman"/>
                <w:caps w:val="false"/>
                <w:smallCaps w:val="false"/>
                <w:sz w:val="20"/>
              </w:rPr>
              <w:t> of the definition of Excluded Taxes and (C) Connection Income Taxes) on its loans, loan principal, letters of credit, commitments, or other obligations, or its deposits, reserves, other liabilities or capital attributable thereto;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impose on any Lender or the L/C Issuer any other condition, cost or expense affecting this Agreement or Term SOFR Loans made by such Lender or any Letter of Credit or participation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Capital Requirements</w:t>
            </w:r>
            <w:r>
              <w:rPr>
                <w:rFonts w:ascii="Times New Roman" w:hAnsi="Times New Roman"/>
                <w:caps w:val="false"/>
                <w:smallCaps w:val="false"/>
                <w:sz w:val="20"/>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Certificates for Reimbursement</w:t>
            </w:r>
            <w:r>
              <w:rPr>
                <w:rFonts w:ascii="Times New Roman" w:hAnsi="Times New Roman"/>
                <w:caps w:val="false"/>
                <w:smallCaps w:val="false"/>
                <w:sz w:val="20"/>
              </w:rPr>
              <w:t xml:space="preserve">. A certificate of a Lender or the L/C Issuer setting forth the amount or amounts necessary to compensate such Lender or the L/C Issuer or its holding company, as the case may be, as specified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or </w:t>
            </w:r>
            <w:r>
              <w:rPr>
                <w:rFonts w:ascii="Times New Roman" w:hAnsi="Times New Roman"/>
                <w:b/>
                <w:i/>
                <w:caps w:val="false"/>
                <w:smallCaps w:val="false"/>
                <w:sz w:val="20"/>
              </w:rPr>
              <w:t>(b)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3.04</w:t>
            </w:r>
            <w:r>
              <w:rPr>
                <w:rFonts w:ascii="Times New Roman" w:hAnsi="Times New Roman"/>
                <w:caps w:val="false"/>
                <w:smallCaps w:val="false"/>
                <w:sz w:val="20"/>
              </w:rPr>
              <w:t> and delivered to the Borrower shall be conclusive absent manifest error. The Borrower shall pay such Lender or the L/C Issuer, as the case may be, the amount shown as due on any such certificate within ten (10) days after receipt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Delay in Requests</w:t>
            </w:r>
            <w:r>
              <w:rPr>
                <w:rFonts w:ascii="Times New Roman" w:hAnsi="Times New Roman"/>
                <w:caps w:val="false"/>
                <w:smallCaps w:val="false"/>
                <w:sz w:val="20"/>
              </w:rPr>
              <w:t xml:space="preserve">. Failure or delay on the part of any Lender or the L/C Issuer to demand compensation pursuant to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3.04</w:t>
            </w:r>
            <w:r>
              <w:rPr>
                <w:rFonts w:ascii="Times New Roman" w:hAnsi="Times New Roman"/>
                <w:caps w:val="false"/>
                <w:smallCaps w:val="false"/>
                <w:sz w:val="20"/>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3.04</w:t>
            </w:r>
            <w:r>
              <w:rPr>
                <w:rFonts w:ascii="Times New Roman" w:hAnsi="Times New Roman"/>
                <w:caps w:val="false"/>
                <w:smallCaps w:val="false"/>
                <w:sz w:val="20"/>
              </w:rPr>
              <w:t> 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70"/>
        <w:gridCol w:w="2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for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continuation, conversion, payment or prepayment of any Loan other than a Base Rate Loan on a day other than the last day of the Interest Period for such Loan (whether voluntary, mandatory, automatic, by reason of acceleration,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failure by the Borrower (for a reason other than the failure of such Lender to make a Loan) to prepay, borrow, continue or convert any Loan other than a Base Rate Loan on the date or in the amount notified by the Borrower;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assignment of a Term SOFR Loan on a day other than the last day of the Interest Period therefor as a result of a request by the Borrower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11.13</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Mitigation Obligations; Replacement of Lenders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Designation of a Different Lending Office</w:t>
            </w:r>
            <w:r>
              <w:rPr>
                <w:rFonts w:ascii="Times New Roman" w:hAnsi="Times New Roman"/>
                <w:caps w:val="false"/>
                <w:smallCaps w:val="false"/>
                <w:sz w:val="20"/>
              </w:rPr>
              <w:t xml:space="preserve">. If any Lender requests compensation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3.04</w:t>
            </w:r>
            <w:r>
              <w:rPr>
                <w:rFonts w:ascii="Times New Roman" w:hAnsi="Times New Roman"/>
                <w:caps w:val="false"/>
                <w:smallCaps w:val="false"/>
                <w:sz w:val="20"/>
              </w:rPr>
              <w:t xml:space="preserve">, or requires the Borrower to pay any Indemnified Taxes or additional amounts to any Lender, the L/C Issuer, or any Governmental Authority for the account of any Lender or the L/C Issuer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or if any Lender gives a notice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3.02</w:t>
            </w:r>
            <w:r>
              <w:rPr>
                <w:rFonts w:ascii="Times New Roman" w:hAnsi="Times New Roman"/>
                <w:caps w:val="false"/>
                <w:smallCaps w:val="false"/>
                <w:sz w:val="20"/>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or </w:t>
            </w:r>
            <w:r>
              <w:rPr>
                <w:rFonts w:ascii="Times New Roman" w:hAnsi="Times New Roman"/>
                <w:b/>
                <w:i/>
                <w:caps w:val="false"/>
                <w:smallCaps w:val="false"/>
                <w:sz w:val="20"/>
              </w:rPr>
              <w:t>3.04</w:t>
            </w:r>
            <w:r>
              <w:rPr>
                <w:rFonts w:ascii="Times New Roman" w:hAnsi="Times New Roman"/>
                <w:caps w:val="false"/>
                <w:smallCaps w:val="false"/>
                <w:sz w:val="20"/>
              </w:rPr>
              <w:t xml:space="preserve">, as the case may be, in the future, or eliminate the need for the notice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3.02</w:t>
            </w:r>
            <w:r>
              <w:rPr>
                <w:rFonts w:ascii="Times New Roman" w:hAnsi="Times New Roman"/>
                <w:caps w:val="false"/>
                <w:smallCaps w:val="false"/>
                <w:sz w:val="20"/>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Replacement of Lenders</w:t>
            </w:r>
            <w:r>
              <w:rPr>
                <w:rFonts w:ascii="Times New Roman" w:hAnsi="Times New Roman"/>
                <w:caps w:val="false"/>
                <w:smallCaps w:val="false"/>
                <w:sz w:val="20"/>
              </w:rPr>
              <w:t xml:space="preserve">. If any Lender requests compensation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3.04</w:t>
            </w:r>
            <w:r>
              <w:rPr>
                <w:rFonts w:ascii="Times New Roman" w:hAnsi="Times New Roman"/>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and, in each case, such Lender has declined or is unable to designate a different lending office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3.06(a)</w:t>
            </w:r>
            <w:r>
              <w:rPr>
                <w:rFonts w:ascii="Times New Roman" w:hAnsi="Times New Roman"/>
                <w:caps w:val="false"/>
                <w:smallCaps w:val="false"/>
                <w:sz w:val="20"/>
              </w:rPr>
              <w:t xml:space="preserve">, the Borrower may replace such Lender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11.13</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60"/>
        <w:gridCol w:w="170"/>
        <w:gridCol w:w="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7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Survival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All of the Loan Parties’ obligations under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III</w:t>
      </w:r>
      <w:r>
        <w:rPr>
          <w:rFonts w:ascii="Times New Roman" w:hAnsi="Times New Roman"/>
          <w:caps w:val="false"/>
          <w:smallCaps w:val="false"/>
          <w:sz w:val="20"/>
        </w:rPr>
        <w:t xml:space="preserve"> shall survive termination of the Commitments, repayment of all other Obligations hereunder, resignation of the Administrative Agent and the Facility Termination Date.</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260"/>
        <w:gridCol w:w="495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4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PRECEDENT TO CREDIT EXTENSIONS</w:t>
            </w:r>
            <w:r>
              <w:rPr>
                <w:rFonts w:ascii="Times New Roman" w:hAnsi="Times New Roman"/>
                <w:caps w:val="false"/>
                <w:smallCaps w:val="false"/>
                <w:sz w:val="20"/>
              </w:rPr>
              <w:t>.</w:t>
            </w:r>
          </w:p>
        </w:tc>
      </w:tr>
    </w:tbl>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of Initial Credit Extension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obligation of the L/C Issuer and each Lender to make its initial Credit Extension hereunder is subject to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Execution of Loan Documents</w:t>
            </w:r>
            <w:r>
              <w:rPr>
                <w:rFonts w:ascii="Times New Roman" w:hAnsi="Times New Roman"/>
                <w:caps w:val="false"/>
                <w:smallCaps w:val="false"/>
                <w:sz w:val="20"/>
              </w:rPr>
              <w:t>. The Administrative Agent shall have received counterparts of this Agreement and the other Loan Documents, each properly executed by a Responsible Officer of the signing Loan Party and, in the case of this Agreement, by each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Organization Documents, Resolutions, Etc</w:t>
            </w:r>
            <w:r>
              <w:rPr>
                <w:rFonts w:ascii="Times New Roman" w:hAnsi="Times New Roman"/>
                <w:caps w:val="false"/>
                <w:smallCaps w:val="false"/>
                <w:sz w:val="20"/>
              </w:rPr>
              <w:t>. The Administrative Agent shall have received a certificate of a Responsible Officer of the Borrower and each Loan Party, dated the Closing Date, certifying as to the Organization Documents of the Borrower and such Loan Party (which, to the extent filed with a Governmental Authority, shall be certified as of a recent date acceptable to the Administrative Agent by such Governmental Authority), the resolutions of the governing body of the Borrower and such Loan Party and of the incumbency (including specimen signatures) of the Responsible Officers of such Loan Party. The Administrative Agent shall also have received such documents and certifications as the Administrative Agent may reasonably require to evidence that the Borrower and each Loan Party is duly organized or formed, and is validly existing, in good standing and qualified to engage in business in its state of organization or 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Opinions of Counsel</w:t>
            </w:r>
            <w:r>
              <w:rPr>
                <w:rFonts w:ascii="Times New Roman" w:hAnsi="Times New Roman"/>
                <w:caps w:val="false"/>
                <w:smallCaps w:val="false"/>
                <w:sz w:val="20"/>
              </w:rPr>
              <w:t>. The Administrative Agent shall have received an opinion or opinions (including, if requested by the Administrative Agent, local counsel opinions) of counsel for the Borrower and the Loan Parties, dated the Closing Date and addressed to the Administrative Agent and the Lenders, in form and substance acceptable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Statements</w:t>
            </w:r>
            <w:r>
              <w:rPr>
                <w:rFonts w:ascii="Times New Roman" w:hAnsi="Times New Roman"/>
                <w:caps w:val="false"/>
                <w:smallCaps w:val="false"/>
                <w:sz w:val="20"/>
              </w:rPr>
              <w:t xml:space="preserve">. The Administrative Agent and the Lenders shall have received copies of the financial statements referred to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5.05</w:t>
            </w:r>
            <w:r>
              <w:rPr>
                <w:rFonts w:ascii="Times New Roman" w:hAnsi="Times New Roman"/>
                <w:caps w:val="false"/>
                <w:smallCaps w:val="false"/>
                <w:sz w:val="20"/>
              </w:rPr>
              <w:t>, each in form and substance satisfactory to each of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Personal Property Collateral</w:t>
            </w:r>
            <w:r>
              <w:rPr>
                <w:rFonts w:ascii="Times New Roman" w:hAnsi="Times New Roman"/>
                <w:caps w:val="false"/>
                <w:smallCaps w:val="false"/>
                <w:sz w:val="20"/>
              </w:rPr>
              <w:t>. The Administrative Agent shall have received, in form and substance satisfactory to the Administrative Agent: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completed UCC financing statements for each appropriate jurisdiction as is necessary, in the Administrative Agent’s sole discretion, to perfect the Administrative Agent’s security interest in the Collateral;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reasonable discretion under the Law of the jurisdiction of organization of such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the case of any personal property Collateral located at premises leased by a Loan Party and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5.20(c)</w:t>
            </w:r>
            <w:r>
              <w:rPr>
                <w:rFonts w:ascii="Times New Roman" w:hAnsi="Times New Roman"/>
                <w:caps w:val="false"/>
                <w:smallCaps w:val="false"/>
                <w:sz w:val="20"/>
              </w:rPr>
              <w:t xml:space="preserve">, such estoppel letters, consents and waivers from the landlords of such real property to the extent required to be delivered in connection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6.14</w:t>
            </w:r>
            <w:r>
              <w:rPr>
                <w:rFonts w:ascii="Times New Roman" w:hAnsi="Times New Roman"/>
                <w:caps w:val="false"/>
                <w:smallCaps w:val="false"/>
                <w:sz w:val="20"/>
              </w:rPr>
              <w:t> (such letters, consents and waivers shall be in form and substance satisfactory to the Administrative Agent, it being acknowledged and agreed that any landlord waiver is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duly executed notices of grant of security interest in the form required by the Security Agreement as are necessary, in the Administrative Agent’s sole discretion, to perfect the Administrative Agent’s security interest in the United States registered Intellectual Property of the Loan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Evidence of Insurance</w:t>
            </w:r>
            <w:r>
              <w:rPr>
                <w:rFonts w:ascii="Times New Roman" w:hAnsi="Times New Roman"/>
                <w:caps w:val="false"/>
                <w:smallCaps w:val="false"/>
                <w:sz w:val="20"/>
              </w:rPr>
              <w:t>. The Administrative Agent shall have received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Perfection Certificate</w:t>
            </w:r>
            <w:r>
              <w:rPr>
                <w:rFonts w:ascii="Times New Roman" w:hAnsi="Times New Roman"/>
                <w:caps w:val="false"/>
                <w:smallCaps w:val="false"/>
                <w:sz w:val="20"/>
              </w:rPr>
              <w:t>. The Administrative Agent shall have received a customary perfection certificate signed by a Responsible Officer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Solvency Certificate</w:t>
            </w:r>
            <w:r>
              <w:rPr>
                <w:rFonts w:ascii="Times New Roman" w:hAnsi="Times New Roman"/>
                <w:caps w:val="false"/>
                <w:smallCaps w:val="false"/>
                <w:sz w:val="20"/>
              </w:rPr>
              <w:t>. The Administrative Agent shall have received a Solvency Certificate signed by a Responsible Officer of the Borrower as to the financial condition, solvency and related matters of the Loan Parties and their Subsidiaries, after giving effect to the initial Borrowings under the Loan Documents and the other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w:t>
            </w:r>
            <w:r>
              <w:rPr>
                <w:rFonts w:ascii="Times New Roman" w:hAnsi="Times New Roman"/>
                <w:caps w:val="false"/>
                <w:smallCaps w:val="false"/>
                <w:sz w:val="20"/>
              </w:rPr>
              <w:t>. The Administrative Agent shall be satisfied that the amount of committed financing available to the Loan Parties shall be sufficient to meet the ongoing financial needs of the Loan Parties and their Subsidiaries, after giving effect to the transactions contemplated hereby and the incurrence of Indebtedness by the Borrower on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Condition Certificate</w:t>
            </w:r>
            <w:r>
              <w:rPr>
                <w:rFonts w:ascii="Times New Roman" w:hAnsi="Times New Roman"/>
                <w:caps w:val="false"/>
                <w:smallCaps w:val="false"/>
                <w:sz w:val="20"/>
              </w:rPr>
              <w:t xml:space="preserve">. The Administrative Agent shall have received a certificate or certificates executed by a Responsible Officer of the Borrower as of the Closing Date, as to certain financial matters (including without limitation evidence that the Consolidated Leverage Ratio is less than 4.00:1.00 on a Pro Forma Basis after giving effect to the transactions on the Closing Date),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4.01(j)</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Material Contracts</w:t>
            </w:r>
            <w:r>
              <w:rPr>
                <w:rFonts w:ascii="Times New Roman" w:hAnsi="Times New Roman"/>
                <w:caps w:val="false"/>
                <w:smallCaps w:val="false"/>
                <w:sz w:val="20"/>
              </w:rPr>
              <w:t>. The Administrative Agent shall have received true and complete copies, certified by an officer of the Borrower as true and complete, of all Material Contracts, together with all exhibits and schedules.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Closing Certificate</w:t>
            </w:r>
            <w:r>
              <w:rPr>
                <w:rFonts w:ascii="Times New Roman" w:hAnsi="Times New Roman"/>
                <w:caps w:val="false"/>
                <w:smallCaps w:val="false"/>
                <w:sz w:val="20"/>
              </w:rPr>
              <w:t xml:space="preserve">. The Administrative Agent shall have received a certificate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4.01(j)</w:t>
            </w:r>
            <w:r>
              <w:rPr>
                <w:rFonts w:ascii="Times New Roman" w:hAnsi="Times New Roman"/>
                <w:caps w:val="false"/>
                <w:smallCaps w:val="false"/>
                <w:sz w:val="20"/>
              </w:rPr>
              <w:t xml:space="preserve"> signed by a Responsible Officer of the Borrower certifying that the conditions specified in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4.02(a)</w:t>
            </w:r>
            <w:r>
              <w:rPr>
                <w:rFonts w:ascii="Times New Roman" w:hAnsi="Times New Roman"/>
                <w:caps w:val="false"/>
                <w:smallCaps w:val="false"/>
                <w:sz w:val="20"/>
              </w:rPr>
              <w:t> and </w:t>
            </w:r>
            <w:r>
              <w:rPr>
                <w:rFonts w:ascii="Times New Roman" w:hAnsi="Times New Roman"/>
                <w:b/>
                <w:i/>
                <w:caps w:val="false"/>
                <w:smallCaps w:val="false"/>
                <w:sz w:val="20"/>
              </w:rPr>
              <w:t>4.02(b)</w:t>
            </w:r>
            <w:r>
              <w:rPr>
                <w:rFonts w:ascii="Times New Roman" w:hAnsi="Times New Roman"/>
                <w:caps w:val="false"/>
                <w:smallCaps w:val="false"/>
                <w:sz w:val="20"/>
              </w:rPr>
              <w:t> have been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5"/>
        <w:gridCol w:w="7740"/>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lllllllllllllllllllllllllllllllllllllll.</w:t>
            </w:r>
          </w:p>
        </w:tc>
        <w:tc>
          <w:tcPr>
            <w:tcW w:w="7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Existing Indebtedness of the Loan Parties</w:t>
            </w:r>
            <w:r>
              <w:rPr>
                <w:rFonts w:ascii="Times New Roman" w:hAnsi="Times New Roman"/>
                <w:caps w:val="false"/>
                <w:smallCaps w:val="false"/>
                <w:sz w:val="20"/>
              </w:rPr>
              <w:t xml:space="preserve">. All of the existing Indebtedness for borrowed money of the Loan Party Group Companies (other than Indebtedness permitted to exist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7.02</w:t>
            </w:r>
            <w:r>
              <w:rPr>
                <w:rFonts w:ascii="Times New Roman" w:hAnsi="Times New Roman"/>
                <w:caps w:val="false"/>
                <w:smallCaps w:val="false"/>
                <w:sz w:val="20"/>
              </w:rPr>
              <w:t>) shall be repaid in full and all security interests related thereto shall be terminated on or prior to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915"/>
        <w:gridCol w:w="4230"/>
      </w:tblGrid>
      <w:tr>
        <w:trPr/>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mmmmmmmmmmmmmmmmmmmmmmmmmmmmmmmmmmmmmmm.</w:t>
            </w:r>
          </w:p>
        </w:tc>
        <w:tc>
          <w:tcPr>
            <w:tcW w:w="4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Consents</w:t>
            </w:r>
            <w:r>
              <w:rPr>
                <w:rFonts w:ascii="Times New Roman" w:hAnsi="Times New Roman"/>
                <w:caps w:val="false"/>
                <w:smallCaps w:val="false"/>
                <w:sz w:val="20"/>
              </w:rPr>
              <w:t>. The Administrative Agent shall have received evidence that all members, boards of directors, governmental, shareholder and material third party consents and approvals necessary in connection with the entering into of this Agreement have been obtained.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nnnnnnnnnnnnnnnnnnnnnnnnnnnnnnnnnnnnnnn.</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Anti-Money-Laundering; Beneficial Ownership</w:t>
            </w:r>
            <w:r>
              <w:rPr>
                <w:rFonts w:ascii="Times New Roman" w:hAnsi="Times New Roman"/>
                <w:caps w:val="false"/>
                <w:smallCaps w:val="false"/>
                <w:sz w:val="20"/>
              </w:rPr>
              <w:t>. Upon the reasonable request of any Lender, the Borrower shall have provided to such Lender, and such Lender shall be reasonably satisfied with, the documentation and other information so requested in connection with applicable “</w:t>
            </w:r>
            <w:r>
              <w:rPr>
                <w:rFonts w:ascii="Times New Roman" w:hAnsi="Times New Roman"/>
                <w:i/>
                <w:caps w:val="false"/>
                <w:smallCaps w:val="false"/>
                <w:sz w:val="20"/>
              </w:rPr>
              <w:t>know your customer</w:t>
            </w:r>
            <w:r>
              <w:rPr>
                <w:rFonts w:ascii="Times New Roman" w:hAnsi="Times New Roman"/>
                <w:caps w:val="false"/>
                <w:smallCaps w:val="false"/>
                <w:sz w:val="20"/>
              </w:rPr>
              <w:t>” and anti-money-laundering rules and regulations, including, without limitation, the Patriot Act, and any Loan Party that qualifies as a “</w:t>
            </w:r>
            <w:r>
              <w:rPr>
                <w:rFonts w:ascii="Times New Roman" w:hAnsi="Times New Roman"/>
                <w:i/>
                <w:caps w:val="false"/>
                <w:smallCaps w:val="false"/>
                <w:sz w:val="20"/>
              </w:rPr>
              <w:t>legal entity customer</w:t>
            </w:r>
            <w:r>
              <w:rPr>
                <w:rFonts w:ascii="Times New Roman" w:hAnsi="Times New Roman"/>
                <w:caps w:val="false"/>
                <w:smallCaps w:val="false"/>
                <w:sz w:val="20"/>
              </w:rPr>
              <w:t>” under the Beneficial Ownership Regulation shall have delivered to each Lender that so requests, a Beneficial Ownership Certification in relation to such Loan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ooooooooooooooooooooooooooooooooooooooo.</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Fees and Expenses</w:t>
            </w:r>
            <w:r>
              <w:rPr>
                <w:rFonts w:ascii="Times New Roman" w:hAnsi="Times New Roman"/>
                <w:caps w:val="false"/>
                <w:smallCaps w:val="false"/>
                <w:sz w:val="20"/>
              </w:rPr>
              <w:t xml:space="preserve">. The Administrative Agent and the Lenders shall have received all fees and expenses, if any, owing pursuant to the Fee Letter and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2.09</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ppppppppppppppppppppppppppppppppppppppp.</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Other Documents</w:t>
            </w:r>
            <w:r>
              <w:rPr>
                <w:rFonts w:ascii="Times New Roman" w:hAnsi="Times New Roman"/>
                <w:caps w:val="false"/>
                <w:smallCaps w:val="false"/>
                <w:sz w:val="20"/>
              </w:rPr>
              <w:t>. All other documents provided for herein or which the Administrative Agent or any other Lender may reasonably request or require.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9.03(c)</w:t>
      </w:r>
      <w:r>
        <w:rPr>
          <w:rFonts w:ascii="Times New Roman" w:hAnsi="Times New Roman"/>
          <w:caps w:val="false"/>
          <w:smallCaps w:val="false"/>
          <w:sz w:val="20"/>
        </w:rPr>
        <w:t xml:space="preserve">, for purposes of determining compliance with the conditions specified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4.01</w:t>
      </w:r>
      <w:r>
        <w:rPr>
          <w:rFonts w:ascii="Times New Roman" w:hAnsi="Times New Roman"/>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70"/>
        <w:gridCol w:w="2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to all Credit Extensions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obligation of each Lender and the L/C Issuer to honor any Request for Credit Extension (other than a Loan Notice requesting only a conversion of Loans to the other Type, or a continuation of Term SOFR Loans) is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The representations and warranties of each Loan Party contained in any other Loan Document or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w:t>
            </w:r>
            <w:r>
              <w:rPr>
                <w:rFonts w:ascii="Times New Roman" w:hAnsi="Times New Roman"/>
                <w:caps w:val="false"/>
                <w:smallCaps w:val="false"/>
                <w:sz w:val="20"/>
              </w:rPr>
              <w:t>. No Default shall exist, or would result from such proposed Credit Extension or from the application of the proceeds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Request for Credit Extension</w:t>
            </w:r>
            <w:r>
              <w:rPr>
                <w:rFonts w:ascii="Times New Roman" w:hAnsi="Times New Roman"/>
                <w:caps w:val="false"/>
                <w:smallCaps w:val="false"/>
                <w:sz w:val="20"/>
              </w:rPr>
              <w:t>. The Administrative Agent and, if applicable, the L/C Issuer or the Swingline Lender shall have received a Request for Credit Extension in accordance with the requirements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Minimum TTM EBITDA Testing Period</w:t>
            </w:r>
            <w:r>
              <w:rPr>
                <w:rFonts w:ascii="Times New Roman" w:hAnsi="Times New Roman"/>
                <w:caps w:val="false"/>
                <w:smallCaps w:val="false"/>
                <w:sz w:val="20"/>
              </w:rPr>
              <w:t>. After giving effect to any Credit Extension during the Minimum TTM EBITDA Testing Period, the Total Revolving Outstandings shall not exceed $15,000,000.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4.02(a)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have been satisfied on and as of the date of the applicable Credit Extension.</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60"/>
        <w:gridCol w:w="170"/>
        <w:gridCol w:w="4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47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to all Delayed Draw Term Loan 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obligation of each Lender to honor any Request for Credit Extension of a Delayed Draw Term Loan is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The representations and warranties of each Loan Party contained in any other Loan Document or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w:t>
            </w:r>
            <w:r>
              <w:rPr>
                <w:rFonts w:ascii="Times New Roman" w:hAnsi="Times New Roman"/>
                <w:caps w:val="false"/>
                <w:smallCaps w:val="false"/>
                <w:sz w:val="20"/>
              </w:rPr>
              <w:t>. No Default shall exist, or would result from such proposed Credit Extension or from the application of the proceeds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Request for Credit Extension</w:t>
            </w:r>
            <w:r>
              <w:rPr>
                <w:rFonts w:ascii="Times New Roman" w:hAnsi="Times New Roman"/>
                <w:caps w:val="false"/>
                <w:smallCaps w:val="false"/>
                <w:sz w:val="20"/>
              </w:rPr>
              <w:t>. The Administrative Agent shall have received a Request for Credit Extension in accordance with the requirements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Leverage Ratio</w:t>
            </w:r>
            <w:r>
              <w:rPr>
                <w:rFonts w:ascii="Times New Roman" w:hAnsi="Times New Roman"/>
                <w:caps w:val="false"/>
                <w:smallCaps w:val="false"/>
                <w:sz w:val="20"/>
              </w:rPr>
              <w:t xml:space="preserve">. The Consolidated Leverage Ratio, calculated on a Pro Forma Basis (including, for the avoidance of doubt, the amount of any Consolidated Funded Indebtedness incurred or assumed in connection with any Acquisition using the proceeds of such Delayed Draw Term Loan), shall be less than 3.75:1.00, and the Borrower shall have delivered to the Administrative Agent a </w:t>
            </w:r>
            <w:r>
              <w:rPr>
                <w:rFonts w:ascii="Times New Roman" w:hAnsi="Times New Roman"/>
                <w:i/>
                <w:caps w:val="false"/>
                <w:smallCaps w:val="false"/>
                <w:sz w:val="20"/>
              </w:rPr>
              <w:t>pro forma</w:t>
            </w:r>
            <w:r>
              <w:rPr>
                <w:rFonts w:ascii="Times New Roman" w:hAnsi="Times New Roman"/>
                <w:caps w:val="false"/>
                <w:smallCaps w:val="false"/>
                <w:sz w:val="20"/>
              </w:rPr>
              <w:t> Compliance Certificate signed by a Responsible Officer certifying to the foregoing at least five (5) days prior to the date of such Borrowing (or such later date as agreed in writing by the Administrative Agent in its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Request for Credit Extension submitted by the Borrower shall be deemed to be a representation and warranty that the conditions specified in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4.02(a)</w:t>
      </w:r>
      <w:r>
        <w:rPr>
          <w:rFonts w:ascii="Times New Roman" w:hAnsi="Times New Roman"/>
          <w:caps w:val="false"/>
          <w:smallCaps w:val="false"/>
          <w:sz w:val="20"/>
        </w:rPr>
        <w:t xml:space="preserve">, </w:t>
      </w:r>
      <w:r>
        <w:rPr>
          <w:rFonts w:ascii="Times New Roman" w:hAnsi="Times New Roman"/>
          <w:b/>
          <w:i/>
          <w:caps w:val="false"/>
          <w:smallCaps w:val="false"/>
          <w:sz w:val="20"/>
        </w:rPr>
        <w:t>(b)</w:t>
      </w:r>
      <w:r>
        <w:rPr>
          <w:rFonts w:ascii="Times New Roman" w:hAnsi="Times New Roman"/>
          <w:caps w:val="false"/>
          <w:smallCaps w:val="false"/>
          <w:sz w:val="20"/>
        </w:rPr>
        <w:t xml:space="preserve"> and </w:t>
      </w:r>
      <w:r>
        <w:rPr>
          <w:rFonts w:ascii="Times New Roman" w:hAnsi="Times New Roman"/>
          <w:b/>
          <w:i/>
          <w:caps w:val="false"/>
          <w:smallCaps w:val="false"/>
          <w:sz w:val="20"/>
        </w:rPr>
        <w:t>(c)</w:t>
      </w:r>
      <w:r>
        <w:rPr>
          <w:rFonts w:ascii="Times New Roman" w:hAnsi="Times New Roman"/>
          <w:caps w:val="false"/>
          <w:smallCaps w:val="false"/>
          <w:sz w:val="20"/>
        </w:rPr>
        <w:t xml:space="preserve"> have been satisfied on and as of the date of the applicable Credit Extension.</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200"/>
        <w:gridCol w:w="37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3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Loan Party represents and warrants to the Administrative Agent and the Lenders, as of the date made or deemed made, that:</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170"/>
        <w:gridCol w:w="2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29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Existence, Qualification and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Loan Party and each of their respective Subsidiaries (a) is duly organized, validly existing and in good standing as a corporation, partnership or limited liability company under the Laws of the jurisdiction of its organization, (b) has all requisite power and authority to carry on its business as now conducted, and (c) is duly qualified to do business, and is in good standing, in each jurisdiction where such qualification is required, except where a failure to be so qualified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170"/>
        <w:gridCol w:w="2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8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Authorization; No Contravention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each Loan Party, and constitutes, and each other Loan Document to which any Loan Party is party, when executed and delivered by such Loan Party, will constitute a legal, valid and binding obligation of each Loan Party, enforceable against such Loan Party party thereto, in accordance with their respective terms, except as may be limited by applicable bankruptcy, insolvency, reorganization, moratorium, or similar laws affecting the enforcement of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3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Governmental Authorization; Other Consents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execution, delivery and performance by each Loan Party of this Agreement, and by each Loan Party of the other Loan Documents to which it is a party (a) do not and will not require any material consent or approval of, material registration or filing with, material notice to, or any material action by, any Governmental Authority, except (i) those as have been obtained or made and are in full force and effect and (ii) filings necessary to perfect and maintain the perfection of the Liens created by the Collateral Documents, (b) do not and will not violate the Organization Documents of any Loan Party, (c) do not and will not violate any material Law applicable to any Loan Party Group Company or any material judgment, order, decree or ruling of any Governmental Authority in any material respect, (d) do not and will not violate, conflict with, result in a breach or constitute (with due notice or lapse or time or both) a default under any indenture, agreement or other instrument binding on any Loan Party Group Company or any of its assets or give rise to a right thereunder to require any payment to be made by any Loan Party Group Company, except to the extent such violation, conflict, breach, default, or payment could not reasonably be expected to have a Material Adverse Effect, (e) do not and will not result in the creation or imposition of any Lien on any asset or properties of any Loan Party Group Company, except Liens (if any) created under the Loan Documents, and (f) do not and will not require any approval or consent of any Person under any material contractual obligation of any Loan Party Group Company, except for such approvals or consents which will be obtained on or before the Closing Date.</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170"/>
        <w:gridCol w:w="1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Binding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Loan Document, when delivered hereunder, will have been, duly executed and delivered by each Loan Party that is party thereto. Each Loan Document when so delivered will constitute, a legal, valid and binding obligation of such Loan Party, enforceable against each Loan Party that is party thereto in accordance with its terms, subject to applicable Debtor Relief Laws and subject to general principals of equity.</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4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Statements; No Material Adverse Effect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Borrower has furnished to each Lender (a) the Specified Financial Statements and (b) the Interim Financial Statements. Such financial statements fairly present in all material respects the consolidated financial condition of the Borrower as of such dates and the consolidated results of operations for such periods in conformity with GAAP consistently applied, subject to year-end audit adjustments and the absence of footnotes in the case of the statements referred to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The financial statements delivered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6.01(a)</w:t>
            </w:r>
            <w:r>
              <w:rPr>
                <w:rFonts w:ascii="Times New Roman" w:hAnsi="Times New Roman"/>
                <w:caps w:val="false"/>
                <w:smallCaps w:val="false"/>
                <w:sz w:val="20"/>
              </w:rPr>
              <w:t> and </w:t>
            </w:r>
            <w:r>
              <w:rPr>
                <w:rFonts w:ascii="Times New Roman" w:hAnsi="Times New Roman"/>
                <w:b/>
                <w:i/>
                <w:caps w:val="false"/>
                <w:smallCaps w:val="false"/>
                <w:sz w:val="20"/>
              </w:rPr>
              <w:t>(b)</w:t>
            </w:r>
            <w:r>
              <w:rPr>
                <w:rFonts w:ascii="Times New Roman" w:hAnsi="Times New Roman"/>
                <w:caps w:val="false"/>
                <w:smallCaps w:val="false"/>
                <w:sz w:val="20"/>
              </w:rPr>
              <w:t> have been prepared in accordance with GAAP and present fairly in all material respects (on the basis disclosed in the footnotes to such financial statements) the consolidated financial condition, results of operations and cash flows of Borrower and its Subsidiaries, as of the dates thereof and for the periods covered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May 31, 2022, there has been no event or circumstance, either individually or in the aggregate, that has had or could reasonably be expected to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Litigation and Environmental Matters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litigation, investigation or proceeding of or before any arbitrators or Governmental Authorities is pending against or, to the knowledge of any Responsible Officer of the Loan Parties, threatened in writing against or affecting any Loan Party Group Company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Loan Party Group Company (i) has failed to comply with any Environmental Law or to obtain, maintain or comply with any permit, license or other approval required under any Environmental Law, (ii) has become subject to any Environmental Liability, has received notice of any claim with respect to any Environmental Liability or (iv) knows of any basis for any Environmental Liability, in each case, except as could not reasonably be expected to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60"/>
        <w:gridCol w:w="170"/>
        <w:gridCol w:w="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170"/>
        <w:gridCol w:w="2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2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Ownership of Property/Insurance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Loan Party and each Subsidiary has good title to, or valid leasehold interests in, all of its real and personal property material to the operation of its business, including all such properties reflected in the Specified Financial Statements or the most recent audited consolidated balance sheet of the Loan Party Group Companies delivered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6.01(a)</w:t>
            </w:r>
            <w:r>
              <w:rPr>
                <w:rFonts w:ascii="Times New Roman" w:hAnsi="Times New Roman"/>
                <w:caps w:val="false"/>
                <w:smallCaps w:val="false"/>
                <w:sz w:val="20"/>
              </w:rPr>
              <w:t> or purported to have been acquired by any Loan Party Group Company after said date (except as sold or otherwise disposed of in the ordinary course of business), in each case free and clear of Liens not permitted by this Agreement. All leases that are material to the business or operations of the Loan Party Group Companies are valid and subsisting and are in full force.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Loan Party and each Subsidiary owns, or is licensed, or otherwise has the right, to use, all IP Rights material to its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foregoing representation and warranty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5.08(b)</w:t>
            </w:r>
            <w:r>
              <w:rPr>
                <w:rFonts w:ascii="Times New Roman" w:hAnsi="Times New Roman"/>
                <w:caps w:val="false"/>
                <w:smallCaps w:val="false"/>
                <w:sz w:val="20"/>
              </w:rPr>
              <w:t> shall not constitute or be deemed or construed as any representation or warranty with respect to infringement, misappropriation, dilution or violation of any intellectual property rights (which is addressed in the following sentence). To the knowledge of a Responsible Officer of any Loan Party, the use of the IP Rights owned, licensed or otherwise used by any Loan Party Group Company does not infringe in any material respect on the intellectual property rights of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properties of each Loan Party and each Subsidiary are insured with financially sound and reputable insurance companies which are not Affiliates of Borrower, in such amounts with such deductibles and covering such risks as are customarily carried by companies engaged in similar businesses and owning similar properties in localities where such Person operates. The property and general liability insurance coverage of the Loan Parties as in effect on the Closing Date is outlined as to carrier, policy number, expiration date, type, amount and deductibles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5.08</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Labor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There are no strikes, lockouts or other material labor disputes or grievances against any Loan Party or any Subsidiary, or, to the knowledge of a Responsible Officer of any Loan Party, threatened in writing against or involving any Loan Party or any Subsidiary, and no significant unfair labor practice charges are pending against any Loan Party or any Subsidiary, or to the knowledge of a Responsible Officer of any Loan Party, threatened against any of them before any Governmental Authority, except, in each case, for those that could not reasonably be expected to have a Material Adverse Effect. All payments due from the Loan Parties or any Subsidiary pursuant to the provisions of any collective bargaining agreement have been paid or accrued as a liability on the books of such Loan Party or such Subsidiary, except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275"/>
        <w:gridCol w:w="17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17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Responsible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5.10</w:t>
      </w:r>
      <w:r>
        <w:rPr>
          <w:rFonts w:ascii="Times New Roman" w:hAnsi="Times New Roman"/>
          <w:caps w:val="false"/>
          <w:smallCaps w:val="false"/>
          <w:sz w:val="20"/>
        </w:rPr>
        <w:t xml:space="preserve"> are Responsible Officers, holding the offices indicated next to their respective names, as of the Closing Date and such Responsible Officers are the duly elected and qualified officers of such Loan Party and are duly authorized to execute and deliver, on behalf of the respective Loan Party, this Agreement, the Notes and the other Loan Documents.</w:t>
      </w:r>
    </w:p>
    <w:p>
      <w:pPr>
        <w:pStyle w:val="TextBody"/>
        <w:bidi w:val="0"/>
        <w:spacing w:before="0" w:after="0"/>
        <w:ind w:left="0" w:right="0" w:hanging="0"/>
        <w:jc w:val="left"/>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60"/>
        <w:gridCol w:w="275"/>
        <w:gridCol w:w="5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5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Loan Party Group Companies have timely filed or caused to be filed all federal, state and other material tax returns required to be filed by them, and have paid all federal, state and other material taxes and assessments made with respect to Taxes against it or its property by any Governmental Authority, except where the same are currently being contested in good faith by appropriate proceedings and for which such Loan Party Group Company, as the case may be, has set aside on its books adequate reserves in accordance with GAAP. No Loan Party Group Company is a party to or bound by any tax sharing agreement (other than contracts entered into in the ordinary course of business the primary purpose of which is not Taxes).</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275"/>
        <w:gridCol w:w="17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1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ERISA Compliance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Except as otherwise would reasonably be expected to result in a Material Adverse Effect, (i) each Plan is in compliance in all material respects with the applicable provisions of ERISA, the Code and other federal or state laws, (ii) each Pension Plan that is intended to be a qualified plan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401(a)</w:t>
            </w:r>
            <w:r>
              <w:rPr>
                <w:rFonts w:ascii="Times New Roman" w:hAnsi="Times New Roman"/>
                <w:caps w:val="false"/>
                <w:smallCaps w:val="false"/>
                <w:sz w:val="20"/>
              </w:rPr>
              <w:t xml:space="preserve"> of the Code has received a favorable determination letter or is subject to a favorable opinion letter from the IRS to the effect that the form of such Plan is qualified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401(a)</w:t>
            </w:r>
            <w:r>
              <w:rPr>
                <w:rFonts w:ascii="Times New Roman" w:hAnsi="Times New Roman"/>
                <w:caps w:val="false"/>
                <w:smallCaps w:val="false"/>
                <w:sz w:val="20"/>
              </w:rPr>
              <w:t xml:space="preserve"> of the Code and the trust related thereto has been determined by the IRS to be exempt from federal income tax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501(a)</w:t>
            </w:r>
            <w:r>
              <w:rPr>
                <w:rFonts w:ascii="Times New Roman" w:hAnsi="Times New Roman"/>
                <w:caps w:val="false"/>
                <w:smallCaps w:val="false"/>
                <w:sz w:val="20"/>
              </w:rPr>
              <w:t> of the Code, or an application for such a letter is currently being processed by the IRS, and (iii) to the best knowledge of the Loan Parties, nothing has occurred that would prevent or cause the loss of such tax-qualified status.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Except as otherwise would reasonably be expected to result in a Material Adverse Effect, (i) no ERISA Event has occurred, and no Loan Party nor any ERISA Affiliate is aware of any fact, event or circumstance that could reasonably be expected to constitute or result in an ERISA Event with respect to any Pension Plan or Multiemployer Plan; (ii) no Loan Party nor any ERISA Affiliate has incurred any liability to the PBGC other than for the payment of premiums, and there are no premium payments which have become due that are unpaid; (iii) no Loan Party nor any ERISA Affiliate has engaged in a transaction that could be subject to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4069</w:t>
            </w:r>
            <w:r>
              <w:rPr>
                <w:rFonts w:ascii="Times New Roman" w:hAnsi="Times New Roman"/>
                <w:caps w:val="false"/>
                <w:smallCaps w:val="false"/>
                <w:sz w:val="20"/>
              </w:rPr>
              <w:t xml:space="preserve"> or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4212(c)</w:t>
            </w:r>
            <w:r>
              <w:rPr>
                <w:rFonts w:ascii="Times New Roman" w:hAnsi="Times New Roman"/>
                <w:caps w:val="false"/>
                <w:smallCaps w:val="false"/>
                <w:sz w:val="20"/>
              </w:rPr>
              <w:t xml:space="preserve"> of ERISA; and (iv) no Pension Plan has been terminated by the plan administrator thereof nor by the PBGC, and no event or circumstance has occurred or exists that could reasonably be expected to cause the PBGC to institute proceedings under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IV</w:t>
            </w:r>
            <w:r>
              <w:rPr>
                <w:rFonts w:ascii="Times New Roman" w:hAnsi="Times New Roman"/>
                <w:caps w:val="false"/>
                <w:smallCaps w:val="false"/>
                <w:sz w:val="20"/>
              </w:rPr>
              <w:t> of ERISA to terminate any Pension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 Loan Party nor any ERISA Affiliate maintains or contributes to, or has any unsatisfied obligation to contribute to, or liability under, any active or terminated Pension Plan other than (i) on the Closing Date, those listed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5.12</w:t>
            </w:r>
            <w:r>
              <w:rPr>
                <w:rFonts w:ascii="Times New Roman" w:hAnsi="Times New Roman"/>
                <w:caps w:val="false"/>
                <w:smallCaps w:val="false"/>
                <w:sz w:val="20"/>
              </w:rPr>
              <w:t> and (ii) thereafter, Pension Plans not otherwise prohibited by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the Closing Date that the Borrower is not and will not be using “</w:t>
            </w:r>
            <w:r>
              <w:rPr>
                <w:rFonts w:ascii="Times New Roman" w:hAnsi="Times New Roman"/>
                <w:i/>
                <w:caps w:val="false"/>
                <w:smallCaps w:val="false"/>
                <w:sz w:val="20"/>
              </w:rPr>
              <w:t>plan assets</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3(42)</w:t>
            </w:r>
            <w:r>
              <w:rPr>
                <w:rFonts w:ascii="Times New Roman" w:hAnsi="Times New Roman"/>
                <w:caps w:val="false"/>
                <w:smallCaps w:val="false"/>
                <w:sz w:val="20"/>
              </w:rPr>
              <w:t> of ERISA or otherwise) of one (1) or more Benefit Plans with respect to the Borrower’s entrance into, participation in, administration of and performance of the Loans, the Letters of Credit, the Commitments or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275"/>
        <w:gridCol w:w="39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Margin Regulations; Investment Company Act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proceeds of the Loans and Letters of Credit are intended to be and shall be used solely for the purposes set forth in and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 of the proceeds of any of the Loans or Letters of Credit will be used, directly or indirectly, for “</w:t>
            </w:r>
            <w:r>
              <w:rPr>
                <w:rFonts w:ascii="Times New Roman" w:hAnsi="Times New Roman"/>
                <w:i/>
                <w:caps w:val="false"/>
                <w:smallCaps w:val="false"/>
                <w:sz w:val="20"/>
              </w:rPr>
              <w:t>purchasing</w:t>
            </w:r>
            <w:r>
              <w:rPr>
                <w:rFonts w:ascii="Times New Roman" w:hAnsi="Times New Roman"/>
                <w:caps w:val="false"/>
                <w:smallCaps w:val="false"/>
                <w:sz w:val="20"/>
              </w:rPr>
              <w:t>” or “</w:t>
            </w:r>
            <w:r>
              <w:rPr>
                <w:rFonts w:ascii="Times New Roman" w:hAnsi="Times New Roman"/>
                <w:i/>
                <w:caps w:val="false"/>
                <w:smallCaps w:val="false"/>
                <w:sz w:val="20"/>
              </w:rPr>
              <w:t>carrying</w:t>
            </w:r>
            <w:r>
              <w:rPr>
                <w:rFonts w:ascii="Times New Roman" w:hAnsi="Times New Roman"/>
                <w:caps w:val="false"/>
                <w:smallCaps w:val="false"/>
                <w:sz w:val="20"/>
              </w:rPr>
              <w:t>” any “</w:t>
            </w:r>
            <w:r>
              <w:rPr>
                <w:rFonts w:ascii="Times New Roman" w:hAnsi="Times New Roman"/>
                <w:i/>
                <w:caps w:val="false"/>
                <w:smallCaps w:val="false"/>
                <w:sz w:val="20"/>
              </w:rPr>
              <w:t>margin stock</w:t>
            </w:r>
            <w:r>
              <w:rPr>
                <w:rFonts w:ascii="Times New Roman" w:hAnsi="Times New Roman"/>
                <w:caps w:val="false"/>
                <w:smallCaps w:val="false"/>
                <w:sz w:val="20"/>
              </w:rPr>
              <w:t>” with the respective meanings of each of such terms under Regulation U or for any purpose that violates the provisions of the Regulation T, U or X. No Loan Party and no Subsidiary is engaged principally, or as one (1) of its important activities, in the business of extending credit for the purpose of purchasing or carrying “</w:t>
            </w:r>
            <w:r>
              <w:rPr>
                <w:rFonts w:ascii="Times New Roman" w:hAnsi="Times New Roman"/>
                <w:i/>
                <w:caps w:val="false"/>
                <w:smallCaps w:val="false"/>
                <w:sz w:val="20"/>
              </w:rPr>
              <w:t>margin stock.</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Loan Party nor any Subsidiary is an “</w:t>
            </w:r>
            <w:r>
              <w:rPr>
                <w:rFonts w:ascii="Times New Roman" w:hAnsi="Times New Roman"/>
                <w:i/>
                <w:caps w:val="false"/>
                <w:smallCaps w:val="false"/>
                <w:sz w:val="20"/>
              </w:rPr>
              <w:t>investment company</w:t>
            </w:r>
            <w:r>
              <w:rPr>
                <w:rFonts w:ascii="Times New Roman" w:hAnsi="Times New Roman"/>
                <w:caps w:val="false"/>
                <w:smallCaps w:val="false"/>
                <w:sz w:val="20"/>
              </w:rPr>
              <w:t>” or is “</w:t>
            </w:r>
            <w:r>
              <w:rPr>
                <w:rFonts w:ascii="Times New Roman" w:hAnsi="Times New Roman"/>
                <w:i/>
                <w:caps w:val="false"/>
                <w:smallCaps w:val="false"/>
                <w:sz w:val="20"/>
              </w:rPr>
              <w:t>controlled</w:t>
            </w:r>
            <w:r>
              <w:rPr>
                <w:rFonts w:ascii="Times New Roman" w:hAnsi="Times New Roman"/>
                <w:caps w:val="false"/>
                <w:smallCaps w:val="false"/>
                <w:sz w:val="20"/>
              </w:rPr>
              <w:t>” by an “</w:t>
            </w:r>
            <w:r>
              <w:rPr>
                <w:rFonts w:ascii="Times New Roman" w:hAnsi="Times New Roman"/>
                <w:i/>
                <w:caps w:val="false"/>
                <w:smallCaps w:val="false"/>
                <w:sz w:val="20"/>
              </w:rPr>
              <w:t>investment company</w:t>
            </w:r>
            <w:r>
              <w:rPr>
                <w:rFonts w:ascii="Times New Roman" w:hAnsi="Times New Roman"/>
                <w:caps w:val="false"/>
                <w:smallCaps w:val="false"/>
                <w:sz w:val="20"/>
              </w:rPr>
              <w:t>”, as such terms are defined in, or subject to regulation under, the Investment Company Act of 1940, as amended.</w:t>
            </w:r>
          </w:p>
        </w:tc>
      </w:tr>
    </w:tbl>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60"/>
        <w:gridCol w:w="275"/>
        <w:gridCol w:w="9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Disclosure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Loan Party has disclosed to the Lenders all agreements, instruments, and corporate or other restrictions to which it or any of its Subsidiaries is subject, and all other matters known to any of them, that, individually or in the aggregate, could reasonably be expected to result in a Material Adverse Effect. No written reports, financial statements, certificates or other written information furnished by or on behalf of any Loan Party to the Administrative Agent or any Lender in connection with the negotiation or syndication of this Agreement or any other Loan Document or delivered hereunder or thereunder (taken as a whole and as supplemented by any other information so furnished) contains any untrue statement of a material fact or omits to state any material fact necessary to make the statements therein, taken as a whole, in light of the circumstances under which they were made, not materially misleading in light of the circumstances under which such statements are made after giving effect to all supplements thereto; </w:t>
            </w:r>
            <w:r>
              <w:rPr>
                <w:rFonts w:ascii="Times New Roman" w:hAnsi="Times New Roman"/>
                <w:i/>
                <w:caps w:val="false"/>
                <w:smallCaps w:val="false"/>
                <w:sz w:val="20"/>
              </w:rPr>
              <w:t>provided</w:t>
            </w:r>
            <w:r>
              <w:rPr>
                <w:rFonts w:ascii="Times New Roman" w:hAnsi="Times New Roman"/>
                <w:caps w:val="false"/>
                <w:smallCaps w:val="false"/>
                <w:sz w:val="20"/>
              </w:rPr>
              <w:t> that, with respect to projected financial information, the Loan Parties represent only that such information was prepared in good faith based upon assumptions believed to be reasonable at the time furnished (it being understood that (x) such projections are not to be viewed as facts or a guarantee of performance and are subject to significant uncertainties and contingencies many of which are beyond the control of the Loan Parties and (y) no assurance can be given that any particular financial projections will be realized, and that actual results during the period or periods covered by any such projections may differ from the projected results, and such differences may be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the Closing Date, the information included in the Beneficial Ownership Certification is true and correct in all respects.</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275"/>
        <w:gridCol w:w="33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3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Compliance with Laws and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Each Loan Party Group Company is in compliance with (a) all Laws (including all Food Safety Laws) and all judgments, decrees and orders of any Governmental Authority applicable to it or its property, (b) all indentures, agreements or other instruments binding upon it or its properties and (c) the Controlled Substances Act, the Civil Asset Forfeiture Reform Act or any related applicable anti-money laundering laws (in each case, solely as it relates to an alleged violation of the Controlled Substances Act), except in the case of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where non</w:t>
        <w:noBreakHyphen/>
        <w:t>compliance, either individually or in the aggregate,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275"/>
        <w:gridCol w:w="7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Solvency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After giving effect to the transactions contemplated hereby, the Loan Party Group Companies are Solvent on a consolidated basis.</w:t>
      </w:r>
    </w:p>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275"/>
        <w:gridCol w:w="17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17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Except as set forth on </w:t>
      </w:r>
      <w:r>
        <w:rPr>
          <w:rFonts w:ascii="Times New Roman" w:hAnsi="Times New Roman"/>
          <w:b/>
          <w:i/>
          <w:caps w:val="false"/>
          <w:smallCaps w:val="false"/>
          <w:sz w:val="20"/>
        </w:rPr>
        <w:t>Schedule 5.17(a)</w:t>
      </w:r>
      <w:r>
        <w:rPr>
          <w:rFonts w:ascii="Times New Roman" w:hAnsi="Times New Roman"/>
          <w:caps w:val="false"/>
          <w:smallCaps w:val="false"/>
          <w:sz w:val="20"/>
        </w:rPr>
        <w:t>, (i) each Loan Party and each of its Subsidiaries own, or possess the right to use, all of the trademarks, service marks, trade names, copyrights, patents, patent rights, trade secrets, know-how, franchises, licenses and other intellectual property rights (collectively, “</w:t>
      </w:r>
      <w:r>
        <w:rPr>
          <w:rFonts w:ascii="Times New Roman" w:hAnsi="Times New Roman"/>
          <w:b/>
          <w:i/>
          <w:caps w:val="false"/>
          <w:smallCaps w:val="false"/>
          <w:sz w:val="20"/>
        </w:rPr>
        <w:t>Intellectual Property</w:t>
      </w:r>
      <w:r>
        <w:rPr>
          <w:rFonts w:ascii="Times New Roman" w:hAnsi="Times New Roman"/>
          <w:caps w:val="false"/>
          <w:smallCaps w:val="false"/>
          <w:sz w:val="20"/>
        </w:rPr>
        <w:t xml:space="preserve">”) that are used in the operation of their respective businesses, without conflict with the rights of any other Person and (ii) to the best knowledge of the Loan Parties, neither the operation of the business, nor any product, service, process, method, substance, part or other material now used, or now contemplated to be used, by any Loan Party or any of its Subsidiaries infringes, misappropriates or otherwise violates upon any rights held by any other Person. No claim or litigation regarding any of the foregoing is pending or, to the best knowledge of any Loan Party, threatened, which, either individually or in the aggregate, could reasonably be expected to have a Material Adverse Effect. To the best knowledge of the Loan Parties, there has been no unauthorized use, access, interruption, modification, corruption or malfunction of any information technology assets or systems (or any information or transactions stored or contained therein or transmitted thereby) owned or used by the any Loan Party or any of its Subsidiaries, which, either individually or in the aggregate, would reasonably be expected to have a Material Adverse Effect.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5.17(b)</w:t>
      </w:r>
      <w:r>
        <w:rPr>
          <w:rFonts w:ascii="Times New Roman" w:hAnsi="Times New Roman"/>
          <w:caps w:val="false"/>
          <w:smallCaps w:val="false"/>
          <w:sz w:val="20"/>
        </w:rPr>
        <w:t xml:space="preserve"> is a list of (i) all Intellectual Property registered or pending registration with the United States Copyright Office or the United States Patent and Trademark Office that, as of the Closing Date, a Loan Party owns and (ii) all licenses of Intellectual Property registered with the United States Copyright Office or the United States Patent and Trademark Office as of the Closing Date.</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275"/>
        <w:gridCol w:w="39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Sanctions Concerns and Anti-Corruption Laws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Sanctions Concerns</w:t>
            </w:r>
            <w:r>
              <w:rPr>
                <w:rFonts w:ascii="Times New Roman" w:hAnsi="Times New Roman"/>
                <w:caps w:val="false"/>
                <w:smallCaps w:val="false"/>
                <w:sz w:val="20"/>
              </w:rPr>
              <w:t>. No Loan Party, nor any Subsidiary, nor, to the knowledge of the Loan Parties and their Subsidiaries, any director, officer, employee, agent, affiliate or representative thereof, is an individual or entity that is, or is owned or controlled by one (1)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Loan Party Group Companies have conducted their businesses in compliance with all applicable Sanctions and have instituted and maintained policies and procedures designed to promote and achieve compliance with such Sanctions.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Anti-Corruption Laws</w:t>
            </w:r>
            <w:r>
              <w:rPr>
                <w:rFonts w:ascii="Times New Roman" w:hAnsi="Times New Roman"/>
                <w:caps w:val="false"/>
                <w:smallCaps w:val="false"/>
                <w:sz w:val="20"/>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275"/>
        <w:gridCol w:w="23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Subsidiaries; Loan Parties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Subsidiaries</w:t>
            </w:r>
            <w:r>
              <w:rPr>
                <w:rFonts w:ascii="Times New Roman" w:hAnsi="Times New Roman"/>
                <w:caps w:val="false"/>
                <w:smallCaps w:val="false"/>
                <w:sz w:val="20"/>
              </w:rPr>
              <w:t xml:space="preserve">.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5.19(a)</w:t>
            </w:r>
            <w:r>
              <w:rPr>
                <w:rFonts w:ascii="Times New Roman" w:hAnsi="Times New Roman"/>
                <w:caps w:val="false"/>
                <w:smallCaps w:val="false"/>
                <w:sz w:val="20"/>
              </w:rPr>
              <w:t xml:space="preserve"> sets forth the name of, the ownership interest of each Loan Party in, the jurisdiction of incorporation or organization of, and the type of, each Subsidiary, in each case as of the Closing Date. All issued and outstanding Equity Interests of each Loan Party Group Company is duly authorized and validly issued, fully paid, non-assessable, as applicable, and free and clear of all Liens other than those in favor of the Administrative Agent, for the benefit of the holders of the Obligations. All such securities were issued in compliance with all applicable state and federal Laws concerning the issuance of securities. As of the Closing Date, all of the issued and outstanding Equity Interests of each Subsidiary is owned by the Persons and in the amounts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4.15</w:t>
            </w:r>
            <w:r>
              <w:rPr>
                <w:rFonts w:ascii="Times New Roman" w:hAnsi="Times New Roman"/>
                <w:caps w:val="false"/>
                <w:smallCaps w:val="false"/>
                <w:sz w:val="20"/>
              </w:rPr>
              <w:t>. There are no pre-emptive or other outstanding rights, options, warrants, conversion rights, commitments or other similar agreements or understandings for the purchase or acquisition of any Equity Interests of any Loan Party Group Company, and there are no membership interest or other Equity Interests of any Loan Party Group Company outstanding which upon conversion or exchange would require the issuance by any Loan Party Group Company of any additional membership interests or other Equity Interests of any Loan Party Group Company or other securities convertible into, exchangeable for or evidencing the right to subscribe for a purchase, a membership interest or other Equity Interests of any Loan Party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Loan Parties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5.19(b)</w:t>
            </w:r>
            <w:r>
              <w:rPr>
                <w:rFonts w:ascii="Times New Roman" w:hAnsi="Times New Roman"/>
                <w:caps w:val="false"/>
                <w:smallCaps w:val="false"/>
                <w:sz w:val="20"/>
              </w:rPr>
              <w:t> is a complete and accurate list as of the Closing Date of all Loan Parties, showing (i) the exact legal name, (ii) any former legal names in the four (4) months prior to the Closing Date, (iii) the jurisdiction of its incorporation or organization, as applicable, (iv) the type of organization, (v) the chief executive office, and (vi) the U.S. federal taxpayer identification number or, other applicable unique identification number issued to it by the jurisdiction of its incorporation or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275"/>
        <w:gridCol w:w="23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Representations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Documents</w:t>
            </w:r>
            <w:r>
              <w:rPr>
                <w:rFonts w:ascii="Times New Roman" w:hAnsi="Times New Roman"/>
                <w:caps w:val="false"/>
                <w:smallCaps w:val="false"/>
                <w:sz w:val="20"/>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Deposit Accounts and Securities Accounts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5.20(b)</w:t>
            </w:r>
            <w:r>
              <w:rPr>
                <w:rFonts w:ascii="Times New Roman" w:hAnsi="Times New Roman"/>
                <w:caps w:val="false"/>
                <w:smallCaps w:val="false"/>
                <w:sz w:val="20"/>
              </w:rPr>
              <w:t> as of the Closing Date is a list of all deposit accounts and securities accounts of the Loan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Properties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5.20(c)</w:t>
            </w:r>
            <w:r>
              <w:rPr>
                <w:rFonts w:ascii="Times New Roman" w:hAnsi="Times New Roman"/>
                <w:caps w:val="false"/>
                <w:smallCaps w:val="false"/>
                <w:sz w:val="20"/>
              </w:rPr>
              <w:t> as of the Closing Date is a list of all real property located in the United States that is owned or leased by any Loan Party.</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60"/>
        <w:gridCol w:w="275"/>
        <w:gridCol w:w="25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25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Affected Financial Institutions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No Loan Party is an Affected Financial Institution.</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0"/>
        <w:gridCol w:w="275"/>
        <w:gridCol w:w="14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14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Covered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No Loan Party is a Covered Entity.</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275"/>
        <w:gridCol w:w="29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Beneficial Ownership Certification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information included in the Beneficial Ownership Certification, if applicable, is true and correct in all respects.</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275"/>
        <w:gridCol w:w="18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1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Outbound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No Loan Party nor any Subsidiary of a Loan Party is a ‘</w:t>
      </w:r>
      <w:r>
        <w:rPr>
          <w:rFonts w:ascii="Times New Roman" w:hAnsi="Times New Roman"/>
          <w:i/>
          <w:caps w:val="false"/>
          <w:smallCaps w:val="false"/>
          <w:sz w:val="20"/>
        </w:rPr>
        <w:t>covered foreign person</w:t>
      </w:r>
      <w:r>
        <w:rPr>
          <w:rFonts w:ascii="Times New Roman" w:hAnsi="Times New Roman"/>
          <w:caps w:val="false"/>
          <w:smallCaps w:val="false"/>
          <w:sz w:val="20"/>
        </w:rPr>
        <w:t>’ as that term is used in the Outbound Investment Rules. No Loan Party nor any Subsidiary of a Loan Party currently engages, or has any present intention to engage in the future, directly or indirectly, in (a)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(b) any activity or transaction that would constitute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if such Person were a U.S. Outbound Investment Person or (c) any other activity that would cause Administrative Agent and/or Lenders to be in violation of the Outbound Investment Rules or cause Administrative Agent and/or Lenders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260"/>
        <w:gridCol w:w="264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26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AFFIRMATIVE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of the Loan Parties hereby covenants and agrees that until the Facility Termination Date, such Loan Party shall, and shall cause each of its Subsidiaries to:</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Deliver to the Administrative Agent (for distribution to each Lender), in form and detail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55"/>
        <w:gridCol w:w="249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Annual Financial Statements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Within ninety-five (95) days after the end of the Fiscal Year ending May 31, 2023, a copy of the combined annual audited report for such Fiscal Year for Borrower and its Subsidiaries (including Tilray Holdco M and its Subsidiaries), containing a consolidated balance sheet of Borrower and its Subsidiaries (including Tilray Holdco M and its Subsidiaries) as of the end of such Fiscal Year and the related consolidated statements of income or operations, changes in shareholder’s equity and cash flows (together with all footnotes thereto) of Borrower and its Subsidiaries (including Tilray Holdco M and its Subsidiaries) for such Fiscal Year, setting forth in each case in comparative form the figures for the previous Fiscal Year, all in reasonable detail and reported on by independent public accountants of nationally recognized standing (without a “</w:t>
            </w:r>
            <w:r>
              <w:rPr>
                <w:rFonts w:ascii="Times New Roman" w:hAnsi="Times New Roman"/>
                <w:i/>
                <w:caps w:val="false"/>
                <w:smallCaps w:val="false"/>
                <w:sz w:val="20"/>
              </w:rPr>
              <w:t>going concern</w:t>
            </w:r>
            <w:r>
              <w:rPr>
                <w:rFonts w:ascii="Times New Roman" w:hAnsi="Times New Roman"/>
                <w:caps w:val="false"/>
                <w:smallCaps w:val="false"/>
                <w:sz w:val="20"/>
              </w:rPr>
              <w:t xml:space="preserve">” or like qualification, exception or explanation and without any qualification or exception as to scope of such audit (other than any qualification, exception or explanation resulting from the impending maturity of any Indebtedness or any prospective or actual default under any financial covenant set forth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w:t>
            </w:r>
            <w:r>
              <w:rPr>
                <w:rFonts w:ascii="Times New Roman" w:hAnsi="Times New Roman"/>
                <w:caps w:val="false"/>
                <w:smallCaps w:val="false"/>
                <w:sz w:val="20"/>
              </w:rPr>
              <w:t>)) to the effect that such financial statements present fairly in all material respects the financial condition and the results of operations of Borrower and its Subsidiaries (including Tilray Holdco M and its Subsidiaries) for such Fiscal Year on a consolidated basis in accordance with GAAP and that the examination by such accountants in connection with such consolidated financial statements has been made in accordance with generally accepted auditing standards, together with a reasonably detailed management discussion and analysis with respect thereto;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Within ninety (90) days after the end of the Fiscal Year ending May 31, 2024 and each Fiscal Year thereafter, a copy of the consolidated annual audited report for such Fiscal Year for the Loan Party Group Companies (or with respect to the Fiscal Year ending May 31, 2025, the combined annual audited report for such Fiscal Year for Borrower and its Subsidiaries (which for this purpose shall include the Hemp Entities even if the Hemp Contribution has not been consummated as of such date)), containing a consolidated balance sheet of the Loan Party Group Companies as of the end of such Fiscal Year and the related consolidated statements of income or operations, changes in shareholder’s equity and cash flows (together with all footnotes thereto) of the Loan Party Group Companies for such Fiscal Year, setting forth in each case in comparative form the figures for the previous Fiscal Year, all in reasonable detail and reported on by independent public accountants of nationally recognized standing (without a “</w:t>
            </w:r>
            <w:r>
              <w:rPr>
                <w:rFonts w:ascii="Times New Roman" w:hAnsi="Times New Roman"/>
                <w:i/>
                <w:caps w:val="false"/>
                <w:smallCaps w:val="false"/>
                <w:sz w:val="20"/>
              </w:rPr>
              <w:t>going concern</w:t>
            </w:r>
            <w:r>
              <w:rPr>
                <w:rFonts w:ascii="Times New Roman" w:hAnsi="Times New Roman"/>
                <w:caps w:val="false"/>
                <w:smallCaps w:val="false"/>
                <w:sz w:val="20"/>
              </w:rPr>
              <w:t xml:space="preserve">” or like qualification, exception or explanation and without any qualification or exception as to scope of such audit (other than any qualification, exception or explanation resulting from the impending maturity of any Indebtedness or any prospective or actual default under any financial covenant set forth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w:t>
            </w:r>
            <w:r>
              <w:rPr>
                <w:rFonts w:ascii="Times New Roman" w:hAnsi="Times New Roman"/>
                <w:caps w:val="false"/>
                <w:smallCaps w:val="false"/>
                <w:sz w:val="20"/>
              </w:rPr>
              <w:t>)) to the effect that such financial statements present fairly in all material respects the financial condition and the results of operations of the Loan Party Group Companies for such Fiscal Year on a consolidated basis in accordance with GAAP and that the examination by such accountants in connection with such consolidated financial statements has been made in accordance with generally accepted auditing standards, together with a reasonably detailed management discussion and analysis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Quarterly Financial Statements</w:t>
            </w:r>
            <w:r>
              <w:rPr>
                <w:rFonts w:ascii="Times New Roman" w:hAnsi="Times New Roman"/>
                <w:caps w:val="false"/>
                <w:smallCaps w:val="false"/>
                <w:sz w:val="20"/>
              </w:rPr>
              <w:t xml:space="preserve">. Within sixty (60) days after the end of each of the first three (3) Fiscal Quarters (and with respect to the Fiscal Year ending May 31, 2023, the fourth Fiscal Quarter), of each Fiscal Year, an unaudited consolidated balance sheet of the Loan Party Group Companies as of the end of such Fiscal Quarter and the related unaudited consolidated statements of income or operations, changes in stockholders’ equity and cash flows of the Loan Party Group Companies for such Fiscal Quarter and the then elapsed portion of such Fiscal Year, setting forth in each case in comparative form the figures for (i) the corresponding quarter and the corresponding portion of the Loan Party Group Companies’ previous Fiscal Year and (ii) the corresponding quarter as set out in the budget most recently delivered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5.01(f)</w:t>
            </w:r>
            <w:r>
              <w:rPr>
                <w:rFonts w:ascii="Times New Roman" w:hAnsi="Times New Roman"/>
                <w:caps w:val="false"/>
                <w:smallCaps w:val="false"/>
                <w:sz w:val="20"/>
              </w:rPr>
              <w:t>, all in reasonable detail and prepared in accordance with GAAP, such consolidated statements to be certified by the chief executive officer, chief financial officer, treasurer or controller of Borrower as presenting fairly in all material respects the financial condition, results of operations, stockholders’ equity and cash flows of the Loan Party Group Companies in accordance with GAAP, subject only to normal year-end audit adjustments and the absence of footnotes, together with a reasonably detailed management discussion and analysis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Compliance Certificate</w:t>
            </w:r>
            <w:r>
              <w:rPr>
                <w:rFonts w:ascii="Times New Roman" w:hAnsi="Times New Roman"/>
                <w:caps w:val="false"/>
                <w:smallCaps w:val="false"/>
                <w:sz w:val="20"/>
              </w:rPr>
              <w:t xml:space="preserve">. Concurrently with the delivery of the financial statements referred to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and </w:t>
            </w:r>
            <w:r>
              <w:rPr>
                <w:rFonts w:ascii="Times New Roman" w:hAnsi="Times New Roman"/>
                <w:b/>
                <w:i/>
                <w:caps w:val="false"/>
                <w:smallCaps w:val="false"/>
                <w:sz w:val="20"/>
              </w:rPr>
              <w:t>(b)</w:t>
            </w:r>
            <w:r>
              <w:rPr>
                <w:rFonts w:ascii="Times New Roman" w:hAnsi="Times New Roman"/>
                <w:caps w:val="false"/>
                <w:smallCaps w:val="false"/>
                <w:sz w:val="20"/>
              </w:rPr>
              <w:t xml:space="preserve">, a Compliance Certificate signed by the principal executive officer or the principal financial officer of Borrower (i) certifying as to whether there exists a Default or Event of Default on the date of such certificate, and if a Default or an Event of Default then exists, (ii) setting forth in reasonable detail calculations demonstrating compliance with the financial covenants set forth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w:t>
            </w:r>
            <w:r>
              <w:rPr>
                <w:rFonts w:ascii="Times New Roman" w:hAnsi="Times New Roman"/>
                <w:caps w:val="false"/>
                <w:smallCaps w:val="false"/>
                <w:sz w:val="20"/>
              </w:rPr>
              <w:t>, stating whether any change in GAAP or the application thereof has occurred since May 31, 2022, specifying the effect of such change on the financial statements accompanying such Compliance Certificate, and (iii) specifying any change in the identity of the Subsidiaries as of the end of such Fiscal Year or Fiscal Quarter from the Subsidiaries identified to the Lenders on the Closing Date or as of the most recent Fiscal Year or Fiscal Quarter,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 Aging and A/P Aging Reports</w:t>
            </w:r>
            <w:r>
              <w:rPr>
                <w:rFonts w:ascii="Times New Roman" w:hAnsi="Times New Roman"/>
                <w:caps w:val="false"/>
                <w:smallCaps w:val="false"/>
                <w:sz w:val="20"/>
              </w:rPr>
              <w:t xml:space="preserve">.  Concurrently with the delivery of each Compliance Certificate referred to in </w:t>
            </w:r>
            <w:r>
              <w:rPr>
                <w:rFonts w:ascii="Times New Roman" w:hAnsi="Times New Roman"/>
                <w:b/>
                <w:i/>
                <w:caps w:val="false"/>
                <w:smallCaps w:val="false"/>
                <w:sz w:val="20"/>
              </w:rPr>
              <w:t>Section 6.01(c)</w:t>
            </w:r>
            <w:r>
              <w:rPr>
                <w:rFonts w:ascii="Times New Roman" w:hAnsi="Times New Roman"/>
                <w:caps w:val="false"/>
                <w:smallCaps w:val="false"/>
                <w:sz w:val="20"/>
              </w:rPr>
              <w:t>, a detailed accounts receivables aging report and a detailed accounts payable aging report, in each case, as of the most recent quarter-end and accompanied by such supporting detail and documentation as shall be requested by the Administrative Agent in its reasonable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Budget</w:t>
            </w:r>
            <w:r>
              <w:rPr>
                <w:rFonts w:ascii="Times New Roman" w:hAnsi="Times New Roman"/>
                <w:caps w:val="false"/>
                <w:smallCaps w:val="false"/>
                <w:sz w:val="20"/>
              </w:rPr>
              <w:t xml:space="preserve">. As soon as available and in any event within seventy five (75) days after the end of each Fiscal Year, forecasts and a </w:t>
            </w:r>
            <w:r>
              <w:rPr>
                <w:rFonts w:ascii="Times New Roman" w:hAnsi="Times New Roman"/>
                <w:i/>
                <w:caps w:val="false"/>
                <w:smallCaps w:val="false"/>
                <w:sz w:val="20"/>
              </w:rPr>
              <w:t>pro forma</w:t>
            </w:r>
            <w:r>
              <w:rPr>
                <w:rFonts w:ascii="Times New Roman" w:hAnsi="Times New Roman"/>
                <w:caps w:val="false"/>
                <w:smallCaps w:val="false"/>
                <w:sz w:val="20"/>
              </w:rPr>
              <w:t xml:space="preserve"> budget for the succeeding Fiscal Year, containing an income statement, balance sheet and statement of cash flow, budget for Capital Expenditure, in each case of the Loan Party Group Companies on a quarterly basis for such succeeding Fiscal Year (and including a detailed list of assumptions and projected compliance with the financial covenants set forth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w:t>
            </w:r>
            <w:r>
              <w:rPr>
                <w:rFonts w:ascii="Times New Roman" w:hAnsi="Times New Roman"/>
                <w:caps w:val="false"/>
                <w:smallCaps w:val="false"/>
                <w:sz w:val="20"/>
              </w:rPr>
              <w:t> for the relevant Fiscal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Public Filings</w:t>
            </w:r>
            <w:r>
              <w:rPr>
                <w:rFonts w:ascii="Times New Roman" w:hAnsi="Times New Roman"/>
                <w:caps w:val="false"/>
                <w:smallCaps w:val="false"/>
                <w:sz w:val="20"/>
              </w:rPr>
              <w:t>. Promptly after the same become publicly available, copies of all periodic and other reports, proxy statements and other materials filed with the SEC, or with any national securities exchange, or distributed by Borrower to its shareholders generally, as the case may be;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Monthly Deposit Account Verification</w:t>
            </w:r>
            <w:r>
              <w:rPr>
                <w:rFonts w:ascii="Times New Roman" w:hAnsi="Times New Roman"/>
                <w:caps w:val="false"/>
                <w:smallCaps w:val="false"/>
                <w:sz w:val="20"/>
              </w:rPr>
              <w:t xml:space="preserve">. During the Minimum TTM EBITDA Testing Period, as soon as available and in any event within five (5) Business Days after the end of each month, deposit account verification statements with respect to the deposit accounts of the Loan Parties together with satisfactory evidence that the Borrower is in compliance with </w:t>
            </w:r>
            <w:r>
              <w:rPr>
                <w:rFonts w:ascii="Times New Roman" w:hAnsi="Times New Roman"/>
                <w:b/>
                <w:i/>
                <w:caps w:val="false"/>
                <w:smallCaps w:val="false"/>
                <w:sz w:val="20"/>
              </w:rPr>
              <w:t>Section 7.12(c)</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General Information</w:t>
            </w:r>
            <w:r>
              <w:rPr>
                <w:rFonts w:ascii="Times New Roman" w:hAnsi="Times New Roman"/>
                <w:caps w:val="false"/>
                <w:smallCaps w:val="false"/>
                <w:sz w:val="20"/>
              </w:rPr>
              <w:t xml:space="preserve">. Promptly following any written request therefor, (i) such other information regarding the results of operations, business affairs and financial condition of the Loan Parties or any Subsidiary as the Administrative Agent (or any Lender through the Administrative Agent) may reasonably request except, in each case, (A) to the extent such disclosure is prohibited by contractual confidentiality obligations (and such contract was not entered into in contemplation of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or applicable law, (B) such information is subject to attorney client privilege or constitutes attorney work product; and (ii) information and documentation reasonably requested by the Administrative Agent or any Lender for purposes of compliance with applicable “</w:t>
            </w:r>
            <w:r>
              <w:rPr>
                <w:rFonts w:ascii="Times New Roman" w:hAnsi="Times New Roman"/>
                <w:i/>
                <w:caps w:val="false"/>
                <w:smallCaps w:val="false"/>
                <w:sz w:val="20"/>
              </w:rPr>
              <w:t>know your customer</w:t>
            </w:r>
            <w:r>
              <w:rPr>
                <w:rFonts w:ascii="Times New Roman" w:hAnsi="Times New Roman"/>
                <w:caps w:val="false"/>
                <w:smallCaps w:val="false"/>
                <w:sz w:val="20"/>
              </w:rPr>
              <w:t>” requirements under the PATRIOT Act, the Beneficial Ownership Regulation or other applicable anti-money laundering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at any time Borrower (or any direct or indirect holding company of Borrower) is required to file periodic reports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13(a)</w:t>
      </w:r>
      <w:r>
        <w:rPr>
          <w:rFonts w:ascii="Times New Roman" w:hAnsi="Times New Roman"/>
          <w:caps w:val="false"/>
          <w:smallCaps w:val="false"/>
          <w:sz w:val="20"/>
        </w:rPr>
        <w:t xml:space="preserve"> or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15(d)</w:t>
      </w:r>
      <w:r>
        <w:rPr>
          <w:rFonts w:ascii="Times New Roman" w:hAnsi="Times New Roman"/>
          <w:caps w:val="false"/>
          <w:smallCaps w:val="false"/>
          <w:sz w:val="20"/>
        </w:rPr>
        <w:t xml:space="preserve"> of the Securities Exchange Act of 1934, as amended, Borrower may satisfy its obligation to deliver the financial statements referred to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above and the filings referred to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(e)</w:t>
      </w:r>
      <w:r>
        <w:rPr>
          <w:rFonts w:ascii="Times New Roman" w:hAnsi="Times New Roman"/>
          <w:caps w:val="false"/>
          <w:smallCaps w:val="false"/>
          <w:sz w:val="20"/>
        </w:rPr>
        <w:t xml:space="preserve"> above by delivering such financial statements by electronic mail to such e-mail addresses as the Administrative Agent and Lenders shall have provided to the Borrower from time to time.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Loan Parties hereby acknowledges that (A) the Administrative Agent and/or an Affiliate thereof may, but shall not be obligated to, make available to the Lenders and the L/C Issuer materials and/or information provided by or on behalf of Borrower hereunder (collectively, “</w:t>
      </w:r>
      <w:r>
        <w:rPr>
          <w:rFonts w:ascii="Times New Roman" w:hAnsi="Times New Roman"/>
          <w:b/>
          <w:i/>
          <w:caps w:val="false"/>
          <w:smallCaps w:val="false"/>
          <w:sz w:val="20"/>
        </w:rPr>
        <w:t>Borrower Materials</w:t>
      </w:r>
      <w:r>
        <w:rPr>
          <w:rFonts w:ascii="Times New Roman" w:hAnsi="Times New Roman"/>
          <w:caps w:val="false"/>
          <w:smallCaps w:val="false"/>
          <w:sz w:val="20"/>
        </w:rPr>
        <w:t>”) by posting the Borrower Materials on IntraLinks, SyndTrak, ClearPar, Debt Domain or a substantially similar electronic transmission system (the “</w:t>
      </w:r>
      <w:r>
        <w:rPr>
          <w:rFonts w:ascii="Times New Roman" w:hAnsi="Times New Roman"/>
          <w:b/>
          <w:i/>
          <w:caps w:val="false"/>
          <w:smallCaps w:val="false"/>
          <w:sz w:val="20"/>
        </w:rPr>
        <w:t>Platform</w:t>
      </w:r>
      <w:r>
        <w:rPr>
          <w:rFonts w:ascii="Times New Roman" w:hAnsi="Times New Roman"/>
          <w:caps w:val="false"/>
          <w:smallCaps w:val="false"/>
          <w:sz w:val="20"/>
        </w:rPr>
        <w:t>”) and (B) certain of the Lenders (each, a “</w:t>
      </w:r>
      <w:r>
        <w:rPr>
          <w:rFonts w:ascii="Times New Roman" w:hAnsi="Times New Roman"/>
          <w:b/>
          <w:i/>
          <w:caps w:val="false"/>
          <w:smallCaps w:val="false"/>
          <w:sz w:val="20"/>
        </w:rPr>
        <w:t>Public Lender</w:t>
      </w:r>
      <w:r>
        <w:rPr>
          <w:rFonts w:ascii="Times New Roman" w:hAnsi="Times New Roman"/>
          <w:caps w:val="false"/>
          <w:smallCaps w:val="false"/>
          <w:sz w:val="20"/>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the Borrower Materials that may be distributed to the Public Lenders and that (1) all the Borrower Materials shall be clearly and conspicuously marked “</w:t>
      </w:r>
      <w:r>
        <w:rPr>
          <w:rFonts w:ascii="Times New Roman" w:hAnsi="Times New Roman"/>
          <w:i/>
          <w:caps w:val="false"/>
          <w:smallCaps w:val="false"/>
          <w:sz w:val="20"/>
        </w:rPr>
        <w:t>PUBLIC</w:t>
      </w:r>
      <w:r>
        <w:rPr>
          <w:rFonts w:ascii="Times New Roman" w:hAnsi="Times New Roman"/>
          <w:caps w:val="false"/>
          <w:smallCaps w:val="false"/>
          <w:sz w:val="20"/>
        </w:rPr>
        <w:t>” which, at a minimum, shall mean that the word “</w:t>
      </w:r>
      <w:r>
        <w:rPr>
          <w:rFonts w:ascii="Times New Roman" w:hAnsi="Times New Roman"/>
          <w:i/>
          <w:caps w:val="false"/>
          <w:smallCaps w:val="false"/>
          <w:sz w:val="20"/>
        </w:rPr>
        <w:t>PUBLIC</w:t>
      </w:r>
      <w:r>
        <w:rPr>
          <w:rFonts w:ascii="Times New Roman" w:hAnsi="Times New Roman"/>
          <w:caps w:val="false"/>
          <w:smallCaps w:val="false"/>
          <w:sz w:val="20"/>
        </w:rPr>
        <w:t>” shall appear prominently on the first page thereof; (2) by marking the Borrower Materials “</w:t>
      </w:r>
      <w:r>
        <w:rPr>
          <w:rFonts w:ascii="Times New Roman" w:hAnsi="Times New Roman"/>
          <w:i/>
          <w:caps w:val="false"/>
          <w:smallCaps w:val="false"/>
          <w:sz w:val="20"/>
        </w:rPr>
        <w:t>PUBLIC,</w:t>
      </w:r>
      <w:r>
        <w:rPr>
          <w:rFonts w:ascii="Times New Roman" w:hAnsi="Times New Roman"/>
          <w:caps w:val="false"/>
          <w:smallCaps w:val="false"/>
          <w:sz w:val="20"/>
        </w:rPr>
        <w:t>” Borrower shall be deemed to have authorized the Administrative Agent, any Affiliate thereof, the Arranger, the L/C Issuer and the Lenders to treat the Borrower Materials as not containing any material non-public information (although it may be sensitive and proprietary) with respect to Borrower or its securities for purposes of United States federal and state securities laws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to the extent the Borrower Materials constitute information subject to the confidentiality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xml:space="preserve">, they shall be treated as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(3) all Borrower Materials marked “</w:t>
      </w:r>
      <w:r>
        <w:rPr>
          <w:rFonts w:ascii="Times New Roman" w:hAnsi="Times New Roman"/>
          <w:i/>
          <w:caps w:val="false"/>
          <w:smallCaps w:val="false"/>
          <w:sz w:val="20"/>
        </w:rPr>
        <w:t>PUBLIC</w:t>
      </w:r>
      <w:r>
        <w:rPr>
          <w:rFonts w:ascii="Times New Roman" w:hAnsi="Times New Roman"/>
          <w:caps w:val="false"/>
          <w:smallCaps w:val="false"/>
          <w:sz w:val="20"/>
        </w:rPr>
        <w:t>” are permitted to be made available through a portion of the Platform designated “</w:t>
      </w:r>
      <w:r>
        <w:rPr>
          <w:rFonts w:ascii="Times New Roman" w:hAnsi="Times New Roman"/>
          <w:i/>
          <w:caps w:val="false"/>
          <w:smallCaps w:val="false"/>
          <w:sz w:val="20"/>
        </w:rPr>
        <w:t>Public Side Information;</w:t>
      </w:r>
      <w:r>
        <w:rPr>
          <w:rFonts w:ascii="Times New Roman" w:hAnsi="Times New Roman"/>
          <w:caps w:val="false"/>
          <w:smallCaps w:val="false"/>
          <w:sz w:val="20"/>
        </w:rPr>
        <w:t>” and (4) the Administrative Agent and any Affiliate thereof and the Arranger shall be entitled to treat any Borrower Materials that are not marked “</w:t>
      </w:r>
      <w:r>
        <w:rPr>
          <w:rFonts w:ascii="Times New Roman" w:hAnsi="Times New Roman"/>
          <w:i/>
          <w:caps w:val="false"/>
          <w:smallCaps w:val="false"/>
          <w:sz w:val="20"/>
        </w:rPr>
        <w:t>PUBLIC</w:t>
      </w:r>
      <w:r>
        <w:rPr>
          <w:rFonts w:ascii="Times New Roman" w:hAnsi="Times New Roman"/>
          <w:caps w:val="false"/>
          <w:smallCaps w:val="false"/>
          <w:sz w:val="20"/>
        </w:rPr>
        <w:t>” as being suitable only for posting on a portion of the Platform not designated “</w:t>
      </w:r>
      <w:r>
        <w:rPr>
          <w:rFonts w:ascii="Times New Roman" w:hAnsi="Times New Roman"/>
          <w:i/>
          <w:caps w:val="false"/>
          <w:smallCaps w:val="false"/>
          <w:sz w:val="20"/>
        </w:rPr>
        <w:t>Public Side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170"/>
        <w:gridCol w:w="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60"/>
        <w:gridCol w:w="170"/>
        <w:gridCol w:w="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6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Furnish to the Administrative Agent for distribution to each Lender prompt written notice after a Responsible Officer obtains knowledge thereof of the following:</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60"/>
        <w:gridCol w:w="155"/>
        <w:gridCol w:w="426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occurrence of any Default or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filing or commencement of, or any material development in, any action, suit or proceeding by or before any arbitrator or Governmental Authority against or, to the knowledge of Borrower, affecting any Loan Party or any Subsidiary which, if adversely determined, could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of any event or any other development by which any Loan Party or any Subsidiary (i) fails to comply with any Environmental Law or to obtain, maintain or comply with any permit, license or other approval required under any Environmental Law, (ii) becomes subject to any Environmental Liability, (iii) receives notice of any claim with respect to any Environmental Liability, or (iv) becomes aware of any basis for any Environmental Liability and in each of the preceding clauses, which individually or in the aggregate, could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of any ERISA Event that alone, or together with any other ERISA Events that have occurred, could reasonably be expected to result in liability of the Loan Party Group Companies which could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 any breach or non-performance of, or any default under, any Contractual Obligation of any Loan Party or any Subsidiary, (ii) any violation of, or non-compliance with, any Law, or (iii) any action, suit or proceeding against any Loan Party Group Company with respect to the Controlled Substances Act or, solely as they may relate to an alleged violation of the Controlled Substances Act, the Civil Asset Forfeiture Reform Act or applicable anti-money laundering laws, which in the case of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(i)</w:t>
            </w:r>
            <w:r>
              <w:rPr>
                <w:rFonts w:ascii="Times New Roman" w:hAnsi="Times New Roman"/>
                <w:caps w:val="false"/>
                <w:smallCaps w:val="false"/>
                <w:sz w:val="20"/>
              </w:rPr>
              <w:t> and </w:t>
            </w:r>
            <w:r>
              <w:rPr>
                <w:rFonts w:ascii="Times New Roman" w:hAnsi="Times New Roman"/>
                <w:b/>
                <w:i/>
                <w:caps w:val="false"/>
                <w:smallCaps w:val="false"/>
                <w:sz w:val="20"/>
              </w:rPr>
              <w:t>(ii)</w:t>
            </w:r>
            <w:r>
              <w:rPr>
                <w:rFonts w:ascii="Times New Roman" w:hAnsi="Times New Roman"/>
                <w:caps w:val="false"/>
                <w:smallCaps w:val="false"/>
                <w:sz w:val="20"/>
              </w:rPr>
              <w:t> would reasonably be expected to result, either individually or in the aggregate,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commencement of, or any material development in, any litigation or proceeding affecting any Loan Party or any Subsidiary (i) in which, if adversely determined, would reasonably be expected to have a Material Adverse Effect or (ii) in which the relief sought is an injunction or other stay of the performance of this Agreement or any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8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development that results in, or could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 in the information provided in the Beneficial Ownership Certification that would result in a change to the list of beneficial owners identified in such certification;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termination or material change in the Property Licenses, including any default, termination or other material change in the underlying leases related to such Property Licenses;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promptly and in any event at least ten (10) Business Days prior thereto (or such shorter period as the Administrative Agent may permit), notice of any change (i) in any Loan Party’s legal name, (ii) in any Loan Party’s chief executive office, its principal place of business, any office in which it maintains books or records or any office or facility at which Collateral owned by it in excess of $500,000 is located (including the establishment of any such new office or facility), (iii) in any Loan Party’s identity or legal structure, (iv) in any Loan Party’s federal taxpayer identification number or organizational number or (v) in any Loan Party’s jurisdiction of organization;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labor controversy resulting in or threatening to result in any strike, work stoppage, boycott, shutdown or other labor disruption against or involving any Loan Party or any Subsidiary if the same would reasonably be expected to have, either individually or in the aggregate, a Material Adverse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notice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6.03</w:t>
      </w:r>
      <w:r>
        <w:rPr>
          <w:rFonts w:ascii="Times New Roman" w:hAnsi="Times New Roman"/>
          <w:caps w:val="false"/>
          <w:smallCaps w:val="false"/>
          <w:sz w:val="20"/>
        </w:rPr>
        <w:t xml:space="preserve"> shall be accompanied by a written statement of a Responsible Officer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170"/>
        <w:gridCol w:w="2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Payment of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Pay and discharge at or before maturity, all of its obligations and liabilities (including without limitation all taxes, assessments and other governmental charges, levies and all other claims that could result in a statutory Lien) before the same shall become delinquent or in default, except (a) where (i) the validity or amount thereof is being contested in good faith by appropriate proceedings, (ii) the applicable Loan Party Group Company has set aside on its books adequate reserves with respect thereto in accordance with GAAP, and (iii) in the case of a tax or claim which has or may become a Lien against any of the Collateral, such contest proceedings conclusively operate to stay the sale of any portion of the Collateral to satisfy such tax or claim or (b) the failure to pay or discharge such obligation or liability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Existence, Conduct of Business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Do or cause to be done all things necessary to preserve, renew and maintain in full force and effect its legal existence and its respective rights, licenses, permits, privileges, franchises, patents, copyrights, trademarks and trade names material to the conduct of its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that nothing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6.05</w:t>
            </w:r>
            <w:r>
              <w:rPr>
                <w:rFonts w:ascii="Times New Roman" w:hAnsi="Times New Roman"/>
                <w:caps w:val="false"/>
                <w:smallCaps w:val="false"/>
                <w:sz w:val="20"/>
              </w:rPr>
              <w:t xml:space="preserve"> shall (i) prohibit any merger, consolidation, liquidation or dissolution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7.04</w:t>
            </w:r>
            <w:r>
              <w:rPr>
                <w:rFonts w:ascii="Times New Roman" w:hAnsi="Times New Roman"/>
                <w:caps w:val="false"/>
                <w:smallCaps w:val="false"/>
                <w:sz w:val="20"/>
              </w:rPr>
              <w:t xml:space="preserve"> or any disposition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7.05</w:t>
            </w:r>
            <w:r>
              <w:rPr>
                <w:rFonts w:ascii="Times New Roman" w:hAnsi="Times New Roman"/>
                <w:caps w:val="false"/>
                <w:smallCaps w:val="false"/>
                <w:sz w:val="20"/>
              </w:rPr>
              <w:t> or (ii) require any action the failure of which to take could not reasonably be expected to have a Material Adverse Effect (other than with respect to the legal existence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Engage in the business of the type conducted by the Loan Parties and their Subsidiaries (including the Hemp Entities) on the Fifth Amendment Effective Date and businesses reasonably related, ancillary or incidental thereto; provided that (i) such additional business does not violate (x) any Laws in a manner that could reasonably be expected to result in a Material Adverse Effect or (y) any federal or state Laws regarding the restricted activities set forth in </w:t>
            </w:r>
            <w:r>
              <w:rPr>
                <w:rFonts w:ascii="Times New Roman" w:hAnsi="Times New Roman"/>
                <w:b/>
                <w:i/>
                <w:caps w:val="false"/>
                <w:smallCaps w:val="false"/>
                <w:sz w:val="20"/>
              </w:rPr>
              <w:t>Section 7.12</w:t>
            </w:r>
            <w:r>
              <w:rPr>
                <w:rFonts w:ascii="Times New Roman" w:hAnsi="Times New Roman"/>
                <w:caps w:val="false"/>
                <w:smallCaps w:val="false"/>
                <w:sz w:val="20"/>
              </w:rPr>
              <w:t> and (ii) notwithstanding the foregoing, in no event shall the Loan Parties and their Subsidiaries (including the Hemp Entities) conduct Hemp cultivation;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preserve or renew all of its registered Intellectual Property, the non-preservation of which could reasonably be expected to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Maintenance of Properties; Insurance</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Keep and maintain all property material to the conduct of its business in good working order and condition, ordinary wear and tear and casualty excepted and except where the failure to do so would not reasonably be expected to have, either individually or in the aggregate,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with financially sound and reputable insurance companies which are not Affiliates of Borrower, insurance with respect to its properties and business, and the properties and business of its Subsidiaries, against loss or damage of the kinds customarily insured against by companies in the same or similar businesses operating in the same or similar locations;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all times shall name Administrative Agent as additional insured on all liability policies and loss payee on all property or casualty polices of the Loan Party Group Companies (which policies shall be endorsed or otherwise amended to include a customary lender’s loss payable endorsement and to name the Administrative Agent as additional insured or loss payee, in form and substance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170"/>
        <w:gridCol w:w="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23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Compliance with Laws;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Comply with all Laws applicable to its business and properties, including without limitation, all Food Safety Laws, Environmental Laws, ERISA and OSHA, except where the failure to do so, either individually or in the aggregate, could not reasonably be expected to result in a Material Adverse Effect; provided that any federal or state Laws regarding the restricted activities set forth in </w:t>
      </w:r>
      <w:r>
        <w:rPr>
          <w:rFonts w:ascii="Times New Roman" w:hAnsi="Times New Roman"/>
          <w:b/>
          <w:i/>
          <w:caps w:val="false"/>
          <w:smallCaps w:val="false"/>
          <w:sz w:val="20"/>
        </w:rPr>
        <w:t>Section 7.12</w:t>
      </w:r>
      <w:r>
        <w:rPr>
          <w:rFonts w:ascii="Times New Roman" w:hAnsi="Times New Roman"/>
          <w:caps w:val="false"/>
          <w:smallCaps w:val="false"/>
          <w:sz w:val="20"/>
        </w:rPr>
        <w:t xml:space="preserve"> shall be complied with in all respects.</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16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Books and Records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Keep proper books of record and account in which full, true and correct entries shall be made of all dealings and transactions in relation to its business and activities to the extent necessary to prepare the consolidated financial statements of the Loan Party Group Companies in conformity with GAAP.</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275"/>
        <w:gridCol w:w="21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21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Visitation, Inspection,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Permit any representative of the Administrative Agent (which may be accompanied by representatives of any of the Lenders at their own expense), to visit and inspect its properties, to examine its books and records and to make copies and take extracts therefrom, and to discuss its affairs, finances and accounts with any of its officers and with its independent certified public accountants one (1) time per Fiscal Year, during normal business hours and upon reasonable advance notice; </w:t>
      </w:r>
      <w:r>
        <w:rPr>
          <w:rFonts w:ascii="Times New Roman" w:hAnsi="Times New Roman"/>
          <w:i/>
          <w:caps w:val="false"/>
          <w:smallCaps w:val="false"/>
          <w:sz w:val="20"/>
        </w:rPr>
        <w:t>provided</w:t>
      </w:r>
      <w:r>
        <w:rPr>
          <w:rFonts w:ascii="Times New Roman" w:hAnsi="Times New Roman"/>
          <w:caps w:val="false"/>
          <w:smallCaps w:val="false"/>
          <w:sz w:val="20"/>
        </w:rPr>
        <w:t xml:space="preserve">, if an Event of Default has occurred and is continuing, no prior notice shall be required and visitations will not be limited in number;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unless an Event of Default has occurred and is continuing, the Loan Parties shall only be responsible for costs and expenses of the Administrative Agent for one (1) such inspection in any Fiscal Year;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no such discussion with any such independent certified public accountants shall be permitted unless Borrower shall have received reasonable notice thereof and a reasonable opportunity to participate therein.</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275"/>
        <w:gridCol w:w="31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Proceeds; Margin Regulations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the proceeds of all the Revolving Loans after the Closing Date to finance Permitted Acquisitions, to finance working capital needs and Capital Expenditures and for other general corporate purposes of Loan Parties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the proceeds of the Term Loan on the Closing Date, to (i) refinance existing Indebtedness (including the Existing Credit Agreement), and (ii) pay costs and expenses related to the transactions occurring on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the proceeds of the Delayed Draw Term Loans for Permitted Acquisitions and costs and expenses related to Permitted Acquisitions.</w:t>
            </w:r>
          </w:p>
        </w:tc>
      </w:tr>
    </w:tbl>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60"/>
        <w:gridCol w:w="170"/>
        <w:gridCol w:w="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55"/>
        <w:gridCol w:w="447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4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all Letters of Credit for general corporate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use any part of the proceeds of any Loan, whether directly or indirectly, for any purpose that would violate any rule or regulation of the FRB, including Regulation T, Regulation U or Regulation 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 request any Loans or Letter of Credit, and Borrower shall not use, and shall procure that each other Loan Party Group Company and its or their respective directors, officers, employees and agents shall not use, the proceeds of any Loans or Letter of Credit (a) in furtherance of an offer, payment, promise to pay, or authorization of the payment or giving of money, or anything else of value, to any Person in violation of any Anti-Corruption Laws or Sanctions, (b) for the purpose of funding, financing or facilitating any activities, business or transaction of or with any Sanctioned Person, or in any Sanctioned Country, in violation of Sanctions, (c) in any manner that would result in the violation of any Sanctions applicable to any party hereto or (d) to directly or indirectly fund, refund or otherwise pay for any activity prohibited by </w:t>
            </w:r>
            <w:r>
              <w:rPr>
                <w:rFonts w:ascii="Times New Roman" w:hAnsi="Times New Roman"/>
                <w:b/>
                <w:i/>
                <w:caps w:val="false"/>
                <w:smallCaps w:val="false"/>
                <w:sz w:val="20"/>
              </w:rPr>
              <w:t>Section 7.12</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 request any Loans or Letter of Credit, and Borrower shall not use, and shall procure that each other Loan Party Group Company and its or their respective directors, officers, employees and agents shall not use, the proceeds of any Loans or Letter of Credit for any purposes other than those set out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6.11</w:t>
            </w:r>
            <w:r>
              <w:rPr>
                <w:rFonts w:ascii="Times New Roman" w:hAnsi="Times New Roman"/>
                <w:caps w:val="false"/>
                <w:smallCaps w:val="false"/>
                <w:sz w:val="20"/>
              </w:rPr>
              <w:t xml:space="preserve">; and for greater certainty all Loans or Letter of Credit will be applied in full (other than with respect to any surplus amounts borrowed as a result of borrowing minimums required by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2.02</w:t>
            </w:r>
            <w:r>
              <w:rPr>
                <w:rFonts w:ascii="Times New Roman" w:hAnsi="Times New Roman"/>
                <w:caps w:val="false"/>
                <w:smallCaps w:val="false"/>
                <w:sz w:val="20"/>
              </w:rPr>
              <w:t xml:space="preserve">) for the purposes set out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6.11</w:t>
            </w:r>
            <w:r>
              <w:rPr>
                <w:rFonts w:ascii="Times New Roman" w:hAnsi="Times New Roman"/>
                <w:caps w:val="false"/>
                <w:smallCaps w:val="false"/>
                <w:sz w:val="20"/>
              </w:rPr>
              <w:t> within a reasonable time of the relevant Borrowing and shall not be applied to accumulate or maintain cash or cash equivalents without a specific business purpose.</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275"/>
        <w:gridCol w:w="16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16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 Perform and observe all the terms and provisions of each Material Contract to be performed or observed by it, (ii) maintain each such Material Contract in full force and effect, and (iii) enforce each such Material Contract in accordance with its terms, except, in any case of clause (i), (ii) and (iii), where the failure to do so, either individually or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275"/>
        <w:gridCol w:w="20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Guarantors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Subsidiary is acquired or formed after the Closing Date, promptly notify the Administrative Agent and the Lenders thereof and, within thirty (30) days (or such later date as the Administrative Agent may agree to) after any such Subsidiary is acquired or formed, cause such Subsidiary to become a Guarantor. Any such Subsidiary shall become an additional Guarantor by executing and delivering to the Administrative Agent a Guarantor Joinder Agreement in form and substance reasonably satisfactory to the Administrative Agent, accompanied by (i) all other Loan Documents related thereto, (ii) certified copies of Organization Documents, appropriate authorizing resolutions of the board of directors of such Subsidiaries, and opinions of counsel, in each case, comparable to those delivered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3.01(b)</w:t>
            </w:r>
            <w:r>
              <w:rPr>
                <w:rFonts w:ascii="Times New Roman" w:hAnsi="Times New Roman"/>
                <w:caps w:val="false"/>
                <w:smallCaps w:val="false"/>
                <w:sz w:val="20"/>
              </w:rPr>
              <w:t xml:space="preserve"> and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3.01(c)</w:t>
            </w:r>
            <w:r>
              <w:rPr>
                <w:rFonts w:ascii="Times New Roman" w:hAnsi="Times New Roman"/>
                <w:caps w:val="false"/>
                <w:smallCaps w:val="false"/>
                <w:sz w:val="20"/>
              </w:rPr>
              <w:t>, and (iii) such other documents as the Administrative Agent may reasonably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Borrower agrees that the property required to be pledged pursuant to </w:t>
            </w:r>
            <w:r>
              <w:rPr>
                <w:rFonts w:ascii="Times New Roman" w:hAnsi="Times New Roman"/>
                <w:b/>
                <w:i/>
                <w:caps w:val="false"/>
                <w:smallCaps w:val="false"/>
                <w:sz w:val="20"/>
              </w:rPr>
              <w:t>subsection</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xml:space="preserve"> shall be subject to a first priority perfected Lien of the Administrative Agent (to the extent that such Lien can be perfected by execution, delivery and/or recording of the Collateral Documents, UCC financing statements or PPSA financing statements, or possession of such Collateral), free and clear of all Liens other than Liens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w:t>
            </w:r>
            <w:r>
              <w:rPr>
                <w:rFonts w:ascii="Times New Roman" w:hAnsi="Times New Roman"/>
                <w:caps w:val="false"/>
                <w:smallCaps w:val="false"/>
                <w:sz w:val="20"/>
              </w:rPr>
              <w:t xml:space="preserve">. All actions to be taken pursuant to this </w:t>
            </w:r>
            <w:r>
              <w:rPr>
                <w:rFonts w:ascii="Times New Roman" w:hAnsi="Times New Roman"/>
                <w:b/>
                <w:i/>
                <w:caps w:val="false"/>
                <w:smallCaps w:val="false"/>
                <w:sz w:val="20"/>
              </w:rPr>
              <w:t>Section</w:t>
            </w:r>
            <w:r>
              <w:rPr>
                <w:rFonts w:ascii="Times New Roman" w:hAnsi="Times New Roman"/>
                <w:caps w:val="false"/>
                <w:smallCaps w:val="false"/>
                <w:sz w:val="20"/>
              </w:rPr>
              <w:t> shall be at the expense of Borrower or the applicable Loan Party and shall be taken to the reasonable satisfaction of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60"/>
        <w:gridCol w:w="275"/>
        <w:gridCol w:w="12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12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Pledged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Except with respect to Excluded Property: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Equity Interests</w:t>
            </w:r>
            <w:r>
              <w:rPr>
                <w:rFonts w:ascii="Times New Roman" w:hAnsi="Times New Roman"/>
                <w:caps w:val="false"/>
                <w:smallCaps w:val="false"/>
                <w:sz w:val="20"/>
              </w:rPr>
              <w:t xml:space="preserve">. Cause (i) 100% of the issued and outstanding Equity Interests of each Domestic Subsidiary and the Hemp Entities and (ii) 66% (or such greater percentage that (A) could not reasonably be expected to cause the undistributed earnings of such Foreign Subsidiary as determined for United States federal income tax purposes to be treated as a deemed dividend to such Foreign Subsidiary’s United States parent and (B) could not reasonably be expected to cause any material adverse tax consequences) of the issued and outstanding Equity Interests entitled to vote (within the meaning of Treas. Reg.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1.956-2(c)(2)</w:t>
            </w:r>
            <w:r>
              <w:rPr>
                <w:rFonts w:ascii="Times New Roman" w:hAnsi="Times New Roman"/>
                <w:caps w:val="false"/>
                <w:smallCaps w:val="false"/>
                <w:sz w:val="20"/>
              </w:rPr>
              <w:t xml:space="preserve">) and 100% of the issued and outstanding Equity Interests not entitled to vote (within the meaning of Treas. Reg.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1.956-2(c)(2)</w:t>
            </w:r>
            <w:r>
              <w:rPr>
                <w:rFonts w:ascii="Times New Roman" w:hAnsi="Times New Roman"/>
                <w:caps w:val="false"/>
                <w:smallCaps w:val="false"/>
                <w:sz w:val="20"/>
              </w:rPr>
              <w:t>) in each Foreign Subsidiary directly owned by any Loan Party to be subject at all times to a first priority, perfected Lien in favor of the Administrative Agent to secure the Secured Obligations pursuant to the Collateral Documents, and, in connection with the foregoing, deliver to the Administrative Agent such other documentation as the Administrative Agent may request including, any filings and deliveries to perfect such Liens and favorable opinions of counsel all in form and substance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Other Property</w:t>
            </w:r>
            <w:r>
              <w:rPr>
                <w:rFonts w:ascii="Times New Roman" w:hAnsi="Times New Roman"/>
                <w:caps w:val="false"/>
                <w:smallCaps w:val="false"/>
                <w:sz w:val="20"/>
              </w:rPr>
              <w:t xml:space="preserve">. Cause all personal property of each Loan Party (other than Equity Interests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above) to be subject at all times to first priority, perfected to secure the Secured Obligations pursuant to the Collateral Documents (subject to Permitted Liens) and, in connection with the foregoing, deliver to the Administrative Agent such other documentation as the Administrative Agent may request including filings and deliveries necessary to perfect such Liens, Organization Documents, resolutions, and favorable opinions of counsel to such Person, all in form, content and scope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Real Property</w:t>
            </w:r>
            <w:r>
              <w:rPr>
                <w:rFonts w:ascii="Times New Roman" w:hAnsi="Times New Roman"/>
                <w:caps w:val="false"/>
                <w:smallCaps w:val="false"/>
                <w:sz w:val="20"/>
              </w:rPr>
              <w:t>.  The Administrative Agent may, at its sole discretion cause the applicable Loan Party to provide a Mortgage and such Mortgaged Property Support Documents as the Administrative Agent may request to cause up to two (2) real property locations to be subject at all times to a first priority, perfected Lien (subject in each case to Permitted Liens) in favor of the Administrative Agent for the benefit of the Secured Parties to secure the Secured Obligations pursuant to the terms and conditions of the Collateral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Landlord Consents</w:t>
            </w:r>
            <w:r>
              <w:rPr>
                <w:rFonts w:ascii="Times New Roman" w:hAnsi="Times New Roman"/>
                <w:caps w:val="false"/>
                <w:smallCaps w:val="false"/>
                <w:sz w:val="20"/>
              </w:rPr>
              <w:t>. Within ninety (90) days (or such later date as the Administrative Agent may agree in its sole discretion) of the Closing Date, use commercially reasonable efforts to deliver or cause to be delivered to the Administrative Agent a duly executed landlord consent from each lessor of any Loan Party’s leased property that is its chief executive office, its principal place of business, any office in which it maintains books or records or any office or facility at which Collateral owned by it in excess of $500,000 is located, which consent shall be in form and substance reasonably acceptable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Further Assurances</w:t>
            </w:r>
            <w:r>
              <w:rPr>
                <w:rFonts w:ascii="Times New Roman" w:hAnsi="Times New Roman"/>
                <w:caps w:val="false"/>
                <w:smallCaps w:val="false"/>
                <w:sz w:val="20"/>
              </w:rPr>
              <w:t>. (i) At any time upon request of the Administrative Agent, promptly execute and deliver any and all further instruments and documents and take all such other action as the Administrative Agent may deem necessary or desirable to maintain in favor of the Administrative Agent, for the benefit of the Secured Parties, Liens and insurance rights on the Collateral that are duly perfected in accordance with the requirements of, or the obligations of the Loan Parties under, the Loan Documents and all Applicable Laws and (ii) within one hundred fifty (150) days following the Second Amendment Effective Date (or such longer period as the Administrative Agent may agree in its sole discretion) complete the Montauk Contribution and the Tilray Beverages Contribution.</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275"/>
        <w:gridCol w:w="28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28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Anti-Corruption Laws; 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275"/>
        <w:gridCol w:w="35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35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Fifth Amendment Post-Closing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Reserve Account</w:t>
            </w:r>
            <w:r>
              <w:rPr>
                <w:rFonts w:ascii="Times New Roman" w:hAnsi="Times New Roman"/>
                <w:caps w:val="false"/>
                <w:smallCaps w:val="false"/>
                <w:sz w:val="20"/>
              </w:rPr>
              <w:t>.  On or before the date that is 10 Business Days after the Fifth Amendment Effective Date, (i) the Borrower shall open a separate deposit account with Administrative Agent subject to the Control Agreement for the sole purpose of holding the Cash Reserve Collateral (the “</w:t>
            </w:r>
            <w:r>
              <w:rPr>
                <w:rFonts w:ascii="Times New Roman" w:hAnsi="Times New Roman"/>
                <w:b/>
                <w:i/>
                <w:caps w:val="false"/>
                <w:smallCaps w:val="false"/>
                <w:sz w:val="20"/>
              </w:rPr>
              <w:t>Cash Reserve Collateral Account</w:t>
            </w:r>
            <w:r>
              <w:rPr>
                <w:rFonts w:ascii="Times New Roman" w:hAnsi="Times New Roman"/>
                <w:caps w:val="false"/>
                <w:smallCaps w:val="false"/>
                <w:sz w:val="20"/>
              </w:rPr>
              <w:t>”), (ii) the Borrower shall deposit $10,000,000 into the Cash Reserve Collateral Account and (iii) the Borrower shall maintain not less than $10,000,000 in the Cash Reserve Collateral Account at all times during the Minimum TTM EBITDA Testing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Hemp Contribution</w:t>
            </w:r>
            <w:r>
              <w:rPr>
                <w:rFonts w:ascii="Times New Roman" w:hAnsi="Times New Roman"/>
                <w:caps w:val="false"/>
                <w:smallCaps w:val="false"/>
                <w:sz w:val="20"/>
              </w:rPr>
              <w:t xml:space="preserve">. On or before the date that is 30 days after the Fifth Amendment Effective Date (or such longer period as the Administrative Agent may agree in its sole discretion, but not later than the date that is 60 days after the Fifth Amendment Effective Date), (i) the Borrower shall consummate the Hemp Contribution, (ii) the Hemp Entities shall become Guarantors and pledge their assets as required by </w:t>
            </w:r>
            <w:r>
              <w:rPr>
                <w:rFonts w:ascii="Times New Roman" w:hAnsi="Times New Roman"/>
                <w:b/>
                <w:i/>
                <w:caps w:val="false"/>
                <w:smallCaps w:val="false"/>
                <w:sz w:val="20"/>
              </w:rPr>
              <w:t>Sections 6.13</w:t>
            </w:r>
            <w:r>
              <w:rPr>
                <w:rFonts w:ascii="Times New Roman" w:hAnsi="Times New Roman"/>
                <w:caps w:val="false"/>
                <w:smallCaps w:val="false"/>
                <w:sz w:val="20"/>
              </w:rPr>
              <w:t xml:space="preserve"> and </w:t>
            </w:r>
            <w:r>
              <w:rPr>
                <w:rFonts w:ascii="Times New Roman" w:hAnsi="Times New Roman"/>
                <w:b/>
                <w:i/>
                <w:caps w:val="false"/>
                <w:smallCaps w:val="false"/>
                <w:sz w:val="20"/>
              </w:rPr>
              <w:t xml:space="preserve">6.14 </w:t>
            </w:r>
            <w:r>
              <w:rPr>
                <w:rFonts w:ascii="Times New Roman" w:hAnsi="Times New Roman"/>
                <w:caps w:val="false"/>
                <w:smallCaps w:val="false"/>
                <w:sz w:val="20"/>
              </w:rPr>
              <w:t xml:space="preserve">and (iii) the Borrower shall have delivered a certificate in form and substance satisfactory to the Administrative Agent that the actions set forth in this </w:t>
            </w:r>
            <w:r>
              <w:rPr>
                <w:rFonts w:ascii="Times New Roman" w:hAnsi="Times New Roman"/>
                <w:b/>
                <w:i/>
                <w:caps w:val="false"/>
                <w:smallCaps w:val="false"/>
                <w:sz w:val="20"/>
              </w:rPr>
              <w:t>Section 6.16(b)</w:t>
            </w:r>
            <w:r>
              <w:rPr>
                <w:rFonts w:ascii="Times New Roman" w:hAnsi="Times New Roman"/>
                <w:caps w:val="false"/>
                <w:smallCaps w:val="false"/>
                <w:sz w:val="20"/>
              </w:rPr>
              <w:t xml:space="preserve"> are in compliance with </w:t>
            </w:r>
            <w:r>
              <w:rPr>
                <w:rFonts w:ascii="Times New Roman" w:hAnsi="Times New Roman"/>
                <w:b/>
                <w:i/>
                <w:caps w:val="false"/>
                <w:smallCaps w:val="false"/>
                <w:sz w:val="20"/>
              </w:rPr>
              <w:t>Section 7.12</w:t>
            </w:r>
            <w:r>
              <w:rPr>
                <w:rFonts w:ascii="Times New Roman" w:hAnsi="Times New Roman"/>
                <w:caps w:val="false"/>
                <w:smallCaps w:val="false"/>
                <w:sz w:val="20"/>
              </w:rPr>
              <w:t xml:space="preserve"> and that the Hemp Entities are in compliance with </w:t>
            </w:r>
            <w:r>
              <w:rPr>
                <w:rFonts w:ascii="Times New Roman" w:hAnsi="Times New Roman"/>
                <w:b/>
                <w:i/>
                <w:caps w:val="false"/>
                <w:smallCaps w:val="false"/>
                <w:sz w:val="20"/>
              </w:rPr>
              <w:t>Section 7.12</w:t>
            </w:r>
            <w:r>
              <w:rPr>
                <w:rFonts w:ascii="Times New Roman" w:hAnsi="Times New Roman"/>
                <w:caps w:val="false"/>
                <w:smallCaps w:val="false"/>
                <w:sz w:val="20"/>
              </w:rPr>
              <w:t xml:space="preserve"> and </w:t>
            </w:r>
            <w:r>
              <w:rPr>
                <w:rFonts w:ascii="Times New Roman" w:hAnsi="Times New Roman"/>
                <w:b/>
                <w:i/>
                <w:caps w:val="false"/>
                <w:smallCaps w:val="false"/>
                <w:sz w:val="20"/>
              </w:rPr>
              <w:t>Section 6.08</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Updates</w:t>
            </w:r>
            <w:r>
              <w:rPr>
                <w:rFonts w:ascii="Times New Roman" w:hAnsi="Times New Roman"/>
                <w:caps w:val="false"/>
                <w:smallCaps w:val="false"/>
                <w:sz w:val="20"/>
              </w:rPr>
              <w:t xml:space="preserve">. On or before the date that is 45 days after the Fifth Amendment Effective Date, the Borrower shall have delivered to the Administrative Agent, updated intellectual property schedules, intellectual property filings, stock certificates, stock powers, and any other items required to be delivered under </w:t>
            </w:r>
            <w:r>
              <w:rPr>
                <w:rFonts w:ascii="Times New Roman" w:hAnsi="Times New Roman"/>
                <w:b/>
                <w:i/>
                <w:caps w:val="false"/>
                <w:smallCaps w:val="false"/>
                <w:sz w:val="20"/>
              </w:rPr>
              <w:t xml:space="preserve">Section 6.14 </w:t>
            </w:r>
            <w:r>
              <w:rPr>
                <w:rFonts w:ascii="Times New Roman" w:hAnsi="Times New Roman"/>
                <w:caps w:val="false"/>
                <w:smallCaps w:val="false"/>
                <w:sz w:val="20"/>
              </w:rPr>
              <w:t>with respect to the Loan Parties.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Equity Contribution</w:t>
            </w:r>
            <w:r>
              <w:rPr>
                <w:rFonts w:ascii="Times New Roman" w:hAnsi="Times New Roman"/>
                <w:caps w:val="false"/>
                <w:smallCaps w:val="false"/>
                <w:sz w:val="20"/>
              </w:rPr>
              <w:t xml:space="preserve">. On or before December 31, 2025, Borrower shall have received a cash contribution of not less than $10,000,000 by Holdings (directly or indirectly) in exchange for common Equity Interests of the Borrower and such contribution shall be in compliance with </w:t>
            </w:r>
            <w:r>
              <w:rPr>
                <w:rFonts w:ascii="Times New Roman" w:hAnsi="Times New Roman"/>
                <w:b/>
                <w:i/>
                <w:caps w:val="false"/>
                <w:smallCaps w:val="false"/>
                <w:sz w:val="20"/>
              </w:rPr>
              <w:t>Section 7.12</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
        <w:gridCol w:w="320"/>
        <w:gridCol w:w="230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23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NEGATIVE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of the Loan Parties hereby covenants and agrees that until the Facility Termination Date, no Loan Party shall, nor shall it permit any Subsidiary to, directly or indirectly:</w:t>
      </w:r>
    </w:p>
    <w:p>
      <w:pPr>
        <w:pStyle w:val="TextBody"/>
        <w:bidi w:val="0"/>
        <w:spacing w:before="0" w:after="0"/>
        <w:ind w:left="0" w:right="0" w:hanging="0"/>
        <w:jc w:val="left"/>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60"/>
        <w:gridCol w:w="170"/>
        <w:gridCol w:w="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Liens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Create, incur, assume or suffer to exist any Lien upon any of its property, assets or revenues, whether now owned or hereafter acquired, except for the following (the “</w:t>
      </w:r>
      <w:r>
        <w:rPr>
          <w:rFonts w:ascii="Times New Roman" w:hAnsi="Times New Roman"/>
          <w:b/>
          <w:i/>
          <w:caps w:val="false"/>
          <w:smallCaps w:val="false"/>
          <w:sz w:val="20"/>
        </w:rPr>
        <w:t>Permitted Liens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55"/>
        <w:gridCol w:w="318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 pursuant to any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170"/>
        <w:gridCol w:w="2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Permitted Encumbrances;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Liens on any property or assets of any Loan Party Group Company existing on the Closing Date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7.01</w:t>
            </w:r>
            <w:r>
              <w:rPr>
                <w:rFonts w:ascii="Times New Roman" w:hAnsi="Times New Roman"/>
                <w:caps w:val="false"/>
                <w:smallCaps w:val="false"/>
                <w:sz w:val="20"/>
              </w:rPr>
              <w:t xml:space="preserve"> and any improvements, attachments thereto or proceeds thereof; </w:t>
            </w:r>
            <w:r>
              <w:rPr>
                <w:rFonts w:ascii="Times New Roman" w:hAnsi="Times New Roman"/>
                <w:i/>
                <w:caps w:val="false"/>
                <w:smallCaps w:val="false"/>
                <w:sz w:val="20"/>
              </w:rPr>
              <w:t>provided</w:t>
            </w:r>
            <w:r>
              <w:rPr>
                <w:rFonts w:ascii="Times New Roman" w:hAnsi="Times New Roman"/>
                <w:caps w:val="false"/>
                <w:smallCaps w:val="false"/>
                <w:sz w:val="20"/>
              </w:rPr>
              <w:t> that such Lien shall not apply to any other property or asset of any Loan Party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Leases); </w:t>
            </w:r>
            <w:r>
              <w:rPr>
                <w:rFonts w:ascii="Times New Roman" w:hAnsi="Times New Roman"/>
                <w:i/>
                <w:caps w:val="false"/>
                <w:smallCaps w:val="false"/>
                <w:sz w:val="20"/>
              </w:rPr>
              <w:t>provided</w:t>
            </w:r>
            <w:r>
              <w:rPr>
                <w:rFonts w:ascii="Times New Roman" w:hAnsi="Times New Roman"/>
                <w:caps w:val="false"/>
                <w:smallCaps w:val="false"/>
                <w:sz w:val="20"/>
              </w:rPr>
              <w:t xml:space="preserve"> that (i) such Lien secured Indebtedness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7.02(c)</w:t>
            </w:r>
            <w:r>
              <w:rPr>
                <w:rFonts w:ascii="Times New Roman" w:hAnsi="Times New Roman"/>
                <w:caps w:val="false"/>
                <w:smallCaps w:val="false"/>
                <w:sz w:val="20"/>
              </w:rPr>
              <w:t>, (ii) such Lien attaches to such asset concurrently or within ninety (90) days after the acquisition, improvement or completion of the construction thereof; (iii) such Lien does not extend to any other asset; and (iv) the Indebtedness secured thereby does not exceed the cost of acquiring, constructing or improving such fixed or capital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Liens on equipment and real property acquired in a Permitted Acquisition so long as such Lien only attaches to such equipment and real property of the acquired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Lien shall not have been incurred in contemplation of such Permitted Acquisition and only secures Indebtedness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7.02(i)</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 in favor of customs and revenue authorities arising as a matter of law which secure payment of customs duties in connection with the importation of goods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extensions, renewals, or replacements of any Lien referred to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through </w:t>
            </w:r>
            <w:r>
              <w:rPr>
                <w:rFonts w:ascii="Times New Roman" w:hAnsi="Times New Roman"/>
                <w:b/>
                <w:i/>
                <w:caps w:val="false"/>
                <w:smallCaps w:val="false"/>
                <w:sz w:val="20"/>
              </w:rPr>
              <w:t>(f)</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that the principal amount of the Indebtedness secured thereby is not increased other than with respect to the accrual of interest, fees and other amounts as a result of such extensions, renewals or replacements and that any such extension, renewal or replacement is limited to the assets originally encumbered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Liens on cash earnest money deposits made by the Loan Parties and their Subsidiaries in connection with any letter of intent or purchase agreement in favor of the seller of any property to be acquired in an Investment permitted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7.03(m)</w:t>
            </w:r>
            <w:r>
              <w:rPr>
                <w:rFonts w:ascii="Times New Roman" w:hAnsi="Times New Roman"/>
                <w:caps w:val="false"/>
                <w:smallCaps w:val="false"/>
                <w:sz w:val="20"/>
              </w:rPr>
              <w:t> to be applied against the purchase price for such Investment, solely to the extent such Investment or sale, disposition, transfer or lease would have been permitted on the date of the creation of such Lien;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 on insurance policies and the proceeds thereof and premium refunds securing the financing of the premiums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 Liens on earnest money deposits of cash or Cash Equivalents or cash advances made in connection with any Permitted Acquisition or other permitted Investment permitted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7.03(m)</w:t>
            </w:r>
            <w:r>
              <w:rPr>
                <w:rFonts w:ascii="Times New Roman" w:hAnsi="Times New Roman"/>
                <w:caps w:val="false"/>
                <w:smallCaps w:val="false"/>
                <w:sz w:val="20"/>
              </w:rPr>
              <w:t xml:space="preserve">, or (ii) Liens consisting of an agreement to dispose of any property in a Disposition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7.05</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55"/>
        <w:gridCol w:w="515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5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other Liens securing Indebtedness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7.02(j)</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foregoing, at no time shall any Loan Party or any of their Subsidiaries place mortgages, deeds of trust or deeds to secure debt that purport to grant any Person, other than the Administrative Agent, for the benefit of the holders of the Obligations, a security interest in the fee interests and/or leasehold interests of any Loan Party in any real property owned or leased by a Loan Party.</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
        <w:gridCol w:w="170"/>
        <w:gridCol w:w="1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1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Create, incur, assume or suffer to exist any Indebtedness, except:</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55"/>
        <w:gridCol w:w="338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Indebtedness under the Loan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outstanding on the Closing Date and listed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7.02</w:t>
            </w:r>
            <w:r>
              <w:rPr>
                <w:rFonts w:ascii="Times New Roman" w:hAnsi="Times New Roman"/>
                <w:caps w:val="false"/>
                <w:smallCaps w:val="false"/>
                <w:sz w:val="20"/>
              </w:rPr>
              <w:t> and extensions, renewals and replacements of any such Indebtedness that do not increase the outstanding principal amount thereof (immediately prior to giving effect to such extension, renewal or replacement) other than with respect to accrual of interest, fees or similar costs (including original issue discount, premium and expenses) or shorten the maturity or the weighted average life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of any Loan Party or any Subsidiary in each case to any Person which is not a Subsidiary incurred to finance the acquisition, construction or improvement of any fixed or capital assets, including obligations under Capital Leases, and any Indebtedness assumed in connection with the acquisition of any such assets or secured by a Lien on any such assets prior to the acquisition thereof;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Indebtedness is incurred prior to or within ninety (90) days after such acquisition or the completion of such construction or improvements or extensions, renewals, and replacements of any such Indebtedness that do not increase the outstanding principal amount thereof (immediately prior to giving effect to such extension, renewal or replacement) or shorten the maturity or the weighted average life thereof;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further</w:t>
            </w:r>
            <w:r>
              <w:rPr>
                <w:rFonts w:ascii="Times New Roman" w:hAnsi="Times New Roman"/>
                <w:caps w:val="false"/>
                <w:smallCaps w:val="false"/>
                <w:sz w:val="20"/>
              </w:rPr>
              <w:t xml:space="preserve">, that the aggregate principal amount of all such Indebtedness does not at any time,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exceed an amount equal to 5.0% of Net Assets at such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of a Loan Party owing to any Subsidiary and of any Subsidiary owing to a Loan Party or any other Subsidiary that is not a Loan Party;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aggregate amount of such Indebtedness owed by a Loan Party to a Subsidiary that is not a Loan Party shall be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7.03(d)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Guarantees by any Loan Party Group Company of Indebtedness of any other Loan Party Group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Guarantees by any Loan Party of Indebtedness of any Subsidiary that is not a Loan Party shall be subject to </w:t>
            </w:r>
            <w:r>
              <w:rPr>
                <w:rFonts w:ascii="Times New Roman" w:hAnsi="Times New Roman"/>
                <w:b/>
                <w:i/>
                <w:caps w:val="false"/>
                <w:smallCaps w:val="false"/>
                <w:sz w:val="20"/>
              </w:rPr>
              <w:t>Section 7.03(d)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so long as no Event of Default would be caused thereby, other unsecured Indebtedness in an aggregate principal amount not to exceed at any time,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xml:space="preserve">, 5.0% of Net Assets at such time; </w:t>
            </w:r>
            <w:r>
              <w:rPr>
                <w:rFonts w:ascii="Times New Roman" w:hAnsi="Times New Roman"/>
                <w:i/>
                <w:caps w:val="false"/>
                <w:smallCaps w:val="false"/>
                <w:sz w:val="20"/>
              </w:rPr>
              <w:t>provided</w:t>
            </w:r>
            <w:r>
              <w:rPr>
                <w:rFonts w:ascii="Times New Roman" w:hAnsi="Times New Roman"/>
                <w:caps w:val="false"/>
                <w:smallCaps w:val="false"/>
                <w:sz w:val="20"/>
              </w:rPr>
              <w:t> that such Indebtedness shall be subordinated to the Obligations (and, in the case of Indebtedness from any Loan Party Group Company, subject to Liens in favor of the Administrative Agent), each on terms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obligations arising under indemnity agreements or other arrangements with title insurers to issue title policies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assumed in connection with a Permitted Acquisition by the relevant Subsidiary which is the purchaser under such Acquisition; provided that (i) such Indebtedness shall not have been incurred in contemplation of such Acquisition, (ii) such Indebtedness remains the Indebtedness of the Persons who were obligors in respect thereof immediately prior to such Acquisition and (iii) the aggregate principal amount of all such Indebtedness shall not,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exceed $[***] in the aggregate at any time outstanding;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so long as no Event of Default shall have occurred and be continuing or would be caused thereby, other Indebtedness of a Loan Party or any Subsidiary in an aggregate principal amount not to exceed,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xml:space="preserve">, $[***]; </w:t>
            </w:r>
            <w:r>
              <w:rPr>
                <w:rFonts w:ascii="Times New Roman" w:hAnsi="Times New Roman"/>
                <w:i/>
                <w:caps w:val="false"/>
                <w:smallCaps w:val="false"/>
                <w:sz w:val="20"/>
              </w:rPr>
              <w:t>provided</w:t>
            </w:r>
            <w:r>
              <w:rPr>
                <w:rFonts w:ascii="Times New Roman" w:hAnsi="Times New Roman"/>
                <w:caps w:val="false"/>
                <w:smallCaps w:val="false"/>
                <w:sz w:val="20"/>
              </w:rPr>
              <w:t> that any Indebtedness from any Loan Party Group Company shall be subject to Liens in favor of the Administrative Agent on terms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for customary indemnification, adjustment of purchase price or similar customary obligations of the relevant Subsidiary which is the purchaser under any documents relating to any Permitted Acquisition or any Acquisition consummated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7.03(j)</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Indebtedness in respect of netting services or overdraft protections in connection with deposit accounts and other cash management obligations, in each case solely to the extent incurred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5"/>
        <w:gridCol w:w="7740"/>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lllllllllllllllllllllllllllllllllllllll.</w:t>
            </w:r>
          </w:p>
        </w:tc>
        <w:tc>
          <w:tcPr>
            <w:tcW w:w="7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in respect of Taxes, assessments or governmental charges to the extent that payment thereof shall not be required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6.04</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915"/>
        <w:gridCol w:w="4230"/>
      </w:tblGrid>
      <w:tr>
        <w:trPr/>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mmmmmmmmmmmmmmmmmmmmmmmmmmmmmmmmmmmmmmm.</w:t>
            </w:r>
          </w:p>
        </w:tc>
        <w:tc>
          <w:tcPr>
            <w:tcW w:w="4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Indebtedness consisting of judgments not otherwise constituting an Event of Default under </w:t>
            </w:r>
            <w:r>
              <w:rPr>
                <w:rFonts w:ascii="Times New Roman" w:hAnsi="Times New Roman"/>
                <w:b/>
                <w:i/>
                <w:caps w:val="false"/>
                <w:smallCaps w:val="false"/>
                <w:sz w:val="20"/>
              </w:rPr>
              <w:t>Section 8.01(h)</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nnnnnnnnnnnnnnnnnnnnnnnnnnnnnnnnnnnnnnn.</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Indebtedness incurred in the ordinary course of business relating to the financing of liability, casualty, hazard and other insurance premiums in which any Loan Party Group Company is an insured;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ooooooooooooooooooooooooooooooooooooooo.</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Indebtedness which may be deemed to exist pursuant to any bonds, guaranties, performance, surety, statutory, appeal or similar obligations incurred in the ordinary course of business, or in connection with any letters of credit or bank guarantees posted to support any such bonds, or in connection with the enforcement of rights or claims of any Loan Party Group Company or in connection with judgments that do not result in an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4160"/>
        <w:gridCol w:w="1910"/>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ppppppppppppppppppppppppppppppppppppppp.</w:t>
            </w:r>
          </w:p>
        </w:tc>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Holdings Note;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0"/>
        <w:gridCol w:w="5985"/>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qqqqqqqqqqqqqqqqqqqqqqqqqqqqqqqqqqqqqqq.</w:t>
            </w:r>
          </w:p>
        </w:tc>
        <w:tc>
          <w:tcPr>
            <w:tcW w:w="5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unsecured Indebtedness of any Loan Party Group Company owing to any then- existing or former director, officer or employee of any Loan Party Group Company or their respective assigns, estates, heirs or their current or former spouses for the repurchase, redemption or other acquisition or retirement for value of any Equity Interests of any Loan Party Group Company (or any parent company of any Loan Party Group Company) held by them in an aggregate principal amount not to exceed $[***] at any time outstanding; </w:t>
            </w:r>
            <w:r>
              <w:rPr>
                <w:rFonts w:ascii="Times New Roman" w:hAnsi="Times New Roman"/>
                <w:i/>
                <w:caps w:val="false"/>
                <w:smallCaps w:val="false"/>
                <w:sz w:val="20"/>
              </w:rPr>
              <w:t>provided</w:t>
            </w:r>
            <w:r>
              <w:rPr>
                <w:rFonts w:ascii="Times New Roman" w:hAnsi="Times New Roman"/>
                <w:caps w:val="false"/>
                <w:smallCaps w:val="false"/>
                <w:sz w:val="20"/>
              </w:rPr>
              <w:t> that such Indebtedness is subordinated to the payment in full of the Obligations on terms and conditions reasonably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170"/>
        <w:gridCol w:w="2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Investments, Loans,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Make or hold any Investments, except:</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55"/>
        <w:gridCol w:w="8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existing on the date hereof and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7.03</w:t>
            </w:r>
            <w:r>
              <w:rPr>
                <w:rFonts w:ascii="Times New Roman" w:hAnsi="Times New Roman"/>
                <w:caps w:val="false"/>
                <w:smallCaps w:val="false"/>
                <w:sz w:val="20"/>
              </w:rPr>
              <w:t> (including Investments in Subsidiaries);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of cash and Cash Equivalents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Guarantees by any Loan Party Group Company constituting Indebtedness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w:t>
            </w:r>
            <w:r>
              <w:rPr>
                <w:rFonts w:ascii="Times New Roman" w:hAnsi="Times New Roman"/>
                <w:caps w:val="false"/>
                <w:smallCaps w:val="false"/>
                <w:sz w:val="20"/>
              </w:rPr>
              <w:t> </w:t>
            </w:r>
            <w:r>
              <w:rPr>
                <w:rFonts w:ascii="Times New Roman" w:hAnsi="Times New Roman"/>
                <w:i/>
                <w:caps w:val="false"/>
                <w:smallCaps w:val="false"/>
                <w:sz w:val="20"/>
              </w:rPr>
              <w:t>provided</w:t>
            </w:r>
            <w:r>
              <w:rPr>
                <w:rFonts w:ascii="Times New Roman" w:hAnsi="Times New Roman"/>
                <w:caps w:val="false"/>
                <w:smallCaps w:val="false"/>
                <w:sz w:val="20"/>
              </w:rPr>
              <w:t> that no Loan Party may guarantee the obligations of any Subsidiary which is not a Loan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made by any Loan Party Group Company in or to any other Loan Party Group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aggregate amount of Investments by Loan Parties in or to, and Guarantees by Loan Parties of Indebtedness (including all such Investments and Guarantees existing on the Closing Date), of any Subsidiary that is not a Loan Party, shall not,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exceed an aggregate amount of $[***] at any time outstanding;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loans or advances to employees, officers or directors of any Loan Party Group Company in the ordinary course of business for travel, relocation and related expenses;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aggregate amount of all such loans and advances does not,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exceed $[***] in the aggregate at any time outstanding;</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60"/>
        <w:gridCol w:w="125"/>
        <w:gridCol w:w="36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Swap Contracts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7.02(f)</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70"/>
        <w:gridCol w:w="7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to any Loan Party Group Company to the extent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7.06(b)</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acquired in connection with the settlement of delinquent accounts of a Loan Party in the ordinary course of business or in connection with the bankruptcy or reorganization of suppliers or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consisting of non-cash loans made by a Loan Party to officers, directors and employees of a Loan Party which are used by such Persons to purchase simultaneously Equity Interests of any Loan Party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Permitted Acquisitions, </w:t>
            </w:r>
            <w:r>
              <w:rPr>
                <w:rFonts w:ascii="Times New Roman" w:hAnsi="Times New Roman"/>
                <w:i/>
                <w:caps w:val="false"/>
                <w:smallCaps w:val="false"/>
                <w:sz w:val="20"/>
              </w:rPr>
              <w:t>provided</w:t>
            </w:r>
            <w:r>
              <w:rPr>
                <w:rFonts w:ascii="Times New Roman" w:hAnsi="Times New Roman"/>
                <w:caps w:val="false"/>
                <w:smallCaps w:val="false"/>
                <w:sz w:val="20"/>
              </w:rPr>
              <w:t> that no Permitted Acquisitions may be made during the Minimum TTM EBITDA Testing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other Investments in non-Affiliates which in the aggregate do not at any time exceed,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xml:space="preserve">, an amount equal to 5.0% of Net Assets at such time; provided that such Investments are not prohibited by </w:t>
            </w:r>
            <w:r>
              <w:rPr>
                <w:rFonts w:ascii="Times New Roman" w:hAnsi="Times New Roman"/>
                <w:b/>
                <w:i/>
                <w:caps w:val="false"/>
                <w:smallCaps w:val="false"/>
                <w:sz w:val="20"/>
              </w:rPr>
              <w:t>Section 7.12</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 xml:space="preserve">further </w:t>
            </w:r>
            <w:r>
              <w:rPr>
                <w:rFonts w:ascii="Times New Roman" w:hAnsi="Times New Roman"/>
                <w:caps w:val="false"/>
                <w:smallCaps w:val="false"/>
                <w:sz w:val="20"/>
              </w:rPr>
              <w:t>that no Investments under this clause (k) may be made during the Minimum TTM EBITDA Testing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creation and capitalization of Subsidiaries that are Domestic Subsidiaries so long as the terms and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5"/>
        <w:gridCol w:w="7740"/>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lllllllllllllllllllllllllllllllllllllll.</w:t>
            </w:r>
          </w:p>
        </w:tc>
        <w:tc>
          <w:tcPr>
            <w:tcW w:w="7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so long as the terms and conditions set forth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xml:space="preserve"> are satisfied, any Investments in Subsidiaries of any Loan Party Group Company that are Domestic Subsidiaries acquired in connection with a Permitted Acquisition and deposits of earnest money paid in connection with such Permitted Acquisition; provided that such Investments are not prohibited by </w:t>
            </w:r>
            <w:r>
              <w:rPr>
                <w:rFonts w:ascii="Times New Roman" w:hAnsi="Times New Roman"/>
                <w:b/>
                <w:i/>
                <w:caps w:val="false"/>
                <w:smallCaps w:val="false"/>
                <w:sz w:val="20"/>
              </w:rPr>
              <w:t>Section 7.12</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915"/>
        <w:gridCol w:w="4230"/>
      </w:tblGrid>
      <w:tr>
        <w:trPr/>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mmmmmmmmmmmmmmmmmmmmmmmmmmmmmmmmmmmmmmm.</w:t>
            </w:r>
          </w:p>
        </w:tc>
        <w:tc>
          <w:tcPr>
            <w:tcW w:w="4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by Subsidiaries to Loan Parties to fund Expansion Costs.</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Fundamental Changes; Conduct of Business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any line of business or all or substantially all of the stock of any of its Subsidiaries (in each case, whether now owned or hereafter acquired) or liquidate or dissolve (each a “</w:t>
      </w:r>
      <w:r>
        <w:rPr>
          <w:rFonts w:ascii="Times New Roman" w:hAnsi="Times New Roman"/>
          <w:b/>
          <w:i/>
          <w:caps w:val="false"/>
          <w:smallCaps w:val="false"/>
          <w:sz w:val="20"/>
        </w:rPr>
        <w:t>Merger</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at the time thereof and immediately after giving effect thereto, no Default or Event of Default shall have occurred and be continuing (i) Borrower may merge or consolidate with any other Loan Party Group Company so long as Borrower shall be the continuing or surviving entity, (ii) any Loan Party Group Company (other than Borrower) may merge or consolidate with any other Loan Party Group Company so long as, (A) if any Loan Party is party to such merger or consolidation, a Loan Party shall be the continuing or surviving entity or the Person surviving such merger or consolidation or shall become a Loan Party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xml:space="preserve">, (iii) any merger or consolidation, the purpose of which is to effect a Permitted Acquisition so long as (A) if Borrower is a party to such merger or consolidation, Borrower shall be the continuing or surviving entity and (B) if a Loan Party other than Borrower is a party to such merger or consolidation, such Loan Party shall be the continuing or surviving entity or the Person surviving such merger or consolidation shall be a Loan Party or become a Loan Party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6.13</w:t>
      </w:r>
      <w:r>
        <w:rPr>
          <w:rFonts w:ascii="Times New Roman" w:hAnsi="Times New Roman"/>
          <w:caps w:val="false"/>
          <w:smallCaps w:val="false"/>
          <w:sz w:val="20"/>
        </w:rPr>
        <w:t xml:space="preserve">; (iv) any Subsidiary may sell, transfer, lease or otherwise dispose of all or substantially all of its assets to any Loan Party and (v) any Loan Party Group Company (other than the Borrower) may liquidate or dissolve if Borrower determines in good faith that such liquidation or dissolution is in the best interests of Borrower and is not materially disadvantageous to the Lenders; </w:t>
      </w:r>
      <w:r>
        <w:rPr>
          <w:rFonts w:ascii="Times New Roman" w:hAnsi="Times New Roman"/>
          <w:i/>
          <w:caps w:val="false"/>
          <w:smallCaps w:val="false"/>
          <w:sz w:val="20"/>
        </w:rPr>
        <w:t>provided</w:t>
      </w:r>
      <w:r>
        <w:rPr>
          <w:rFonts w:ascii="Times New Roman" w:hAnsi="Times New Roman"/>
          <w:caps w:val="false"/>
          <w:smallCaps w:val="false"/>
          <w:sz w:val="20"/>
        </w:rPr>
        <w:t xml:space="preserve"> that (A) its assets are all disposed of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2.12(a)</w:t>
      </w:r>
      <w:r>
        <w:rPr>
          <w:rFonts w:ascii="Times New Roman" w:hAnsi="Times New Roman"/>
          <w:caps w:val="false"/>
          <w:smallCaps w:val="false"/>
          <w:sz w:val="20"/>
        </w:rPr>
        <w:t xml:space="preserve"> provided that assets of a Loan Party may only be distributed to a Loan Party, and (B) any such merger involving a Person that is not a wholly-owned Subsidiary immediately prior to such merger shall not be permitted unless also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7.03</w:t>
      </w:r>
      <w:r>
        <w:rPr>
          <w:rFonts w:ascii="Times New Roman" w:hAnsi="Times New Roman"/>
          <w:caps w:val="false"/>
          <w:smallCaps w:val="false"/>
          <w:sz w:val="20"/>
        </w:rPr>
        <w:t xml:space="preserve"> provided further that notwithstanding any other provision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7.04</w:t>
      </w:r>
      <w:r>
        <w:rPr>
          <w:rFonts w:ascii="Times New Roman" w:hAnsi="Times New Roman"/>
          <w:caps w:val="false"/>
          <w:smallCaps w:val="false"/>
          <w:sz w:val="20"/>
        </w:rPr>
        <w:t xml:space="preserve">, no Loan Party may enter into or commit to enter into any Merger unless the Administrative Agent is satisfied, acting reasonably, that the amount guaranteed under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X</w:t>
      </w:r>
      <w:r>
        <w:rPr>
          <w:rFonts w:ascii="Times New Roman" w:hAnsi="Times New Roman"/>
          <w:caps w:val="false"/>
          <w:smallCaps w:val="false"/>
          <w:sz w:val="20"/>
        </w:rPr>
        <w:t xml:space="preserve"> by such Loan Party will (I) not be reduced as a result of the surviving Person not being a Loan Party, and (II) continue in full force and effect after completion of such Merger.</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170"/>
        <w:gridCol w:w="1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Dispositions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Make any Disposition except:</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
        <w:gridCol w:w="155"/>
        <w:gridCol w:w="164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Permitted Transfers;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Dispositions of obsolete or worn out machinery and equipment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Dispositions of equipment or real property to the extent that such property is exchanged for credit against the purchase price of similar replacement property;</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the extent constituting a Disposition, transactions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7.04</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other Dispositions so long as (i) 75% of the consideration paid in connection therewith shall be cash or Cash Equivalents paid contemporaneously with the consummation of the transaction and the consideration shall be in an amount not less than the fair market value of the property disposed of, (ii) such transaction is not prohibited by the terms of </w:t>
            </w:r>
            <w:r>
              <w:rPr>
                <w:rFonts w:ascii="Times New Roman" w:hAnsi="Times New Roman"/>
                <w:b/>
                <w:i/>
                <w:caps w:val="false"/>
                <w:smallCaps w:val="false"/>
                <w:sz w:val="20"/>
              </w:rPr>
              <w:t xml:space="preserve">Sections 7.12 </w:t>
            </w:r>
            <w:r>
              <w:rPr>
                <w:rFonts w:ascii="Times New Roman" w:hAnsi="Times New Roman"/>
                <w:i/>
                <w:caps w:val="false"/>
                <w:smallCaps w:val="false"/>
                <w:sz w:val="20"/>
              </w:rPr>
              <w:t xml:space="preserve">and </w:t>
            </w:r>
            <w:r>
              <w:rPr>
                <w:rFonts w:ascii="Times New Roman" w:hAnsi="Times New Roman"/>
                <w:caps w:val="false"/>
                <w:smallCaps w:val="false"/>
                <w:sz w:val="20"/>
              </w:rPr>
              <w:t> </w:t>
            </w:r>
            <w:r>
              <w:rPr>
                <w:rFonts w:ascii="Times New Roman" w:hAnsi="Times New Roman"/>
                <w:b/>
                <w:i/>
                <w:caps w:val="false"/>
                <w:smallCaps w:val="false"/>
                <w:sz w:val="20"/>
              </w:rPr>
              <w:t>7.14</w:t>
            </w:r>
            <w:r>
              <w:rPr>
                <w:rFonts w:ascii="Times New Roman" w:hAnsi="Times New Roman"/>
                <w:caps w:val="false"/>
                <w:smallCaps w:val="false"/>
                <w:sz w:val="20"/>
              </w:rPr>
              <w:t xml:space="preserve">, (iii) such transaction does not involve the sale or other disposition of a minority Equity Interests in any Subsidiary, (iv) such transaction does not involve a sale or other disposition of receivables other than receivables owned by or attributable to other property concurrently being disposed of in a transaction otherwise permitted under this </w:t>
            </w:r>
            <w:r>
              <w:rPr>
                <w:rFonts w:ascii="Times New Roman" w:hAnsi="Times New Roman"/>
                <w:b/>
                <w:i/>
                <w:caps w:val="false"/>
                <w:smallCaps w:val="false"/>
                <w:sz w:val="20"/>
              </w:rPr>
              <w:t>Section</w:t>
            </w:r>
            <w:r>
              <w:rPr>
                <w:rFonts w:ascii="Times New Roman" w:hAnsi="Times New Roman"/>
                <w:caps w:val="false"/>
                <w:smallCaps w:val="false"/>
                <w:sz w:val="20"/>
              </w:rPr>
              <w:t xml:space="preserve">, (v) the aggregate net book value of all of the assets sold or otherwise disposed of by the Loan Parties and their Subsidiaries in all such transactions in any Fiscal Year shall not,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7.18</w:t>
            </w:r>
            <w:r>
              <w:rPr>
                <w:rFonts w:ascii="Times New Roman" w:hAnsi="Times New Roman"/>
                <w:caps w:val="false"/>
                <w:smallCaps w:val="false"/>
                <w:sz w:val="20"/>
              </w:rPr>
              <w:t xml:space="preserve">, exceed $[***], and (vi) the Net Cash Proceeds thereof are applied in accordance with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2.05(b)</w:t>
            </w:r>
            <w:r>
              <w:rPr>
                <w:rFonts w:ascii="Times New Roman" w:hAnsi="Times New Roman"/>
                <w:caps w:val="false"/>
                <w:smallCaps w:val="false"/>
                <w:sz w:val="20"/>
              </w:rPr>
              <w: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17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Declare or make, directly or indirectly, any Restricted Payment, or incur any obligation (contingent or otherwise) to do so,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payable by any Loan Party solely in shares of any class of its common stock, provided no Event of Default is continuing or would occur as a result;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Payments by a Subsidiary of the Borrower (the “</w:t>
            </w:r>
            <w:r>
              <w:rPr>
                <w:rFonts w:ascii="Times New Roman" w:hAnsi="Times New Roman"/>
                <w:b/>
                <w:i/>
                <w:caps w:val="false"/>
                <w:smallCaps w:val="false"/>
                <w:sz w:val="20"/>
              </w:rPr>
              <w:t>Disposing Company</w:t>
            </w:r>
            <w:r>
              <w:rPr>
                <w:rFonts w:ascii="Times New Roman" w:hAnsi="Times New Roman"/>
                <w:caps w:val="false"/>
                <w:smallCaps w:val="false"/>
                <w:sz w:val="20"/>
              </w:rPr>
              <w:t>”) to the Borrower or another Loan Party Group Company (the “</w:t>
            </w:r>
            <w:r>
              <w:rPr>
                <w:rFonts w:ascii="Times New Roman" w:hAnsi="Times New Roman"/>
                <w:b/>
                <w:i/>
                <w:caps w:val="false"/>
                <w:smallCaps w:val="false"/>
                <w:sz w:val="20"/>
              </w:rPr>
              <w:t>Acquiring Company</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that if the Disposing Company is a Loan Party, the Acquiring Company must be a Loan Party;</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60"/>
        <w:gridCol w:w="155"/>
        <w:gridCol w:w="267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Permitted Tax Distributions;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payments of operating and overhead costs and expenses of any Loan Party Group Company to the extent such costs and expenses are incurred in the ordinary course of business and are directly related to the business of the Loan Party Group Companies and the payment of such costs and expenses are not in violation of </w:t>
            </w:r>
            <w:r>
              <w:rPr>
                <w:rFonts w:ascii="Times New Roman" w:hAnsi="Times New Roman"/>
                <w:b/>
                <w:i/>
                <w:caps w:val="false"/>
                <w:smallCaps w:val="false"/>
                <w:sz w:val="20"/>
              </w:rPr>
              <w:t>Section 7.12.</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22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Payment of Holdings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Make any interest, principal or other payment under the Holdings Note; </w:t>
      </w:r>
      <w:r>
        <w:rPr>
          <w:rFonts w:ascii="Times New Roman" w:hAnsi="Times New Roman"/>
          <w:i/>
          <w:caps w:val="false"/>
          <w:smallCaps w:val="false"/>
          <w:sz w:val="20"/>
        </w:rPr>
        <w:t>provided</w:t>
      </w:r>
      <w:r>
        <w:rPr>
          <w:rFonts w:ascii="Times New Roman" w:hAnsi="Times New Roman"/>
          <w:caps w:val="false"/>
          <w:smallCaps w:val="false"/>
          <w:sz w:val="20"/>
        </w:rPr>
        <w:t xml:space="preserve"> that after December 31, 2026, the Borrower may make interest and principal payments under the Holdings Note so long as (a) no Default or Event of Default has occurred and is continuing or would result therefrom, (b) the Borrower is in Pro Forma compliance with the financial covenants set forth in </w:t>
      </w:r>
      <w:r>
        <w:rPr>
          <w:rFonts w:ascii="Times New Roman" w:hAnsi="Times New Roman"/>
          <w:b/>
          <w:i/>
          <w:caps w:val="false"/>
          <w:smallCaps w:val="false"/>
          <w:sz w:val="20"/>
        </w:rPr>
        <w:t xml:space="preserve">Section 7.11 </w:t>
      </w:r>
      <w:r>
        <w:rPr>
          <w:rFonts w:ascii="Times New Roman" w:hAnsi="Times New Roman"/>
          <w:caps w:val="false"/>
          <w:smallCaps w:val="false"/>
          <w:sz w:val="20"/>
        </w:rPr>
        <w:t xml:space="preserve">and (c) the Borrower shall have delivered a certificate to the Administrative Agent confirming that such payment does not violate </w:t>
      </w:r>
      <w:r>
        <w:rPr>
          <w:rFonts w:ascii="Times New Roman" w:hAnsi="Times New Roman"/>
          <w:b/>
          <w:i/>
          <w:caps w:val="false"/>
          <w:smallCaps w:val="false"/>
          <w:sz w:val="20"/>
        </w:rPr>
        <w:t>Section 7.12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70"/>
        <w:gridCol w:w="2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23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Transactions with Affiliates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Sell, lease or otherwise transfer any property or  assets to, or purchase, lease or otherwise acquire any property or assets from, or otherwise engage in any other transactions with, any of its Affiliates, except, so long as not in violation of </w:t>
      </w:r>
      <w:r>
        <w:rPr>
          <w:rFonts w:ascii="Times New Roman" w:hAnsi="Times New Roman"/>
          <w:b/>
          <w:i/>
          <w:caps w:val="false"/>
          <w:smallCaps w:val="false"/>
          <w:sz w:val="20"/>
        </w:rPr>
        <w:t>Section 7.12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ordinary course of business at prices and on terms and conditions not less favorable to such Loan Party or such Subsidiary than could be obtained on an arm’s-length basis from unrelated third parties including royalty payments from any Loan Party Group Company to Holdings or any Subsidiary of Holdings or from Holdings or any Subsidiary of Holdings to any Loan Party Group Company, in each case, that do not constitute Indebtedness and have payment terms not longer than ninety (90)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transactions between or among the Loan Parties and transactions from a Loan Party to any other Loan Party Group Company; </w:t>
            </w:r>
            <w:r>
              <w:rPr>
                <w:rFonts w:ascii="Times New Roman" w:hAnsi="Times New Roman"/>
                <w:i/>
                <w:caps w:val="false"/>
                <w:smallCaps w:val="false"/>
                <w:sz w:val="20"/>
              </w:rPr>
              <w:t>provided</w:t>
            </w:r>
            <w:r>
              <w:rPr>
                <w:rFonts w:ascii="Times New Roman" w:hAnsi="Times New Roman"/>
                <w:caps w:val="false"/>
                <w:smallCaps w:val="false"/>
                <w:sz w:val="20"/>
              </w:rPr>
              <w:t> that, in each case, a Loan Party must not enter into any such transaction with a Subsidiary which is not a Loan Party;</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60"/>
        <w:gridCol w:w="155"/>
        <w:gridCol w:w="414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Restricted Payment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7.06</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70"/>
        <w:gridCol w:w="1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Holdings Note;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usual and customary compensation, and expense reimbursements for travel expenses and fees to outside directors, paid to directors (including, without limitation, the lead director) of the Loan Parties permitted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25"/>
        <w:gridCol w:w="83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8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usual and customary indemnifications of directors of the Loan Parties permitted under this Agreement</w:t>
            </w:r>
            <w:r>
              <w:rPr>
                <w:rFonts w:ascii="Times New Roman" w:hAnsi="Times New Roman"/>
                <w:i/>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Loan Party Group Companies may enter into, and may make payments under, employment agreements, employee benefits plans, stock option plans, indemnification provisions, other similar compensatory arrangements and severance agreements with officers, employees, consultants and directors of the Loan Party Group Companies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transactions contemplated by this Agreement and the payment of fees and expenses as part of or in connection with such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Loan Party Group Companies may enter into transactions pursuant to agreements in existence on the Closing Date and set forth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7.08</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70"/>
        <w:gridCol w:w="7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on arm’s length terms in connection with Expansion Costs between Loan Parties.</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70"/>
        <w:gridCol w:w="2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Burdensome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Enter into, incur or permit to exist any agreement that prohibits, restricts or imposes any condition upon (a) the ability of any Loan Party or any Subsidiary to create, incur or permit any Lien upon any of its assets or properties, whether now owned or hereafter acquired, or (b) the ability of any Subsidiary to pay dividends or other distributions with respect to its Equity Interests, to make or repay loans or advances to any Loan Party or any other Subsidiary, to Guarantee Indebtedness of any Loan Party or any other Subsidiary or to transfer any of its property or assets to any Loan Party or any Subsidiary; </w:t>
      </w:r>
      <w:r>
        <w:rPr>
          <w:rFonts w:ascii="Times New Roman" w:hAnsi="Times New Roman"/>
          <w:i/>
          <w:caps w:val="false"/>
          <w:smallCaps w:val="false"/>
          <w:sz w:val="20"/>
        </w:rPr>
        <w:t>provided</w:t>
      </w:r>
      <w:r>
        <w:rPr>
          <w:rFonts w:ascii="Times New Roman" w:hAnsi="Times New Roman"/>
          <w:caps w:val="false"/>
          <w:smallCaps w:val="false"/>
          <w:sz w:val="20"/>
        </w:rPr>
        <w:t xml:space="preserve"> that (i) the foregoing shall not apply to restrictions or conditions imposed by Law, by this Agreement or any other Loan Document, (ii) the foregoing shall not apply to customary restrictions and conditions contained in agreements relating to the sale of a Subsidiary pending such sale, provided such restrictions and conditions apply only to the Subsidiary that is sold and such sale is permitted hereunder, (iii)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shall not apply to (A) restrictions or conditions imposed by any agreement relating to secured Indebtedness or obligations under Capital Leases permitted by this Agreement so long as such restrictions and conditions apply only to the property or assets securing such Indebtedness (B) customary provision in leases restricting the assignment thereof, (C) customary provisions in any licensing agreement restricting the assignment thereof (in which any Loan Party or any Subsidiary is the licensee), (D) encumbrances or restrictions on deposits imposed by customers under agreements entered into in the ordinary course of business, (E) customary provisions in joint venture agreements and other similar agreements applicable to joint ventures permitted hereunder (other than any Loan Party) and applicable solely to such joint venture, (F) any agreement or instrument governing Indebtedness permitted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7.01(i)</w:t>
      </w:r>
      <w:r>
        <w:rPr>
          <w:rFonts w:ascii="Times New Roman" w:hAnsi="Times New Roman"/>
          <w:caps w:val="false"/>
          <w:smallCaps w:val="false"/>
          <w:sz w:val="20"/>
        </w:rPr>
        <w:t>, to the extent the relevant encumbrance or restriction was not agreed to or adopted in contemplation of such Permitted Acquisition and does not apply to any Loan Party or any Subsidiary, or the property of any such Person, other than the property acquired in such Permitted Acquisition and (G) customary provisions in any governmental contract entered into in the ordinary course of business restricting assignment.</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275"/>
        <w:gridCol w:w="13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13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 or in violation of </w:t>
      </w:r>
      <w:r>
        <w:rPr>
          <w:rFonts w:ascii="Times New Roman" w:hAnsi="Times New Roman"/>
          <w:b/>
          <w:i/>
          <w:caps w:val="false"/>
          <w:smallCaps w:val="false"/>
          <w:sz w:val="20"/>
        </w:rPr>
        <w:t>Section 7.12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60"/>
        <w:gridCol w:w="275"/>
        <w:gridCol w:w="18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Covenants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Consolidated Leverage Ratio</w:t>
            </w:r>
            <w:r>
              <w:rPr>
                <w:rFonts w:ascii="Times New Roman" w:hAnsi="Times New Roman"/>
                <w:caps w:val="false"/>
                <w:smallCaps w:val="false"/>
                <w:sz w:val="20"/>
              </w:rPr>
              <w:t>. Permit the Consolidated Leverage Ratio as of the end of any four Fiscal Quarter period ending as of the end of any Fiscal Quarter of the Borrower set forth below to be greater than the ratio set forth below opposite such period:</w:t>
            </w:r>
          </w:p>
        </w:tc>
      </w:tr>
    </w:tbl>
    <w:tbl>
      <w:tblPr>
        <w:tblW w:w="7795" w:type="dxa"/>
        <w:jc w:val="left"/>
        <w:tblInd w:w="0" w:type="dxa"/>
        <w:tblLayout w:type="fixed"/>
        <w:tblCellMar>
          <w:top w:w="0" w:type="dxa"/>
          <w:left w:w="0" w:type="dxa"/>
          <w:bottom w:w="28" w:type="dxa"/>
          <w:right w:w="0" w:type="dxa"/>
        </w:tblCellMar>
      </w:tblPr>
      <w:tblGrid>
        <w:gridCol w:w="4370"/>
        <w:gridCol w:w="3425"/>
      </w:tblGrid>
      <w:tr>
        <w:trPr/>
        <w:tc>
          <w:tcPr>
            <w:tcW w:w="43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Maximum Consolidated Leverage Ratio</w:t>
            </w:r>
          </w:p>
        </w:tc>
      </w:tr>
      <w:tr>
        <w:trPr/>
        <w:tc>
          <w:tcPr>
            <w:tcW w:w="437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31, 2026 through August 31, 2026</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4.00 to 1.00</w:t>
            </w:r>
          </w:p>
        </w:tc>
      </w:tr>
      <w:tr>
        <w:trPr/>
        <w:tc>
          <w:tcPr>
            <w:tcW w:w="437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30, 2026 and each Fiscal Quarter thereafter</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 to 1.00</w:t>
            </w:r>
          </w:p>
        </w:tc>
      </w:tr>
      <w:tr>
        <w:trPr/>
        <w:tc>
          <w:tcPr>
            <w:tcW w:w="437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Consolidated Fixed Charge Coverage Ratio</w:t>
            </w:r>
            <w:r>
              <w:rPr>
                <w:rFonts w:ascii="Times New Roman" w:hAnsi="Times New Roman"/>
                <w:caps w:val="false"/>
                <w:smallCaps w:val="false"/>
                <w:sz w:val="20"/>
              </w:rPr>
              <w:t>. Permit the Consolidated Fixed Charge Coverage Ratio as of the end of any four Fiscal Quarter period ending as of the end of any Fiscal Quarter of the Borrower set forth below to be less than the ratio set forth below opposite such Fiscal Quarter:</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28" w:type="dxa"/>
          <w:right w:w="0" w:type="dxa"/>
        </w:tblCellMar>
      </w:tblPr>
      <w:tblGrid>
        <w:gridCol w:w="3905"/>
        <w:gridCol w:w="4595"/>
      </w:tblGrid>
      <w:tr>
        <w:trPr/>
        <w:tc>
          <w:tcPr>
            <w:tcW w:w="3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4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Minimum Consolidated Fixed Charge Coverage Ratio</w:t>
            </w:r>
          </w:p>
        </w:tc>
      </w:tr>
      <w:tr>
        <w:trPr/>
        <w:tc>
          <w:tcPr>
            <w:tcW w:w="3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31, 2026 and each Fiscal Quarter thereafter</w:t>
            </w:r>
          </w:p>
        </w:tc>
        <w:tc>
          <w:tcPr>
            <w:tcW w:w="4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Minimum Liquidity</w:t>
            </w:r>
            <w:r>
              <w:rPr>
                <w:rFonts w:ascii="Times New Roman" w:hAnsi="Times New Roman"/>
                <w:caps w:val="false"/>
                <w:smallCaps w:val="false"/>
                <w:sz w:val="20"/>
              </w:rPr>
              <w:t>. During the Minimum TTM EBITDA Testing Period, permit the sum of the Revolving Availability plus Unrestricted Cash on hand that is held by a Loan Party in an account with the Administrative Agent or any other Lender to be less than $30,000,000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Minimum EBITDA</w:t>
            </w:r>
            <w:r>
              <w:rPr>
                <w:rFonts w:ascii="Times New Roman" w:hAnsi="Times New Roman"/>
                <w:caps w:val="false"/>
                <w:smallCaps w:val="false"/>
                <w:sz w:val="20"/>
              </w:rPr>
              <w:t>. During the Minimum TTM EBITDA Testing Period, permit Consolidated EBITDA as of the end of any four Fiscal Quarter period ending as of the end of any Fiscal Quarter of the Borrower set forth below to be less than the amount set forth below opposite such Fiscal Quarter:</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625"/>
        <w:gridCol w:w="1925"/>
      </w:tblGrid>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EBITDA</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31, 2025</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$11,250,000</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31, 2025</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$10,064,000</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30, 2025</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$11,360,000</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28, 2026</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$11,830,000</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275"/>
        <w:gridCol w:w="17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No Loan Party Group Company shall (a) engage, or agree to engage, directly or indirectly, in any activities, relating to or in connection with the importation, exportation, cultivation, production, purchase, distribution or sale of Cannabis, products containing Cannabis, extracts of Cannabis or any paraphernalia related to any of the foregoing (provided, that, for the purposes of the foregoing, a product shall not be deemed “paraphernalia related to any of the foregoing” solely as the result of any name, logo or brand set forth on such product or used in connection with the marketing thereof to the extent the use of such name, logo or brand does not violate any applicable law), including advertising or promotional activities with respect thereto or (b) conduct their business in a manner that would violate the Controlled Substances Act, the Civil Asset Forfeiture Reform Act or applicable anti-money laundering laws (in each case, solely as it relates to an alleged violation of the Controlled Substances Act). For the avoidance of doubt, (a) no proceeds of the Loans and Letters of Credit shall be used, directly or indirectly, for any of the activities set forth in this </w:t>
      </w:r>
      <w:r>
        <w:rPr>
          <w:rFonts w:ascii="Times New Roman" w:hAnsi="Times New Roman"/>
          <w:b/>
          <w:i/>
          <w:caps w:val="false"/>
          <w:smallCaps w:val="false"/>
          <w:sz w:val="20"/>
        </w:rPr>
        <w:t xml:space="preserve">Section 7.12 </w:t>
      </w:r>
      <w:r>
        <w:rPr>
          <w:rFonts w:ascii="Times New Roman" w:hAnsi="Times New Roman"/>
          <w:caps w:val="false"/>
          <w:smallCaps w:val="false"/>
          <w:sz w:val="20"/>
        </w:rPr>
        <w:t xml:space="preserve">and (b) any payments made by any Loan Party Group Company to any Affiliate who is not a Loan Party shall be made with Internally Generated Cash.  No Loan Party Group Company may receive any Investments from a Person that is not a Loan Party Group Company, unless the applicable Loan Party Group Company has provided a written confirmation to the Lenders (together with supporting documentation) that such Loan Party Group Company has concluded that its receipt of such Investment does not violate this </w:t>
      </w:r>
      <w:r>
        <w:rPr>
          <w:rFonts w:ascii="Times New Roman" w:hAnsi="Times New Roman"/>
          <w:b/>
          <w:i/>
          <w:caps w:val="false"/>
          <w:smallCaps w:val="false"/>
          <w:sz w:val="20"/>
        </w:rPr>
        <w:t>Section 7.12</w:t>
      </w:r>
      <w:r>
        <w:rPr>
          <w:rFonts w:ascii="Times New Roman" w:hAnsi="Times New Roman"/>
          <w:caps w:val="false"/>
          <w:smallCaps w:val="false"/>
          <w:sz w:val="20"/>
        </w:rPr>
        <w:t xml:space="preserve"> and no Lender has objected to such Investment by delivery of a notice of objection to such Loan Party Group Company within 3 Business Days following receipt by such Lender of such written confirmation and supporting documentation. Notwithstanding the foregoing, this </w:t>
      </w:r>
      <w:r>
        <w:rPr>
          <w:rFonts w:ascii="Times New Roman" w:hAnsi="Times New Roman"/>
          <w:b/>
          <w:i/>
          <w:caps w:val="false"/>
          <w:smallCaps w:val="false"/>
          <w:sz w:val="20"/>
        </w:rPr>
        <w:t>Section 7.12</w:t>
      </w:r>
      <w:r>
        <w:rPr>
          <w:rFonts w:ascii="Times New Roman" w:hAnsi="Times New Roman"/>
          <w:caps w:val="false"/>
          <w:smallCaps w:val="false"/>
          <w:sz w:val="20"/>
        </w:rPr>
        <w:t xml:space="preserve"> shall not prohibit any Loan Party Group Company from engaging, or agreeing to engage, directly or indirectly, in any activities, relating to or in connection with the importation, exportation, cultivation, production, purchase, distribution or sale of Hemp to the extent such activities are permitted by Law and not in violation of the Controlled Substances Act, the Civil Asset Forfeiture Reform Act or applicable anti-money laundering laws (in each case, solely as it relates to an alleged violation of the Controlled Substances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Amendments of Organization Documents; Fiscal Year; Legal Name, State of Formation; Form of Entity and Accounting Changes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 modify or waive any of its rights under, the Organization Documents of any Loan Party, in each case, in a manner materially adverse to the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Make any significant change in accounting treatment or reporting practices, except as required by GAAP, or change the Fiscal Year of any Loan Party Group Company except to change the Fiscal Year of a Subsidiary to conform its Fiscal Year to that of the Borrower, in each case, without the consent of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275"/>
        <w:gridCol w:w="28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28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 and Leaseback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Enter into any Sale and Leaseback Transaction.</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60"/>
        <w:gridCol w:w="275"/>
        <w:gridCol w:w="8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8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0"/>
        <w:gridCol w:w="275"/>
        <w:gridCol w:w="18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18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Anti-Corruption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Directly or indirectly, use any Credit Extension or the proceeds of any Credit Extension for any purpose which would breach the United States Foreign Corrupt Practices Act of 1977, the UK Bribery Act 2010 and other anti-corruption legislation in other jurisdictions.</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275"/>
        <w:gridCol w:w="9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275"/>
        <w:gridCol w:w="12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12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Grower Basket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Notwithstanding the provisions of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1.09</w:t>
      </w:r>
      <w:r>
        <w:rPr>
          <w:rFonts w:ascii="Times New Roman" w:hAnsi="Times New Roman"/>
          <w:caps w:val="false"/>
          <w:smallCaps w:val="false"/>
          <w:sz w:val="20"/>
        </w:rPr>
        <w:t xml:space="preserve">, </w:t>
      </w:r>
      <w:r>
        <w:rPr>
          <w:rFonts w:ascii="Times New Roman" w:hAnsi="Times New Roman"/>
          <w:b/>
          <w:i/>
          <w:caps w:val="false"/>
          <w:smallCaps w:val="false"/>
          <w:sz w:val="20"/>
        </w:rPr>
        <w:t>7.02(c)</w:t>
      </w:r>
      <w:r>
        <w:rPr>
          <w:rFonts w:ascii="Times New Roman" w:hAnsi="Times New Roman"/>
          <w:caps w:val="false"/>
          <w:smallCaps w:val="false"/>
          <w:sz w:val="20"/>
        </w:rPr>
        <w:t xml:space="preserve">, </w:t>
      </w:r>
      <w:r>
        <w:rPr>
          <w:rFonts w:ascii="Times New Roman" w:hAnsi="Times New Roman"/>
          <w:b/>
          <w:i/>
          <w:caps w:val="false"/>
          <w:smallCaps w:val="false"/>
          <w:sz w:val="20"/>
        </w:rPr>
        <w:t>7.02(g)</w:t>
      </w:r>
      <w:r>
        <w:rPr>
          <w:rFonts w:ascii="Times New Roman" w:hAnsi="Times New Roman"/>
          <w:caps w:val="false"/>
          <w:smallCaps w:val="false"/>
          <w:sz w:val="20"/>
        </w:rPr>
        <w:t xml:space="preserve">, </w:t>
      </w:r>
      <w:r>
        <w:rPr>
          <w:rFonts w:ascii="Times New Roman" w:hAnsi="Times New Roman"/>
          <w:b/>
          <w:i/>
          <w:caps w:val="false"/>
          <w:smallCaps w:val="false"/>
          <w:sz w:val="20"/>
        </w:rPr>
        <w:t>7.02(i)</w:t>
      </w:r>
      <w:r>
        <w:rPr>
          <w:rFonts w:ascii="Times New Roman" w:hAnsi="Times New Roman"/>
          <w:caps w:val="false"/>
          <w:smallCaps w:val="false"/>
          <w:sz w:val="20"/>
        </w:rPr>
        <w:t xml:space="preserve">, </w:t>
      </w:r>
      <w:r>
        <w:rPr>
          <w:rFonts w:ascii="Times New Roman" w:hAnsi="Times New Roman"/>
          <w:b/>
          <w:i/>
          <w:caps w:val="false"/>
          <w:smallCaps w:val="false"/>
          <w:sz w:val="20"/>
        </w:rPr>
        <w:t>7.02(j)</w:t>
      </w:r>
      <w:r>
        <w:rPr>
          <w:rFonts w:ascii="Times New Roman" w:hAnsi="Times New Roman"/>
          <w:caps w:val="false"/>
          <w:smallCaps w:val="false"/>
          <w:sz w:val="20"/>
        </w:rPr>
        <w:t xml:space="preserve">, </w:t>
      </w:r>
      <w:r>
        <w:rPr>
          <w:rFonts w:ascii="Times New Roman" w:hAnsi="Times New Roman"/>
          <w:b/>
          <w:i/>
          <w:caps w:val="false"/>
          <w:smallCaps w:val="false"/>
          <w:sz w:val="20"/>
        </w:rPr>
        <w:t>7.03(d)</w:t>
      </w:r>
      <w:r>
        <w:rPr>
          <w:rFonts w:ascii="Times New Roman" w:hAnsi="Times New Roman"/>
          <w:caps w:val="false"/>
          <w:smallCaps w:val="false"/>
          <w:sz w:val="20"/>
        </w:rPr>
        <w:t xml:space="preserve">, </w:t>
      </w:r>
      <w:r>
        <w:rPr>
          <w:rFonts w:ascii="Times New Roman" w:hAnsi="Times New Roman"/>
          <w:b/>
          <w:i/>
          <w:caps w:val="false"/>
          <w:smallCaps w:val="false"/>
          <w:sz w:val="20"/>
        </w:rPr>
        <w:t>7.03(e)</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7.03(k) </w:t>
      </w:r>
      <w:r>
        <w:rPr>
          <w:rFonts w:ascii="Times New Roman" w:hAnsi="Times New Roman"/>
          <w:caps w:val="false"/>
          <w:smallCaps w:val="false"/>
          <w:sz w:val="20"/>
        </w:rPr>
        <w:t xml:space="preserve">and </w:t>
      </w:r>
      <w:r>
        <w:rPr>
          <w:rFonts w:ascii="Times New Roman" w:hAnsi="Times New Roman"/>
          <w:b/>
          <w:i/>
          <w:caps w:val="false"/>
          <w:smallCaps w:val="false"/>
          <w:sz w:val="20"/>
        </w:rPr>
        <w:t>7.05(e)</w:t>
      </w:r>
      <w:r>
        <w:rPr>
          <w:rFonts w:ascii="Times New Roman" w:hAnsi="Times New Roman"/>
          <w:caps w:val="false"/>
          <w:smallCaps w:val="false"/>
          <w:sz w:val="20"/>
        </w:rPr>
        <w:t xml:space="preserve">, the total aggregate Dollar amounts referred to in all of those clauses shall not, at any time that Consolidated Leverage Ratio (as shown in the Compliance Certificate most recently delivered before that time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6.01(c)</w:t>
      </w:r>
      <w:r>
        <w:rPr>
          <w:rFonts w:ascii="Times New Roman" w:hAnsi="Times New Roman"/>
          <w:caps w:val="false"/>
          <w:smallCaps w:val="false"/>
          <w:sz w:val="20"/>
        </w:rPr>
        <w:t xml:space="preserve">), is more than or equal to 3.00:1.00, exceed an amount equal to the lesser or (x) such applicable total aggregate Dollar amount and (y) 50% of Consolidated EBITDA (as shown in the Compliance Certificate most recently delivered before that time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275"/>
        <w:gridCol w:w="18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1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Outbound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 Will not, and will not permit any of its Subsidiaries to, (a) be or become a “</w:t>
      </w:r>
      <w:r>
        <w:rPr>
          <w:rFonts w:ascii="Times New Roman" w:hAnsi="Times New Roman"/>
          <w:i/>
          <w:caps w:val="false"/>
          <w:smallCaps w:val="false"/>
          <w:sz w:val="20"/>
        </w:rPr>
        <w:t>covered foreign person</w:t>
      </w:r>
      <w:r>
        <w:rPr>
          <w:rFonts w:ascii="Times New Roman" w:hAnsi="Times New Roman"/>
          <w:caps w:val="false"/>
          <w:smallCaps w:val="false"/>
          <w:sz w:val="20"/>
        </w:rPr>
        <w:t>”, as that term is defined in the Outbound Investment Rules, or (b) engage, directly or indirectly, in (i)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(ii) any activity or transaction that would constitute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if such Person were a U.S. Outbound Investment Person or (iii) any other activity that would cause Administrative Agent and/or Lenders to be in violation of the Outbound Investment Rules or cause Administrative Agent and/or Lenders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380"/>
        <w:gridCol w:w="36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3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 AND REMEDIES</w:t>
            </w:r>
            <w:r>
              <w:rPr>
                <w:rFonts w:ascii="Times New Roman" w:hAnsi="Times New Roman"/>
                <w:caps w:val="false"/>
                <w:smallCaps w:val="false"/>
                <w:sz w:val="20"/>
              </w:rPr>
              <w:t>.</w:t>
            </w:r>
          </w:p>
        </w:tc>
      </w:tr>
    </w:tbl>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4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Any of the following shall constitute an event of default (each, an “</w:t>
      </w:r>
      <w:r>
        <w:rPr>
          <w:rFonts w:ascii="Times New Roman" w:hAnsi="Times New Roman"/>
          <w:b/>
          <w:i/>
          <w:caps w:val="false"/>
          <w:smallCaps w:val="false"/>
          <w:sz w:val="20"/>
        </w:rPr>
        <w:t>Event of Default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Non-Payment</w:t>
            </w:r>
            <w:r>
              <w:rPr>
                <w:rFonts w:ascii="Times New Roman" w:hAnsi="Times New Roman"/>
                <w:caps w:val="false"/>
                <w:smallCaps w:val="false"/>
                <w:sz w:val="20"/>
              </w:rPr>
              <w:t>. Any Loan Party fails to pay (i) when and as required to be paid herein,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Specific Covenants</w:t>
            </w:r>
            <w:r>
              <w:rPr>
                <w:rFonts w:ascii="Times New Roman" w:hAnsi="Times New Roman"/>
                <w:caps w:val="false"/>
                <w:smallCaps w:val="false"/>
                <w:sz w:val="20"/>
              </w:rPr>
              <w:t xml:space="preserve">. Any Loan Party fails to perform or observe any term, covenant or agreement contained in any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6.01</w:t>
            </w:r>
            <w:r>
              <w:rPr>
                <w:rFonts w:ascii="Times New Roman" w:hAnsi="Times New Roman"/>
                <w:caps w:val="false"/>
                <w:smallCaps w:val="false"/>
                <w:sz w:val="20"/>
              </w:rPr>
              <w:t xml:space="preserve">, </w:t>
            </w:r>
            <w:r>
              <w:rPr>
                <w:rFonts w:ascii="Times New Roman" w:hAnsi="Times New Roman"/>
                <w:b/>
                <w:i/>
                <w:caps w:val="false"/>
                <w:smallCaps w:val="false"/>
                <w:sz w:val="20"/>
              </w:rPr>
              <w:t>6.03(a)</w:t>
            </w:r>
            <w:r>
              <w:rPr>
                <w:rFonts w:ascii="Times New Roman" w:hAnsi="Times New Roman"/>
                <w:caps w:val="false"/>
                <w:smallCaps w:val="false"/>
                <w:sz w:val="20"/>
              </w:rPr>
              <w:t>,</w:t>
            </w:r>
            <w:r>
              <w:rPr>
                <w:rFonts w:ascii="Times New Roman" w:hAnsi="Times New Roman"/>
                <w:b/>
                <w:i/>
                <w:caps w:val="false"/>
                <w:smallCaps w:val="false"/>
                <w:sz w:val="20"/>
              </w:rPr>
              <w:t>6.05(a)</w:t>
            </w:r>
            <w:r>
              <w:rPr>
                <w:rFonts w:ascii="Times New Roman" w:hAnsi="Times New Roman"/>
                <w:caps w:val="false"/>
                <w:smallCaps w:val="false"/>
                <w:sz w:val="20"/>
              </w:rPr>
              <w:t xml:space="preserve"> (solely with respect to the legal existence of the Borrower), </w:t>
            </w:r>
            <w:r>
              <w:rPr>
                <w:rFonts w:ascii="Times New Roman" w:hAnsi="Times New Roman"/>
                <w:b/>
                <w:i/>
                <w:caps w:val="false"/>
                <w:smallCaps w:val="false"/>
                <w:sz w:val="20"/>
              </w:rPr>
              <w:t>6.11</w:t>
            </w:r>
            <w:r>
              <w:rPr>
                <w:rFonts w:ascii="Times New Roman" w:hAnsi="Times New Roman"/>
                <w:caps w:val="false"/>
                <w:smallCaps w:val="false"/>
                <w:sz w:val="20"/>
              </w:rPr>
              <w:t xml:space="preserve">, </w:t>
            </w:r>
            <w:r>
              <w:rPr>
                <w:rFonts w:ascii="Times New Roman" w:hAnsi="Times New Roman"/>
                <w:b/>
                <w:i/>
                <w:caps w:val="false"/>
                <w:smallCaps w:val="false"/>
                <w:sz w:val="20"/>
              </w:rPr>
              <w:t>6.16</w:t>
            </w:r>
            <w:r>
              <w:rPr>
                <w:rFonts w:ascii="Times New Roman" w:hAnsi="Times New Roman"/>
                <w:caps w:val="false"/>
                <w:smallCaps w:val="false"/>
                <w:sz w:val="20"/>
              </w:rPr>
              <w:t xml:space="preserve">,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VII</w:t>
            </w:r>
            <w:r>
              <w:rPr>
                <w:rFonts w:ascii="Times New Roman" w:hAnsi="Times New Roman"/>
                <w:caps w:val="false"/>
                <w:smallCaps w:val="false"/>
                <w:sz w:val="20"/>
              </w:rPr>
              <w:t xml:space="preserve"> or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X</w:t>
            </w:r>
            <w:r>
              <w:rPr>
                <w:rFonts w:ascii="Times New Roman" w:hAnsi="Times New Roman"/>
                <w:caps w:val="false"/>
                <w:smallCaps w:val="false"/>
                <w:sz w:val="20"/>
              </w:rPr>
              <w: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Other Defaults</w:t>
            </w:r>
            <w:r>
              <w:rPr>
                <w:rFonts w:ascii="Times New Roman" w:hAnsi="Times New Roman"/>
                <w:caps w:val="false"/>
                <w:smallCaps w:val="false"/>
                <w:sz w:val="20"/>
              </w:rPr>
              <w:t xml:space="preserve">. Any Loan Party fails to perform or observe any other covenant or agreement (not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8.01(a)</w:t>
            </w:r>
            <w:r>
              <w:rPr>
                <w:rFonts w:ascii="Times New Roman" w:hAnsi="Times New Roman"/>
                <w:caps w:val="false"/>
                <w:smallCaps w:val="false"/>
                <w:sz w:val="20"/>
              </w:rPr>
              <w:t> or </w:t>
            </w:r>
            <w:r>
              <w:rPr>
                <w:rFonts w:ascii="Times New Roman" w:hAnsi="Times New Roman"/>
                <w:b/>
                <w:i/>
                <w:caps w:val="false"/>
                <w:smallCaps w:val="false"/>
                <w:sz w:val="20"/>
              </w:rPr>
              <w:t>(b)</w:t>
            </w:r>
            <w:r>
              <w:rPr>
                <w:rFonts w:ascii="Times New Roman" w:hAnsi="Times New Roman"/>
                <w:caps w:val="false"/>
                <w:smallCaps w:val="false"/>
                <w:sz w:val="20"/>
              </w:rPr>
              <w:t> above) contained in any Loan Document on its part to be performed or observed and such failure continues for thirty (30) days;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Any representation or warranty made or deemed made by or on behalf of any Loan Party or any Subsidiary in or in connection with this Agreement or any other Loan Document (including the Schedules attached thereto) or Holdings in connection with the Holdings Pledge Agreement or the Holdings Guaranty and, in each case, any amendments or modifications hereof or waivers hereunder, or in any certificate submitted to the Administrative Agent or the Lenders by any Loan Party or any representative of any Loan Party pursuant to or in connection with this Agreement or any other Loan Document shall prove to be incorrect in any material respect (other than a representation or warranty that is expressly qualified by a Material Adverse Effect or materiality, in which case such representation or warranty shall prove to be incorrect in all respects) when made or deemed made or submitted;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Cross-Default</w:t>
            </w:r>
            <w:r>
              <w:rPr>
                <w:rFonts w:ascii="Times New Roman" w:hAnsi="Times New Roman"/>
                <w:caps w:val="false"/>
                <w:smallCaps w:val="false"/>
                <w:sz w:val="20"/>
              </w:rPr>
              <w:t>.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is the Defaulting Party (as defined in such Swap Contract) or (B) any Termination Event (as so defined) under such Swap Contract as to which a Loan Party or any Subsidiary is an Affected Party (as so defined) and, in either event, the Swap Termination Value owed by such Loan Party or such Subsidiary as a result thereof is greater than the Threshold Amount;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Insolvency Proceedings, Etc</w:t>
            </w:r>
            <w:r>
              <w:rPr>
                <w:rFonts w:ascii="Times New Roman" w:hAnsi="Times New Roman"/>
                <w:caps w:val="false"/>
                <w:smallCaps w:val="false"/>
                <w:sz w:val="20"/>
              </w:rPr>
              <w:t>. Any Loan Party or any Subsidiary or Holdings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Inability to Pay Debts; Attachment</w:t>
            </w:r>
            <w:r>
              <w:rPr>
                <w:rFonts w:ascii="Times New Roman" w:hAnsi="Times New Roman"/>
                <w:caps w:val="false"/>
                <w:smallCaps w:val="false"/>
                <w:sz w:val="20"/>
              </w:rPr>
              <w:t>. (i) Any Loan Party or any Subsidiary or Holdings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Judgments</w:t>
            </w:r>
            <w:r>
              <w:rPr>
                <w:rFonts w:ascii="Times New Roman" w:hAnsi="Times New Roman"/>
                <w:caps w:val="false"/>
                <w:smallCaps w:val="false"/>
                <w:sz w:val="20"/>
              </w:rPr>
              <w:t>. There is entered against any Loan Party or any Subsidiary (i) one (1) or more final judgments or orders for the payment of money in an aggregate amount (as to all such judgments and orders) exceeding the Threshold Amount (to the extent not covered by independent third-party insurance as to which the insurer is rated at least “</w:t>
            </w:r>
            <w:r>
              <w:rPr>
                <w:rFonts w:ascii="Times New Roman" w:hAnsi="Times New Roman"/>
                <w:b/>
                <w:i/>
                <w:caps w:val="false"/>
                <w:smallCaps w:val="false"/>
                <w:sz w:val="20"/>
              </w:rPr>
              <w:t>A</w:t>
            </w:r>
            <w:r>
              <w:rPr>
                <w:rFonts w:ascii="Times New Roman" w:hAnsi="Times New Roman"/>
                <w:caps w:val="false"/>
                <w:smallCaps w:val="false"/>
                <w:sz w:val="20"/>
              </w:rPr>
              <w:t>” by A.M. Best Borrower, has been notified of the potential claim and does not dispute coverage), or (ii) any one (1) or more non</w:t>
              <w:noBreakHyphen/>
              <w:t>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ERISA</w:t>
            </w:r>
            <w:r>
              <w:rPr>
                <w:rFonts w:ascii="Times New Roman" w:hAnsi="Times New Roman"/>
                <w:caps w:val="false"/>
                <w:smallCaps w:val="false"/>
                <w:sz w:val="20"/>
              </w:rPr>
              <w:t xml:space="preserve">. (i) An ERISA Event occurs with respect to a Pension Plan or Multiemployer Plan which has resulted or could reasonably be expected to result in liability of any Loan Party under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IV</w:t>
            </w:r>
            <w:r>
              <w:rPr>
                <w:rFonts w:ascii="Times New Roman" w:hAnsi="Times New Roman"/>
                <w:caps w:val="false"/>
                <w:smallCaps w:val="false"/>
                <w:sz w:val="20"/>
              </w:rPr>
              <w:t xml:space="preserve">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4201</w:t>
            </w:r>
            <w:r>
              <w:rPr>
                <w:rFonts w:ascii="Times New Roman" w:hAnsi="Times New Roman"/>
                <w:caps w:val="false"/>
                <w:smallCaps w:val="false"/>
                <w:sz w:val="20"/>
              </w:rPr>
              <w:t> of ERISA under a Multiemployer Plan in an aggregate amount in excess of the Threshold Amount;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Invalidity of Loan Documents</w:t>
            </w:r>
            <w:r>
              <w:rPr>
                <w:rFonts w:ascii="Times New Roman" w:hAnsi="Times New Roman"/>
                <w:caps w:val="false"/>
                <w:smallCaps w:val="false"/>
                <w:sz w:val="20"/>
              </w:rPr>
              <w:t>. Any provision of any Loan Document, at any time after its execution and delivery and for any reason other than as expressly permitted hereunder or thereunder or satisfaction in full of all Obligations arising under the Loan Documents, ceases to be in full force and effect; or Holdings,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is or becomes unlawful for Holdings, a Loan Party to perform any of its obligations under the Loan Documents;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Documents</w:t>
            </w:r>
            <w:r>
              <w:rPr>
                <w:rFonts w:ascii="Times New Roman" w:hAnsi="Times New Roman"/>
                <w:caps w:val="false"/>
                <w:smallCaps w:val="false"/>
                <w:sz w:val="20"/>
              </w:rPr>
              <w:t>. Any Collateral Document after delivery thereof pursuant to the terms of the Loan Documents shall for any reason cease to create a valid and perfected first priority Lien (subject to Permitted Liens) on the Collateral purported to be covered thereby, or any Loan Party shall assert the invalidity of such Liens; or</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275"/>
        <w:gridCol w:w="46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 of Control</w:t>
            </w:r>
            <w:r>
              <w:rPr>
                <w:rFonts w:ascii="Times New Roman" w:hAnsi="Times New Roman"/>
                <w:caps w:val="false"/>
                <w:smallCaps w:val="false"/>
                <w:sz w:val="20"/>
              </w:rPr>
              <w:t>. There occurs any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70"/>
        <w:gridCol w:w="2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7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Remedies upon Event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If any Event of Default occurs and is continuing, the Administrative Agent shall, at the request of, or may, with the consent of, the Required Lenders, take any or all of the following 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declare the Commitment of each Lender to make Loans and any obligation of the L/C Issuer to make L/C Credit Extensions to be terminated, whereupon such commitments and obligation shall be terminated;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require that the Borrower Cash Collateralize the L/C Obligations (in an amount equal to the Minimum Collateral Amount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8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apply some or all of the Cash Reserve Collateral to reduce the outstanding Secured Obligations;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on behalf of itself, the Lenders and the L/C Issuer all rights and remedies available to it, the Lenders and the L/C Issuer under the Loan Documents or Applicable Law or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upon the occurrence of an event described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8.01(f)</w:t>
      </w:r>
      <w:r>
        <w:rPr>
          <w:rFonts w:ascii="Times New Roman" w:hAnsi="Times New Roman"/>
          <w:caps w:val="false"/>
          <w:smallCaps w:val="false"/>
          <w:sz w:val="20"/>
        </w:rPr>
        <w:t>, the Commitment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70"/>
        <w:gridCol w:w="1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Funds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Waterfall</w:t>
            </w:r>
            <w:r>
              <w:rPr>
                <w:rFonts w:ascii="Times New Roman" w:hAnsi="Times New Roman"/>
                <w:caps w:val="false"/>
                <w:smallCaps w:val="false"/>
                <w:sz w:val="20"/>
              </w:rPr>
              <w:t xml:space="preserve">. After the exercise of remedies provided for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 xml:space="preserve"> (or after the Loans have automatically become immediately due and payable and the L/C Obligations have automatically been required to be Cash Collateralized as set forth in the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 xml:space="preserve">), any amounts received on account of the Secured Obligations shall, subject to the provisions of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2.14</w:t>
            </w:r>
            <w:r>
              <w:rPr>
                <w:rFonts w:ascii="Times New Roman" w:hAnsi="Times New Roman"/>
                <w:caps w:val="false"/>
                <w:smallCaps w:val="false"/>
                <w:sz w:val="20"/>
              </w:rPr>
              <w:t> and </w:t>
            </w:r>
            <w:r>
              <w:rPr>
                <w:rFonts w:ascii="Times New Roman" w:hAnsi="Times New Roman"/>
                <w:b/>
                <w:i/>
                <w:caps w:val="false"/>
                <w:smallCaps w:val="false"/>
                <w:sz w:val="20"/>
              </w:rPr>
              <w:t>2.15</w:t>
            </w:r>
            <w:r>
              <w:rPr>
                <w:rFonts w:ascii="Times New Roman" w:hAnsi="Times New Roman"/>
                <w:caps w:val="false"/>
                <w:smallCaps w:val="false"/>
                <w:sz w:val="20"/>
              </w:rPr>
              <w:t>, be applied by the Administrative Agent in the following order: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First</w:t>
      </w:r>
      <w:r>
        <w:rPr>
          <w:rFonts w:ascii="Times New Roman" w:hAnsi="Times New Roman"/>
          <w:caps w:val="false"/>
          <w:smallCaps w:val="false"/>
          <w:sz w:val="20"/>
        </w:rPr>
        <w:t xml:space="preserve">, to payment of that portion of the Secured Obligations constituting fees, indemnities, expenses and other amounts (including fees, charges and disbursements of counsel to the Administrative Agent and amounts payable under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III</w:t>
      </w:r>
      <w:r>
        <w:rPr>
          <w:rFonts w:ascii="Times New Roman" w:hAnsi="Times New Roman"/>
          <w:caps w:val="false"/>
          <w:smallCaps w:val="false"/>
          <w:sz w:val="20"/>
        </w:rPr>
        <w:t>) payable to the Administrative Agent in its capacity as such;</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Second</w:t>
      </w:r>
      <w:r>
        <w:rPr>
          <w:rFonts w:ascii="Times New Roman" w:hAnsi="Times New Roman"/>
          <w:caps w:val="false"/>
          <w:smallCaps w:val="false"/>
          <w:sz w:val="20"/>
        </w:rPr>
        <w:t xml:space="preserve">, to payment of that portion of the Secured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arising under the Loan Documents and amounts payable under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III</w:t>
      </w:r>
      <w:r>
        <w:rPr>
          <w:rFonts w:ascii="Times New Roman" w:hAnsi="Times New Roman"/>
          <w:caps w:val="false"/>
          <w:smallCaps w:val="false"/>
          <w:sz w:val="20"/>
        </w:rPr>
        <w:t xml:space="preserve">, ratably among them in proportion to the respective amounts described in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Second</w:t>
      </w:r>
      <w:r>
        <w:rPr>
          <w:rFonts w:ascii="Times New Roman" w:hAnsi="Times New Roman"/>
          <w:caps w:val="false"/>
          <w:smallCaps w:val="false"/>
          <w:sz w:val="20"/>
        </w:rPr>
        <w:t xml:space="preserve"> payable to them;</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Third</w:t>
      </w:r>
      <w:r>
        <w:rPr>
          <w:rFonts w:ascii="Times New Roman" w:hAnsi="Times New Roman"/>
          <w:caps w:val="false"/>
          <w:smallCaps w:val="false"/>
          <w:sz w:val="20"/>
        </w:rPr>
        <w:t xml:space="preserve">, to payment of that portion of the Secured Obligations constituting accrued and unpaid Letter of Credit Fees and interest on the Loans, L/C Borrowings and other Secured Obligations arising under the Loan Documents, ratably among the Lenders and the L/C Issuer in proportion to the respective amounts described in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Third</w:t>
      </w:r>
      <w:r>
        <w:rPr>
          <w:rFonts w:ascii="Times New Roman" w:hAnsi="Times New Roman"/>
          <w:caps w:val="false"/>
          <w:smallCaps w:val="false"/>
          <w:sz w:val="20"/>
        </w:rPr>
        <w:t xml:space="preserve"> payable to them;</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Fourth</w:t>
      </w:r>
      <w:r>
        <w:rPr>
          <w:rFonts w:ascii="Times New Roman" w:hAnsi="Times New Roman"/>
          <w:caps w:val="false"/>
          <w:smallCaps w:val="false"/>
          <w:sz w:val="20"/>
        </w:rPr>
        <w:t xml:space="preserve">, to payment of that portion of the Secured Obligations constituting unpaid principal of the Loans, L/C Borrowings and Secured Obligations then owing under Secured Hedge Agreements and Secured Cash Management Agreements and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2.03</w:t>
      </w:r>
      <w:r>
        <w:rPr>
          <w:rFonts w:ascii="Times New Roman" w:hAnsi="Times New Roman"/>
          <w:caps w:val="false"/>
          <w:smallCaps w:val="false"/>
          <w:sz w:val="20"/>
        </w:rPr>
        <w:t xml:space="preserve"> and </w:t>
      </w:r>
      <w:r>
        <w:rPr>
          <w:rFonts w:ascii="Times New Roman" w:hAnsi="Times New Roman"/>
          <w:b/>
          <w:i/>
          <w:caps w:val="false"/>
          <w:smallCaps w:val="false"/>
          <w:sz w:val="20"/>
        </w:rPr>
        <w:t>2.14</w:t>
      </w:r>
      <w:r>
        <w:rPr>
          <w:rFonts w:ascii="Times New Roman" w:hAnsi="Times New Roman"/>
          <w:caps w:val="false"/>
          <w:smallCaps w:val="false"/>
          <w:sz w:val="20"/>
        </w:rPr>
        <w:t xml:space="preserve">, in each case ratably among the Administrative Agent, the Lenders, the L/C Issuers, the Hedge Banks and the Cash Management Banks in proportion to the respective amounts described in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Fourth</w:t>
      </w:r>
      <w:r>
        <w:rPr>
          <w:rFonts w:ascii="Times New Roman" w:hAnsi="Times New Roman"/>
          <w:caps w:val="false"/>
          <w:smallCaps w:val="false"/>
          <w:sz w:val="20"/>
        </w:rPr>
        <w:t xml:space="preserve"> held by them; and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rPr>
        <w:t>Last</w:t>
      </w:r>
      <w:r>
        <w:rPr>
          <w:rFonts w:ascii="Times New Roman" w:hAnsi="Times New Roman"/>
          <w:caps w:val="false"/>
          <w:smallCaps w:val="false"/>
          <w:sz w:val="20"/>
        </w:rPr>
        <w:t>, the balance, if any, after all of the Secured Obligations have been indefeasibly paid in full,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Letters of Credit</w:t>
            </w:r>
            <w:r>
              <w:rPr>
                <w:rFonts w:ascii="Times New Roman" w:hAnsi="Times New Roman"/>
                <w:caps w:val="false"/>
                <w:smallCaps w:val="false"/>
                <w:sz w:val="20"/>
              </w:rPr>
              <w:t xml:space="preserve">. Subject to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2.03(c)</w:t>
            </w:r>
            <w:r>
              <w:rPr>
                <w:rFonts w:ascii="Times New Roman" w:hAnsi="Times New Roman"/>
                <w:caps w:val="false"/>
                <w:smallCaps w:val="false"/>
                <w:sz w:val="20"/>
              </w:rPr>
              <w:t> and </w:t>
            </w:r>
            <w:r>
              <w:rPr>
                <w:rFonts w:ascii="Times New Roman" w:hAnsi="Times New Roman"/>
                <w:b/>
                <w:i/>
                <w:caps w:val="false"/>
                <w:smallCaps w:val="false"/>
                <w:sz w:val="20"/>
              </w:rPr>
              <w:t>2.14</w:t>
            </w:r>
            <w:r>
              <w:rPr>
                <w:rFonts w:ascii="Times New Roman" w:hAnsi="Times New Roman"/>
                <w:caps w:val="false"/>
                <w:smallCaps w:val="false"/>
                <w:sz w:val="20"/>
              </w:rPr>
              <w:t xml:space="preserve">, amounts used to Cash Collateralize the aggregate undrawn amount of Letters of Credit pursuant to the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Fourth</w:t>
            </w:r>
            <w:r>
              <w:rPr>
                <w:rFonts w:ascii="Times New Roman" w:hAnsi="Times New Roman"/>
                <w:caps w:val="false"/>
                <w:smallCaps w:val="false"/>
                <w:sz w:val="20"/>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8.03</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Management and Swap Contracts</w:t>
            </w:r>
            <w:r>
              <w:rPr>
                <w:rFonts w:ascii="Times New Roman" w:hAnsi="Times New Roman"/>
                <w:caps w:val="false"/>
                <w:smallCaps w:val="false"/>
                <w:sz w:val="20"/>
              </w:rPr>
              <w:t xml:space="preserve">. 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for itself and its Affiliates as if a “</w:t>
            </w:r>
            <w:r>
              <w:rPr>
                <w:rFonts w:ascii="Times New Roman" w:hAnsi="Times New Roman"/>
                <w:i/>
                <w:caps w:val="false"/>
                <w:smallCaps w:val="false"/>
                <w:sz w:val="20"/>
              </w:rPr>
              <w:t>Lender</w:t>
            </w:r>
            <w:r>
              <w:rPr>
                <w:rFonts w:ascii="Times New Roman" w:hAnsi="Times New Roman"/>
                <w:caps w:val="false"/>
                <w:smallCaps w:val="false"/>
                <w:sz w:val="20"/>
              </w:rPr>
              <w:t>” party 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Holdings Guaranty and Holdings Pledge Agreement</w:t>
            </w:r>
            <w:r>
              <w:rPr>
                <w:rFonts w:ascii="Times New Roman" w:hAnsi="Times New Roman"/>
                <w:caps w:val="false"/>
                <w:smallCaps w:val="false"/>
                <w:sz w:val="20"/>
              </w:rPr>
              <w:t xml:space="preserve">. Notwithstanding the foregoing, this </w:t>
            </w:r>
            <w:r>
              <w:rPr>
                <w:rFonts w:ascii="Times New Roman" w:hAnsi="Times New Roman"/>
                <w:b/>
                <w:i/>
                <w:caps w:val="false"/>
                <w:smallCaps w:val="false"/>
                <w:sz w:val="20"/>
              </w:rPr>
              <w:t>Section 8.03</w:t>
            </w:r>
            <w:r>
              <w:rPr>
                <w:rFonts w:ascii="Times New Roman" w:hAnsi="Times New Roman"/>
                <w:caps w:val="false"/>
                <w:smallCaps w:val="false"/>
                <w:sz w:val="20"/>
              </w:rPr>
              <w:t xml:space="preserve"> shall be subject to the terms and provisions set forth in </w:t>
            </w:r>
            <w:r>
              <w:rPr>
                <w:rFonts w:ascii="Times New Roman" w:hAnsi="Times New Roman"/>
                <w:b/>
                <w:i/>
                <w:caps w:val="false"/>
                <w:smallCaps w:val="false"/>
                <w:sz w:val="20"/>
              </w:rPr>
              <w:t>Section 9.14</w:t>
            </w:r>
            <w:r>
              <w:rPr>
                <w:rFonts w:ascii="Times New Roman" w:hAnsi="Times New Roman"/>
                <w:caps w:val="false"/>
                <w:smallCaps w:val="false"/>
                <w:sz w:val="20"/>
              </w:rPr>
              <w:t xml:space="preserve"> solely as it relates to the Holdings Guaranty and the Holdings Pledge Agreement;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nothing contained in this </w:t>
            </w:r>
            <w:r>
              <w:rPr>
                <w:rFonts w:ascii="Times New Roman" w:hAnsi="Times New Roman"/>
                <w:b/>
                <w:i/>
                <w:caps w:val="false"/>
                <w:smallCaps w:val="false"/>
                <w:sz w:val="20"/>
              </w:rPr>
              <w:t>Section 8.03(d)</w:t>
            </w:r>
            <w:r>
              <w:rPr>
                <w:rFonts w:ascii="Times New Roman" w:hAnsi="Times New Roman"/>
                <w:caps w:val="false"/>
                <w:smallCaps w:val="false"/>
                <w:sz w:val="20"/>
              </w:rPr>
              <w:t xml:space="preserve">, </w:t>
            </w:r>
            <w:r>
              <w:rPr>
                <w:rFonts w:ascii="Times New Roman" w:hAnsi="Times New Roman"/>
                <w:b/>
                <w:i/>
                <w:caps w:val="false"/>
                <w:smallCaps w:val="false"/>
                <w:sz w:val="20"/>
              </w:rPr>
              <w:t>Section 9.14</w:t>
            </w:r>
            <w:r>
              <w:rPr>
                <w:rFonts w:ascii="Times New Roman" w:hAnsi="Times New Roman"/>
                <w:caps w:val="false"/>
                <w:smallCaps w:val="false"/>
                <w:sz w:val="20"/>
              </w:rPr>
              <w:t xml:space="preserve"> or </w:t>
            </w:r>
            <w:r>
              <w:rPr>
                <w:rFonts w:ascii="Times New Roman" w:hAnsi="Times New Roman"/>
                <w:b/>
                <w:i/>
                <w:caps w:val="false"/>
                <w:smallCaps w:val="false"/>
                <w:sz w:val="20"/>
              </w:rPr>
              <w:t>Section 9.15</w:t>
            </w:r>
            <w:r>
              <w:rPr>
                <w:rFonts w:ascii="Times New Roman" w:hAnsi="Times New Roman"/>
                <w:caps w:val="false"/>
                <w:smallCaps w:val="false"/>
                <w:sz w:val="20"/>
              </w:rPr>
              <w:t> shall be construed or deemed to constitute a waiver of (i) any rights or remedies that any Secured Party may have under this Agreement or any other Loan Document or under applicable Law, or (ii) the Loan Parties’ obligation to comply fully with, or the Administrative Agent’s right to strictly enforce, all duties, terms, conditions, obligations and covenants of the Loan Parties contained in the Loan Documents.</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260"/>
        <w:gridCol w:w="252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ADMINISTRATIVE AGENT</w:t>
            </w:r>
            <w:r>
              <w:rPr>
                <w:rFonts w:ascii="Times New Roman" w:hAnsi="Times New Roman"/>
                <w:caps w:val="false"/>
                <w:smallCaps w:val="false"/>
                <w:sz w:val="20"/>
              </w:rPr>
              <w:t>.</w:t>
            </w:r>
          </w:p>
        </w:tc>
      </w:tr>
    </w:tbl>
    <w:tbl>
      <w:tblPr>
        <w:tblW w:w="2620" w:type="dxa"/>
        <w:jc w:val="left"/>
        <w:tblInd w:w="0" w:type="dxa"/>
        <w:tblLayout w:type="fixed"/>
        <w:tblCellMar>
          <w:top w:w="0" w:type="dxa"/>
          <w:left w:w="0" w:type="dxa"/>
          <w:bottom w:w="0" w:type="dxa"/>
          <w:right w:w="0" w:type="dxa"/>
        </w:tblCellMar>
      </w:tblPr>
      <w:tblGrid>
        <w:gridCol w:w="60"/>
        <w:gridCol w:w="170"/>
        <w:gridCol w:w="2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Appointment and Authority</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Appointment</w:t>
            </w:r>
            <w:r>
              <w:rPr>
                <w:rFonts w:ascii="Times New Roman" w:hAnsi="Times New Roman"/>
                <w:caps w:val="false"/>
                <w:smallCaps w:val="false"/>
                <w:sz w:val="20"/>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are solely for the benefit of the Administrative Agent, the Lenders and the L/C Issuer, and no Loan Party shall have rights as a third party beneficiary of any of such provisions. It is understood and agreed that the use of the term “</w:t>
            </w:r>
            <w:r>
              <w:rPr>
                <w:rFonts w:ascii="Times New Roman" w:hAnsi="Times New Roman"/>
                <w:i/>
                <w:caps w:val="false"/>
                <w:smallCaps w:val="false"/>
                <w:sz w:val="20"/>
              </w:rPr>
              <w:t>agent</w:t>
            </w:r>
            <w:r>
              <w:rPr>
                <w:rFonts w:ascii="Times New Roman" w:hAnsi="Times New Roman"/>
                <w:caps w:val="false"/>
                <w:smallCaps w:val="false"/>
                <w:sz w:val="20"/>
              </w:rPr>
              <w: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Agent</w:t>
            </w:r>
            <w:r>
              <w:rPr>
                <w:rFonts w:ascii="Times New Roman" w:hAnsi="Times New Roman"/>
                <w:caps w:val="false"/>
                <w:smallCaps w:val="false"/>
                <w:sz w:val="20"/>
              </w:rPr>
              <w:t>. The Administrative Agent shall also act as the “</w:t>
            </w:r>
            <w:r>
              <w:rPr>
                <w:rFonts w:ascii="Times New Roman" w:hAnsi="Times New Roman"/>
                <w:i/>
                <w:caps w:val="false"/>
                <w:smallCaps w:val="false"/>
                <w:sz w:val="20"/>
              </w:rPr>
              <w:t>collateral agent</w:t>
            </w:r>
            <w:r>
              <w:rPr>
                <w:rFonts w:ascii="Times New Roman" w:hAnsi="Times New Roman"/>
                <w:caps w:val="false"/>
                <w:smallCaps w:val="false"/>
                <w:sz w:val="20"/>
              </w:rPr>
              <w: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w:t>
            </w:r>
            <w:r>
              <w:rPr>
                <w:rFonts w:ascii="Times New Roman" w:hAnsi="Times New Roman"/>
                <w:i/>
                <w:caps w:val="false"/>
                <w:smallCaps w:val="false"/>
                <w:sz w:val="20"/>
              </w:rPr>
              <w:t>collateral agent</w:t>
            </w:r>
            <w:r>
              <w:rPr>
                <w:rFonts w:ascii="Times New Roman" w:hAnsi="Times New Roman"/>
                <w:caps w:val="false"/>
                <w:smallCaps w:val="false"/>
                <w:sz w:val="20"/>
              </w:rPr>
              <w:t xml:space="preserve">” and any co-agents, sub-agents and attorneys-in-fact appointed by the Administrative Agent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9.05</w:t>
            </w:r>
            <w:r>
              <w:rPr>
                <w:rFonts w:ascii="Times New Roman" w:hAnsi="Times New Roman"/>
                <w:caps w:val="false"/>
                <w:smallCaps w:val="false"/>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xml:space="preserve"> and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XI</w:t>
            </w:r>
            <w:r>
              <w:rPr>
                <w:rFonts w:ascii="Times New Roman" w:hAnsi="Times New Roman"/>
                <w:caps w:val="false"/>
                <w:smallCaps w:val="false"/>
                <w:sz w:val="20"/>
              </w:rPr>
              <w:t xml:space="preserve"> (including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11.04(c)</w:t>
            </w:r>
            <w:r>
              <w:rPr>
                <w:rFonts w:ascii="Times New Roman" w:hAnsi="Times New Roman"/>
                <w:caps w:val="false"/>
                <w:smallCaps w:val="false"/>
                <w:sz w:val="20"/>
              </w:rPr>
              <w:t>, as though such co-agents, sub-agents and attorneys-in-fact were the “</w:t>
            </w:r>
            <w:r>
              <w:rPr>
                <w:rFonts w:ascii="Times New Roman" w:hAnsi="Times New Roman"/>
                <w:i/>
                <w:caps w:val="false"/>
                <w:smallCaps w:val="false"/>
                <w:sz w:val="20"/>
              </w:rPr>
              <w:t>collateral agent</w:t>
            </w:r>
            <w:r>
              <w:rPr>
                <w:rFonts w:ascii="Times New Roman" w:hAnsi="Times New Roman"/>
                <w:caps w:val="false"/>
                <w:smallCaps w:val="false"/>
                <w:sz w:val="20"/>
              </w:rPr>
              <w:t>” under the Loan Documents) as if set forth in full herein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Rights as a Lender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w:t>
      </w:r>
      <w:r>
        <w:rPr>
          <w:rFonts w:ascii="Times New Roman" w:hAnsi="Times New Roman"/>
          <w:i/>
          <w:caps w:val="false"/>
          <w:smallCaps w:val="false"/>
          <w:sz w:val="20"/>
        </w:rPr>
        <w:t>Lender</w:t>
      </w:r>
      <w:r>
        <w:rPr>
          <w:rFonts w:ascii="Times New Roman" w:hAnsi="Times New Roman"/>
          <w:caps w:val="false"/>
          <w:smallCaps w:val="false"/>
          <w:sz w:val="20"/>
        </w:rPr>
        <w:t>” or “</w:t>
      </w:r>
      <w:r>
        <w:rPr>
          <w:rFonts w:ascii="Times New Roman" w:hAnsi="Times New Roman"/>
          <w:i/>
          <w:caps w:val="false"/>
          <w:smallCaps w:val="false"/>
          <w:sz w:val="20"/>
        </w:rPr>
        <w:t>Lenders</w:t>
      </w:r>
      <w:r>
        <w:rPr>
          <w:rFonts w:ascii="Times New Roman" w:hAnsi="Times New Roman"/>
          <w:caps w:val="false"/>
          <w:smallCaps w:val="false"/>
          <w:sz w:val="20"/>
        </w:rPr>
        <w:t>”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Exculpatory Provisions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or its Related Parties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tc>
      </w:tr>
    </w:tbl>
    <w:tbl>
      <w:tblPr>
        <w:tblW w:w="10180" w:type="dxa"/>
        <w:jc w:val="left"/>
        <w:tblInd w:w="0" w:type="dxa"/>
        <w:tblLayout w:type="fixed"/>
        <w:tblCellMar>
          <w:top w:w="0" w:type="dxa"/>
          <w:left w:w="0" w:type="dxa"/>
          <w:bottom w:w="0" w:type="dxa"/>
          <w:right w:w="0" w:type="dxa"/>
        </w:tblCellMar>
      </w:tblPr>
      <w:tblGrid>
        <w:gridCol w:w="60"/>
        <w:gridCol w:w="125"/>
        <w:gridCol w:w="999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shall not be subject to any fiduciary or other implied duties, regardless of whether a Default has occurred and is continuing;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11.01</w:t>
            </w:r>
            <w:r>
              <w:rPr>
                <w:rFonts w:ascii="Times New Roman" w:hAnsi="Times New Roman"/>
                <w:caps w:val="false"/>
                <w:smallCaps w:val="false"/>
                <w:sz w:val="20"/>
              </w:rPr>
              <w:t> and </w:t>
            </w:r>
            <w:r>
              <w:rPr>
                <w:rFonts w:ascii="Times New Roman" w:hAnsi="Times New Roman"/>
                <w:b/>
                <w:i/>
                <w:caps w:val="false"/>
                <w:smallCaps w:val="false"/>
                <w:sz w:val="20"/>
              </w:rPr>
              <w:t>8.02</w:t>
            </w:r>
            <w:r>
              <w:rPr>
                <w:rFonts w:ascii="Times New Roman" w:hAnsi="Times New Roman"/>
                <w:caps w:val="false"/>
                <w:smallCaps w:val="false"/>
                <w:sz w:val="2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or elsewhere herein, other than to confirm receipt of items expressly required to be delivered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prospective Lender is a Disqualified Institution or (ii) have any liability with respect to or arising out of any assignment or participation of Loans, or disclosure of confidential information, to any Disqualified Institution.</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70"/>
        <w:gridCol w:w="2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8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Reliance by Administrative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4.01</w:t>
      </w:r>
      <w:r>
        <w:rPr>
          <w:rFonts w:ascii="Times New Roman" w:hAnsi="Times New Roman"/>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Delegation of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The Administrative Agent may perform any and all of its duties and exercise its rights and powers hereunder or under any other Loan Document by or through any one (1)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70"/>
        <w:gridCol w:w="3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Resignation of Administrative Agent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w:t>
            </w:r>
            <w:r>
              <w:rPr>
                <w:rFonts w:ascii="Times New Roman" w:hAnsi="Times New Roman"/>
                <w:caps w:val="false"/>
                <w:smallCaps w:val="false"/>
                <w:sz w:val="20"/>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hAnsi="Times New Roman"/>
                <w:b/>
                <w:i/>
                <w:caps w:val="false"/>
                <w:smallCaps w:val="false"/>
                <w:sz w:val="20"/>
              </w:rPr>
              <w:t>Resignation Effective Date</w:t>
            </w:r>
            <w:r>
              <w:rPr>
                <w:rFonts w:ascii="Times New Roman" w:hAnsi="Times New Roman"/>
                <w:caps w:val="false"/>
                <w:smallCaps w:val="false"/>
                <w:sz w:val="20"/>
              </w:rPr>
              <w:t xml:space="preserve">”), then the retiring Administrative Agent may (but shall not be obligated to) on behalf of the Lenders and the L/C Issuer, appoint a successor Administrative Agent meeting the qualifications set forth above; </w:t>
            </w:r>
            <w:r>
              <w:rPr>
                <w:rFonts w:ascii="Times New Roman" w:hAnsi="Times New Roman"/>
                <w:i/>
                <w:caps w:val="false"/>
                <w:smallCaps w:val="false"/>
                <w:sz w:val="20"/>
              </w:rPr>
              <w:t>provided</w:t>
            </w:r>
            <w:r>
              <w:rPr>
                <w:rFonts w:ascii="Times New Roman" w:hAnsi="Times New Roman"/>
                <w:caps w:val="false"/>
                <w:smallCaps w:val="false"/>
                <w:sz w:val="20"/>
              </w:rPr>
              <w:t> that in no event shall any successor Administrative Agent be a Defaulting Lender or a Disqualified Institution. Whether or not a successor has been appointed, such resignation shall become effective in accordance with such notice on the Resignation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w:t>
            </w:r>
            <w:r>
              <w:rPr>
                <w:rFonts w:ascii="Times New Roman" w:hAnsi="Times New Roman"/>
                <w:caps w:val="false"/>
                <w:smallCaps w:val="false"/>
                <w:sz w:val="20"/>
              </w:rPr>
              <w:t xml:space="preserve">. If the Person serving as Administrative Agent is a Defaulting Lender pursuant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(d)</w:t>
            </w:r>
            <w:r>
              <w:rPr>
                <w:rFonts w:ascii="Times New Roman" w:hAnsi="Times New Roman"/>
                <w:caps w:val="false"/>
                <w:smallCaps w:val="false"/>
                <w:sz w:val="20"/>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hAnsi="Times New Roman"/>
                <w:b/>
                <w:i/>
                <w:caps w:val="false"/>
                <w:smallCaps w:val="false"/>
                <w:sz w:val="20"/>
              </w:rPr>
              <w:t>Removal Effective Date</w:t>
            </w:r>
            <w:r>
              <w:rPr>
                <w:rFonts w:ascii="Times New Roman" w:hAnsi="Times New Roman"/>
                <w:caps w:val="false"/>
                <w:smallCaps w:val="false"/>
                <w:sz w:val="20"/>
              </w:rPr>
              <w:t>”), then such removal shall nonetheless become effective in accordance with such notice on the Removal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Effect of Resignation or Removal</w:t>
            </w:r>
            <w:r>
              <w:rPr>
                <w:rFonts w:ascii="Times New Roman" w:hAnsi="Times New Roman"/>
                <w:caps w:val="false"/>
                <w:smallCaps w:val="false"/>
                <w:sz w:val="20"/>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3.01(g)</w:t>
            </w:r>
            <w:r>
              <w:rPr>
                <w:rFonts w:ascii="Times New Roman" w:hAnsi="Times New Roman"/>
                <w:caps w:val="false"/>
                <w:smallCaps w:val="false"/>
                <w:sz w:val="20"/>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9.06</w:t>
            </w:r>
            <w:r>
              <w:rPr>
                <w:rFonts w:ascii="Times New Roman" w:hAnsi="Times New Roman"/>
                <w:caps w:val="false"/>
                <w:smallCaps w:val="false"/>
                <w:sz w:val="20"/>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xml:space="preserve"> and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w:t>
            </w:r>
            <w:r>
              <w:rPr>
                <w:rFonts w:ascii="Times New Roman" w:hAnsi="Times New Roman"/>
                <w:caps w:val="false"/>
                <w:smallCaps w:val="false"/>
                <w:sz w:val="20"/>
              </w:rPr>
              <w:t> shall continue in effect for the benefit of such retiring or removed Administrative Agent, its sub 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L/C Issuer and Swingline Lender</w:t>
            </w:r>
            <w:r>
              <w:rPr>
                <w:rFonts w:ascii="Times New Roman" w:hAnsi="Times New Roman"/>
                <w:caps w:val="false"/>
                <w:smallCaps w:val="false"/>
                <w:sz w:val="20"/>
              </w:rPr>
              <w:t xml:space="preserve">. Any resignation or removal by Bank of America as Administrative Agent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9.06</w:t>
            </w:r>
            <w:r>
              <w:rPr>
                <w:rFonts w:ascii="Times New Roman" w:hAnsi="Times New Roman"/>
                <w:caps w:val="false"/>
                <w:smallCaps w:val="false"/>
                <w:sz w:val="20"/>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2.03(c)</w:t>
            </w:r>
            <w:r>
              <w:rPr>
                <w:rFonts w:ascii="Times New Roman" w:hAnsi="Times New Roman"/>
                <w:caps w:val="false"/>
                <w:smallCaps w:val="false"/>
                <w:sz w:val="20"/>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w:t>
            </w:r>
            <w:r>
              <w:rPr>
                <w:rFonts w:ascii="Times New Roman" w:hAnsi="Times New Roman"/>
                <w:caps w:val="false"/>
                <w:smallCaps w:val="false"/>
                <w:sz w:val="20"/>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49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Non-Reliance on Administrative Agent and Other Lenders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7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Other Duties,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Anything herein to the contrary notwithstanding, none of the titles listed on the cover page hereof shall have any powers, duties or responsibilities under this Agreement or any of the other Loan Documents, except in its capacity, as applicable, as the Administrative Agent, the Documentation Agent, the Arranger, a Lender or the L/C Issuer hereunder.</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5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Administrative Agent May File Proofs of Claim; Credit Bidding</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2.03(h)</w:t>
            </w:r>
            <w:r>
              <w:rPr>
                <w:rFonts w:ascii="Times New Roman" w:hAnsi="Times New Roman"/>
                <w:caps w:val="false"/>
                <w:smallCaps w:val="false"/>
                <w:sz w:val="20"/>
              </w:rPr>
              <w:t> and </w:t>
            </w:r>
            <w:r>
              <w:rPr>
                <w:rFonts w:ascii="Times New Roman" w:hAnsi="Times New Roman"/>
                <w:b/>
                <w:i/>
                <w:caps w:val="false"/>
                <w:smallCaps w:val="false"/>
                <w:sz w:val="20"/>
              </w:rPr>
              <w:t>(i)</w:t>
            </w:r>
            <w:r>
              <w:rPr>
                <w:rFonts w:ascii="Times New Roman" w:hAnsi="Times New Roman"/>
                <w:caps w:val="false"/>
                <w:smallCaps w:val="false"/>
                <w:sz w:val="20"/>
              </w:rPr>
              <w:t xml:space="preserve">, </w:t>
            </w:r>
            <w:r>
              <w:rPr>
                <w:rFonts w:ascii="Times New Roman" w:hAnsi="Times New Roman"/>
                <w:b/>
                <w:i/>
                <w:caps w:val="false"/>
                <w:smallCaps w:val="false"/>
                <w:sz w:val="20"/>
              </w:rPr>
              <w:t>2.09</w:t>
            </w:r>
            <w:r>
              <w:rPr>
                <w:rFonts w:ascii="Times New Roman" w:hAnsi="Times New Roman"/>
                <w:caps w:val="false"/>
                <w:smallCaps w:val="false"/>
                <w:sz w:val="20"/>
              </w:rPr>
              <w:t xml:space="preserve">, </w:t>
            </w:r>
            <w:r>
              <w:rPr>
                <w:rFonts w:ascii="Times New Roman" w:hAnsi="Times New Roman"/>
                <w:b/>
                <w:i/>
                <w:caps w:val="false"/>
                <w:smallCaps w:val="false"/>
                <w:sz w:val="20"/>
              </w:rPr>
              <w:t>2.10(b)</w:t>
            </w:r>
            <w:r>
              <w:rPr>
                <w:rFonts w:ascii="Times New Roman" w:hAnsi="Times New Roman"/>
                <w:caps w:val="false"/>
                <w:smallCaps w:val="false"/>
                <w:sz w:val="20"/>
              </w:rPr>
              <w:t> and </w:t>
            </w:r>
            <w:r>
              <w:rPr>
                <w:rFonts w:ascii="Times New Roman" w:hAnsi="Times New Roman"/>
                <w:b/>
                <w:i/>
                <w:caps w:val="false"/>
                <w:smallCaps w:val="false"/>
                <w:sz w:val="20"/>
              </w:rPr>
              <w:t>11.04</w:t>
            </w:r>
            <w:r>
              <w:rPr>
                <w:rFonts w:ascii="Times New Roman" w:hAnsi="Times New Roman"/>
                <w:caps w:val="false"/>
                <w:smallCaps w:val="false"/>
                <w:sz w:val="20"/>
              </w:rPr>
              <w:t>) allowed in such judicial proceeding;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2.09</w:t>
            </w:r>
            <w:r>
              <w:rPr>
                <w:rFonts w:ascii="Times New Roman" w:hAnsi="Times New Roman"/>
                <w:caps w:val="false"/>
                <w:smallCaps w:val="false"/>
                <w:sz w:val="20"/>
              </w:rPr>
              <w:t xml:space="preserve">, </w:t>
            </w:r>
            <w:r>
              <w:rPr>
                <w:rFonts w:ascii="Times New Roman" w:hAnsi="Times New Roman"/>
                <w:b/>
                <w:i/>
                <w:caps w:val="false"/>
                <w:smallCaps w:val="false"/>
                <w:sz w:val="20"/>
              </w:rPr>
              <w:t>2.10(b)</w:t>
            </w:r>
            <w:r>
              <w:rPr>
                <w:rFonts w:ascii="Times New Roman" w:hAnsi="Times New Roman"/>
                <w:caps w:val="false"/>
                <w:smallCaps w:val="false"/>
                <w:sz w:val="20"/>
              </w:rPr>
              <w:t> and </w:t>
            </w:r>
            <w:r>
              <w:rPr>
                <w:rFonts w:ascii="Times New Roman" w:hAnsi="Times New Roman"/>
                <w:b/>
                <w:i/>
                <w:caps w:val="false"/>
                <w:smallCaps w:val="false"/>
                <w:sz w:val="20"/>
              </w:rPr>
              <w:t>11.04</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(1) or more acquisition vehicles) all or any portion of the Collateral (i) at any sale thereof conducted under the provisions of the Bankruptcy Code of the United States, including under </w:t>
            </w:r>
            <w:r>
              <w:rPr>
                <w:rFonts w:ascii="Times New Roman" w:hAnsi="Times New Roman"/>
                <w:i/>
                <w:caps w:val="false"/>
                <w:smallCaps w:val="false"/>
                <w:sz w:val="20"/>
              </w:rPr>
              <w:t>Sections</w:t>
            </w:r>
            <w:r>
              <w:rPr>
                <w:rFonts w:ascii="Times New Roman" w:hAnsi="Times New Roman"/>
                <w:caps w:val="false"/>
                <w:smallCaps w:val="false"/>
                <w:sz w:val="20"/>
              </w:rPr>
              <w:t> </w:t>
            </w:r>
            <w:r>
              <w:rPr>
                <w:rFonts w:ascii="Times New Roman" w:hAnsi="Times New Roman"/>
                <w:i/>
                <w:caps w:val="false"/>
                <w:smallCaps w:val="false"/>
                <w:sz w:val="20"/>
              </w:rPr>
              <w:t>363</w:t>
            </w:r>
            <w:r>
              <w:rPr>
                <w:rFonts w:ascii="Times New Roman" w:hAnsi="Times New Roman"/>
                <w:caps w:val="false"/>
                <w:smallCaps w:val="false"/>
                <w:sz w:val="20"/>
              </w:rPr>
              <w:t xml:space="preserve">, </w:t>
            </w:r>
            <w:r>
              <w:rPr>
                <w:rFonts w:ascii="Times New Roman" w:hAnsi="Times New Roman"/>
                <w:i/>
                <w:caps w:val="false"/>
                <w:smallCaps w:val="false"/>
                <w:sz w:val="20"/>
              </w:rPr>
              <w:t>1123</w:t>
            </w:r>
            <w:r>
              <w:rPr>
                <w:rFonts w:ascii="Times New Roman" w:hAnsi="Times New Roman"/>
                <w:caps w:val="false"/>
                <w:smallCaps w:val="false"/>
                <w:sz w:val="20"/>
              </w:rPr>
              <w:t> or </w:t>
            </w:r>
            <w:r>
              <w:rPr>
                <w:rFonts w:ascii="Times New Roman" w:hAnsi="Times New Roman"/>
                <w:i/>
                <w:caps w:val="false"/>
                <w:smallCaps w:val="false"/>
                <w:sz w:val="20"/>
              </w:rPr>
              <w:t>1129</w:t>
            </w:r>
            <w:r>
              <w:rPr>
                <w:rFonts w:ascii="Times New Roman" w:hAnsi="Times New Roman"/>
                <w:caps w:val="false"/>
                <w:smallCaps w:val="false"/>
                <w:sz w:val="20"/>
              </w:rPr>
              <w:t xml:space="preserve">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(1)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11.01(a)</w:t>
            </w:r>
            <w:r>
              <w:rPr>
                <w:rFonts w:ascii="Times New Roman" w:hAnsi="Times New Roman"/>
                <w:caps w:val="false"/>
                <w:smallCaps w:val="false"/>
                <w:sz w:val="20"/>
              </w:rPr>
              <w:t xml:space="preserve">),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hAnsi="Times New Roman"/>
                <w:i/>
                <w:caps w:val="false"/>
                <w:smallCaps w:val="false"/>
                <w:sz w:val="20"/>
              </w:rPr>
              <w:t>pro rata</w:t>
            </w:r>
            <w:r>
              <w:rPr>
                <w:rFonts w:ascii="Times New Roman" w:hAnsi="Times New Roman"/>
                <w:caps w:val="false"/>
                <w:smallCaps w:val="false"/>
                <w:sz w:val="20"/>
              </w:rPr>
              <w:t>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275"/>
        <w:gridCol w:w="2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and Guaranty Matters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Lenders (including in its capacities as a potential Cash Management Bank and a potential Hedge Bank) and the L/C Issuer irrevocably authorize the Administrative Agent, at its option and in its discretion,</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subordinate any Lien on any property granted to or held by the Administrative Agent under any Loan Document to the holder of any Lien on such property that is permitted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7.01(i)</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release any Guarantor from its obligations under the Guaranty if such Person ceases to be a Subsidiary as a result of a transaction permitted under the Loan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9.10</w:t>
            </w:r>
            <w:r>
              <w:rPr>
                <w:rFonts w:ascii="Times New Roman" w:hAnsi="Times New Roman"/>
                <w:caps w:val="false"/>
                <w:smallCaps w:val="false"/>
                <w:sz w:val="20"/>
              </w:rPr>
              <w:t xml:space="preserve">. In each case as specified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9.10</w:t>
            </w:r>
            <w:r>
              <w:rPr>
                <w:rFonts w:ascii="Times New Roman" w:hAnsi="Times New Roman"/>
                <w:caps w:val="false"/>
                <w:smallCaps w:val="false"/>
                <w:sz w:val="20"/>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9.10</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275"/>
        <w:gridCol w:w="60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6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Secured Cash Management Agreements and Secured Hedge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Except as otherwise expressly set forth herein or in or any Collateral Document, no Cash Management Bank or Hedge Bank that obtains the benefit of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8.03</w:t>
      </w:r>
      <w:r>
        <w:rPr>
          <w:rFonts w:ascii="Times New Roman" w:hAnsi="Times New Roman"/>
          <w:caps w:val="false"/>
          <w:smallCaps w:val="false"/>
          <w:sz w:val="20"/>
        </w:rPr>
        <w:t xml:space="preserve">, the Guaranty, the Holdings Guaranty or any Collateral by virtue of the provisions hereof or the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the Holdings Guaranty or any Collateral Document) other than in its capacity as a Lender and, in such case, only to the extent expressly provided in the Loan Documents. Notwithstanding any other provision of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275"/>
        <w:gridCol w:w="20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ERISA Matters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(1) of the following is and will be true:</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Lender is not using “</w:t>
            </w:r>
            <w:r>
              <w:rPr>
                <w:rFonts w:ascii="Times New Roman" w:hAnsi="Times New Roman"/>
                <w:i/>
                <w:caps w:val="false"/>
                <w:smallCaps w:val="false"/>
                <w:sz w:val="20"/>
              </w:rPr>
              <w:t>plan assets</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3(42)</w:t>
            </w:r>
            <w:r>
              <w:rPr>
                <w:rFonts w:ascii="Times New Roman" w:hAnsi="Times New Roman"/>
                <w:caps w:val="false"/>
                <w:smallCaps w:val="false"/>
                <w:sz w:val="20"/>
              </w:rPr>
              <w:t> of ERISA or otherwise) of one (1) or more Benefit Plans with respect to such Lender’s entrance into, participation in, administration of and performance of the Loans, the Letters of Credit, the Commitments, or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transaction exemption set forth in one (1)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w:t>
              <w:noBreakHyphen/>
              <w:t>23 (a class exemption for certain transactions determined by in-house asset managers), is applicable with respect to such Lender’s entrance into, participation in, administration of and performance of the Loans, the Letters of Credit, the Commitments and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such Lender is an investment fund managed by a “</w:t>
            </w:r>
            <w:r>
              <w:rPr>
                <w:rFonts w:ascii="Times New Roman" w:hAnsi="Times New Roman"/>
                <w:i/>
                <w:caps w:val="false"/>
                <w:smallCaps w:val="false"/>
                <w:sz w:val="20"/>
              </w:rPr>
              <w:t>Qualified Professional Asset Manager</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Part</w:t>
            </w:r>
            <w:r>
              <w:rPr>
                <w:rFonts w:ascii="Times New Roman" w:hAnsi="Times New Roman"/>
                <w:caps w:val="false"/>
                <w:smallCaps w:val="false"/>
                <w:sz w:val="20"/>
              </w:rPr>
              <w:t> </w:t>
            </w:r>
            <w:r>
              <w:rPr>
                <w:rFonts w:ascii="Times New Roman" w:hAnsi="Times New Roman"/>
                <w:i/>
                <w:caps w:val="false"/>
                <w:smallCaps w:val="false"/>
                <w:sz w:val="20"/>
              </w:rPr>
              <w:t>VI</w:t>
            </w:r>
            <w:r>
              <w:rPr>
                <w:rFonts w:ascii="Times New Roman" w:hAnsi="Times New Roman"/>
                <w:caps w:val="false"/>
                <w:smallCaps w:val="false"/>
                <w:sz w:val="20"/>
              </w:rPr>
              <w:t xml:space="preserve">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w:t>
            </w:r>
            <w:r>
              <w:rPr>
                <w:rFonts w:ascii="Times New Roman" w:hAnsi="Times New Roman"/>
                <w:i/>
                <w:caps w:val="false"/>
                <w:smallCaps w:val="false"/>
                <w:sz w:val="20"/>
              </w:rPr>
              <w:t>subsections</w:t>
            </w:r>
            <w:r>
              <w:rPr>
                <w:rFonts w:ascii="Times New Roman" w:hAnsi="Times New Roman"/>
                <w:caps w:val="false"/>
                <w:smallCaps w:val="false"/>
                <w:sz w:val="20"/>
              </w:rPr>
              <w:t> </w:t>
            </w:r>
            <w:r>
              <w:rPr>
                <w:rFonts w:ascii="Times New Roman" w:hAnsi="Times New Roman"/>
                <w:i/>
                <w:caps w:val="false"/>
                <w:smallCaps w:val="false"/>
                <w:sz w:val="20"/>
              </w:rPr>
              <w:t>(b)</w:t>
            </w:r>
            <w:r>
              <w:rPr>
                <w:rFonts w:ascii="Times New Roman" w:hAnsi="Times New Roman"/>
                <w:caps w:val="false"/>
                <w:smallCaps w:val="false"/>
                <w:sz w:val="20"/>
              </w:rPr>
              <w:t> through </w:t>
            </w:r>
            <w:r>
              <w:rPr>
                <w:rFonts w:ascii="Times New Roman" w:hAnsi="Times New Roman"/>
                <w:i/>
                <w:caps w:val="false"/>
                <w:smallCaps w:val="false"/>
                <w:sz w:val="20"/>
              </w:rPr>
              <w:t>(g)</w:t>
            </w:r>
            <w:r>
              <w:rPr>
                <w:rFonts w:ascii="Times New Roman" w:hAnsi="Times New Roman"/>
                <w:caps w:val="false"/>
                <w:smallCaps w:val="false"/>
                <w:sz w:val="20"/>
              </w:rPr>
              <w:t xml:space="preserve"> of </w:t>
            </w:r>
            <w:r>
              <w:rPr>
                <w:rFonts w:ascii="Times New Roman" w:hAnsi="Times New Roman"/>
                <w:i/>
                <w:caps w:val="false"/>
                <w:smallCaps w:val="false"/>
                <w:sz w:val="20"/>
              </w:rPr>
              <w:t>Part</w:t>
            </w:r>
            <w:r>
              <w:rPr>
                <w:rFonts w:ascii="Times New Roman" w:hAnsi="Times New Roman"/>
                <w:caps w:val="false"/>
                <w:smallCaps w:val="false"/>
                <w:sz w:val="20"/>
              </w:rPr>
              <w:t> </w:t>
            </w:r>
            <w:r>
              <w:rPr>
                <w:rFonts w:ascii="Times New Roman" w:hAnsi="Times New Roman"/>
                <w:i/>
                <w:caps w:val="false"/>
                <w:smallCaps w:val="false"/>
                <w:sz w:val="20"/>
              </w:rPr>
              <w:t>I</w:t>
            </w:r>
            <w:r>
              <w:rPr>
                <w:rFonts w:ascii="Times New Roman" w:hAnsi="Times New Roman"/>
                <w:caps w:val="false"/>
                <w:smallCaps w:val="false"/>
                <w:sz w:val="20"/>
              </w:rPr>
              <w:t xml:space="preserve"> of PTE 84-14 and (D) to the best knowledge of such Lender, the requirements of </w:t>
            </w:r>
            <w:r>
              <w:rPr>
                <w:rFonts w:ascii="Times New Roman" w:hAnsi="Times New Roman"/>
                <w:i/>
                <w:caps w:val="false"/>
                <w:smallCaps w:val="false"/>
                <w:sz w:val="20"/>
              </w:rPr>
              <w:t>subsection</w:t>
            </w:r>
            <w:r>
              <w:rPr>
                <w:rFonts w:ascii="Times New Roman" w:hAnsi="Times New Roman"/>
                <w:caps w:val="false"/>
                <w:smallCaps w:val="false"/>
                <w:sz w:val="20"/>
              </w:rPr>
              <w:t> </w:t>
            </w:r>
            <w:r>
              <w:rPr>
                <w:rFonts w:ascii="Times New Roman" w:hAnsi="Times New Roman"/>
                <w:i/>
                <w:caps w:val="false"/>
                <w:smallCaps w:val="false"/>
                <w:sz w:val="20"/>
              </w:rPr>
              <w:t>(a)</w:t>
            </w:r>
            <w:r>
              <w:rPr>
                <w:rFonts w:ascii="Times New Roman" w:hAnsi="Times New Roman"/>
                <w:caps w:val="false"/>
                <w:smallCaps w:val="false"/>
                <w:sz w:val="20"/>
              </w:rPr>
              <w:t xml:space="preserve"> of </w:t>
            </w:r>
            <w:r>
              <w:rPr>
                <w:rFonts w:ascii="Times New Roman" w:hAnsi="Times New Roman"/>
                <w:i/>
                <w:caps w:val="false"/>
                <w:smallCaps w:val="false"/>
                <w:sz w:val="20"/>
              </w:rPr>
              <w:t>Part</w:t>
            </w:r>
            <w:r>
              <w:rPr>
                <w:rFonts w:ascii="Times New Roman" w:hAnsi="Times New Roman"/>
                <w:caps w:val="false"/>
                <w:smallCaps w:val="false"/>
                <w:sz w:val="20"/>
              </w:rPr>
              <w:t> </w:t>
            </w:r>
            <w:r>
              <w:rPr>
                <w:rFonts w:ascii="Times New Roman" w:hAnsi="Times New Roman"/>
                <w:i/>
                <w:caps w:val="false"/>
                <w:smallCaps w:val="false"/>
                <w:sz w:val="20"/>
              </w:rPr>
              <w:t>I</w:t>
            </w:r>
            <w:r>
              <w:rPr>
                <w:rFonts w:ascii="Times New Roman" w:hAnsi="Times New Roman"/>
                <w:caps w:val="false"/>
                <w:smallCaps w:val="false"/>
                <w:sz w:val="20"/>
              </w:rPr>
              <w:t> of PTE 84-14 are satisfied with respect to such Lender’s entrance into, participation in, administration of and performance of the Loans, the Letters of Credit, the Commitments and this Agreement,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other representation, warranty and covenant as may be agreed in writing between the Administrative Agent, in its sole discretion, and such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unless either (1)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w:t>
            </w:r>
            <w:r>
              <w:rPr>
                <w:rFonts w:ascii="Times New Roman" w:hAnsi="Times New Roman"/>
                <w:caps w:val="false"/>
                <w:smallCaps w:val="false"/>
                <w:sz w:val="20"/>
              </w:rPr>
              <w:t xml:space="preserve"> in the immediately preceding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xml:space="preserve"> is true with respect to a Lender or (2) a Lender has provided another representation, warranty and covenant in accordance with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(iv)</w:t>
            </w:r>
            <w:r>
              <w:rPr>
                <w:rFonts w:ascii="Times New Roman" w:hAnsi="Times New Roman"/>
                <w:caps w:val="false"/>
                <w:smallCaps w:val="false"/>
                <w:sz w:val="20"/>
              </w:rPr>
              <w:t xml:space="preserve"> in the immediately preceding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275"/>
        <w:gridCol w:w="28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28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Recovery of Erroneous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w:t>
      </w:r>
      <w:r>
        <w:rPr>
          <w:rFonts w:ascii="Times New Roman" w:hAnsi="Times New Roman"/>
          <w:i/>
          <w:caps w:val="false"/>
          <w:smallCaps w:val="false"/>
          <w:sz w:val="20"/>
        </w:rPr>
        <w:t>discharge for value</w:t>
      </w:r>
      <w:r>
        <w:rPr>
          <w:rFonts w:ascii="Times New Roman" w:hAnsi="Times New Roman"/>
          <w:caps w:val="false"/>
          <w:smallCaps w:val="false"/>
          <w:sz w:val="20"/>
        </w:rPr>
        <w:t>”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60"/>
        <w:gridCol w:w="275"/>
        <w:gridCol w:w="44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Holdings Guaranty and Holdings Pledge Agreement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in this Agreement, the Holdings Pledge Agreement, the Holdings Guaranty or any other Loan Document to the contrary, each of the Administrative Agent, each Lender (including in its capacities as a Cash Management Bank and a Hedge Bank) and the L/C Issuer hereby acknowledges and agrees that the Administrative Agent shall not (i) exercise any discretion under the Holdings Pledge Agreement or the Holdings Guaranty (where provided to the Administrative Agent therein), (ii) seek enforcement of, or compliance by Holdings with, any terms or provisions of the Holdings Pledge Agreement or the Holdings Guaranty or (iii) request or demand any payment by, or otherwise accept any payment from, Holdings of any amounts pursuant to any terms or provisions of the Holdings Pledge Agreement or the Holdings Guaranty (the actions described in the foregoing clauses (i) through (iii), the “</w:t>
            </w:r>
            <w:r>
              <w:rPr>
                <w:rFonts w:ascii="Times New Roman" w:hAnsi="Times New Roman"/>
                <w:b/>
                <w:i/>
                <w:caps w:val="false"/>
                <w:smallCaps w:val="false"/>
                <w:sz w:val="20"/>
              </w:rPr>
              <w:t>Holdings Related Remedial Actions</w:t>
            </w:r>
            <w:r>
              <w:rPr>
                <w:rFonts w:ascii="Times New Roman" w:hAnsi="Times New Roman"/>
                <w:caps w:val="false"/>
                <w:smallCaps w:val="false"/>
                <w:sz w:val="20"/>
              </w:rPr>
              <w:t>”), unless (A) the Administrative Agent shall have provided not less than ten (10) Business Days’ prior written notice to the Lenders, the Swingline Lender, the L/C Issuer and any Cash Management Bank and Hedge Bank prior to exercising any Holdings Related Remedial Actions (the “</w:t>
            </w:r>
            <w:r>
              <w:rPr>
                <w:rFonts w:ascii="Times New Roman" w:hAnsi="Times New Roman"/>
                <w:b/>
                <w:i/>
                <w:caps w:val="false"/>
                <w:smallCaps w:val="false"/>
                <w:sz w:val="20"/>
              </w:rPr>
              <w:t>Parent Document Notice Period</w:t>
            </w:r>
            <w:r>
              <w:rPr>
                <w:rFonts w:ascii="Times New Roman" w:hAnsi="Times New Roman"/>
                <w:caps w:val="false"/>
                <w:smallCaps w:val="false"/>
                <w:sz w:val="20"/>
              </w:rPr>
              <w:t>”) and (B) each Lender has consented in writing to the use of the applicable Holdings Related Remedial 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During the Parent Document Notice Period, each Secured Party shall determine, in its sole discretion, whether the Holdings Related Remedial Actions (or the acceptance of any payments or benefits of any such Holdings Related Remedial Actions) would be in violation of any federal or state Laws regarding the restricted activities set forth in </w:t>
            </w:r>
            <w:r>
              <w:rPr>
                <w:rFonts w:ascii="Times New Roman" w:hAnsi="Times New Roman"/>
                <w:b/>
                <w:i/>
                <w:caps w:val="false"/>
                <w:smallCaps w:val="false"/>
                <w:sz w:val="20"/>
              </w:rPr>
              <w:t>Section 7.12</w:t>
            </w:r>
            <w:r>
              <w:rPr>
                <w:rFonts w:ascii="Times New Roman" w:hAnsi="Times New Roman"/>
                <w:caps w:val="false"/>
                <w:smallCaps w:val="false"/>
                <w:sz w:val="20"/>
              </w:rPr>
              <w:t xml:space="preserve">. For the avoidance of doubt, the Administrative Agent shall have no responsibility to take any Holdings Related Remedial Actions to the extent the Administrative Agent believes in its sole and absolute discretion that the exercise of such Holdings Related Remedial Actions would be in violation of any federal or state Laws regarding the restricted activities set forth in </w:t>
            </w:r>
            <w:r>
              <w:rPr>
                <w:rFonts w:ascii="Times New Roman" w:hAnsi="Times New Roman"/>
                <w:b/>
                <w:i/>
                <w:caps w:val="false"/>
                <w:smallCaps w:val="false"/>
                <w:sz w:val="20"/>
              </w:rPr>
              <w:t>Section 7.12</w:t>
            </w: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Prior to the end of the Parent Document Notice Period, each Secured Party shall notify the Administrative Agent in writing as to whether they will participate in or decline the benefits of the Holdings Related Remedial Actions; </w:t>
            </w:r>
            <w:r>
              <w:rPr>
                <w:rFonts w:ascii="Times New Roman" w:hAnsi="Times New Roman"/>
                <w:i/>
                <w:caps w:val="false"/>
                <w:smallCaps w:val="false"/>
                <w:sz w:val="20"/>
              </w:rPr>
              <w:t>provided</w:t>
            </w:r>
            <w:r>
              <w:rPr>
                <w:rFonts w:ascii="Times New Roman" w:hAnsi="Times New Roman"/>
                <w:caps w:val="false"/>
                <w:smallCaps w:val="false"/>
                <w:sz w:val="20"/>
              </w:rPr>
              <w:t> that any Secured Party that has not responded to the Administrative Agent prior to the end of the Parent Document Notice Period shall be deemed to have declined such Holdings Related Remedial 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Secured Party has declined (or has been deemed to have declined) to participate in the Holdings Related Remedial Actions in accordance with the immediately preceding clause (c) (any such Lender, a “</w:t>
            </w:r>
            <w:r>
              <w:rPr>
                <w:rFonts w:ascii="Times New Roman" w:hAnsi="Times New Roman"/>
                <w:b/>
                <w:i/>
                <w:caps w:val="false"/>
                <w:smallCaps w:val="false"/>
                <w:sz w:val="20"/>
              </w:rPr>
              <w:t>Remedial Actions Declining Lender</w:t>
            </w:r>
            <w:r>
              <w:rPr>
                <w:rFonts w:ascii="Times New Roman" w:hAnsi="Times New Roman"/>
                <w:caps w:val="false"/>
                <w:smallCaps w:val="false"/>
                <w:sz w:val="20"/>
              </w:rPr>
              <w:t xml:space="preserve">”) then no Secured Party shall receive any proceeds derived, whether directly or indirectly, from such Holdings Related Remedial Actions;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an Event of Default has occurred and is continuing, any such Remedial Actions Declining Lender may be replaced by an existing Lender in accordance with </w:t>
            </w:r>
            <w:r>
              <w:rPr>
                <w:rFonts w:ascii="Times New Roman" w:hAnsi="Times New Roman"/>
                <w:b/>
                <w:i/>
                <w:caps w:val="false"/>
                <w:smallCaps w:val="false"/>
                <w:sz w:val="20"/>
              </w:rPr>
              <w:t>Section 11.13(e)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Upon the exercise of any Holdings Related Remedial Actions, any payment made by Holdings shall be paid to the Administrative Agent, solely for the benefit of the Secured Parties and applied by the Administrative Agent as set forth in </w:t>
            </w:r>
            <w:r>
              <w:rPr>
                <w:rFonts w:ascii="Times New Roman" w:hAnsi="Times New Roman"/>
                <w:b/>
                <w:i/>
                <w:caps w:val="false"/>
                <w:smallCaps w:val="false"/>
                <w:sz w:val="20"/>
              </w:rPr>
              <w:t>Section 8.03</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275"/>
        <w:gridCol w:w="30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Specified Declining Secured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w:t>
      </w:r>
      <w:r>
        <w:rPr>
          <w:rFonts w:ascii="Times New Roman" w:hAnsi="Times New Roman"/>
          <w:b/>
          <w:i/>
          <w:caps w:val="false"/>
          <w:smallCaps w:val="false"/>
          <w:sz w:val="20"/>
        </w:rPr>
        <w:t>Section 9.14</w:t>
      </w:r>
      <w:r>
        <w:rPr>
          <w:rFonts w:ascii="Times New Roman" w:hAnsi="Times New Roman"/>
          <w:caps w:val="false"/>
          <w:smallCaps w:val="false"/>
          <w:sz w:val="20"/>
        </w:rPr>
        <w:t xml:space="preserve"> above, the Administrative Agent, the L/C Issuer, the Swingline Lender or any Lender, in its capacity as a Lender and, if applicable, a Cash Management Bank and a Hedge Bank (any such party, a “</w:t>
      </w:r>
      <w:r>
        <w:rPr>
          <w:rFonts w:ascii="Times New Roman" w:hAnsi="Times New Roman"/>
          <w:b/>
          <w:i/>
          <w:caps w:val="false"/>
          <w:smallCaps w:val="false"/>
          <w:sz w:val="20"/>
        </w:rPr>
        <w:t>Declining Party</w:t>
      </w:r>
      <w:r>
        <w:rPr>
          <w:rFonts w:ascii="Times New Roman" w:hAnsi="Times New Roman"/>
          <w:caps w:val="false"/>
          <w:smallCaps w:val="false"/>
          <w:sz w:val="20"/>
        </w:rPr>
        <w:t xml:space="preserve">”), may elect to forego the benefits of the Holdings Pledge Agreement, the Holdings Guaranty and any Holdings Related Remedial Actions by executing a Notice of Exclusion in the form of </w:t>
      </w:r>
      <w:r>
        <w:rPr>
          <w:rFonts w:ascii="Times New Roman" w:hAnsi="Times New Roman"/>
          <w:caps w:val="false"/>
          <w:smallCaps w:val="false"/>
          <w:sz w:val="20"/>
          <w:u w:val="single"/>
        </w:rPr>
        <w:t>Exhibit 9.15</w:t>
      </w:r>
      <w:r>
        <w:rPr>
          <w:rFonts w:ascii="Times New Roman" w:hAnsi="Times New Roman"/>
          <w:caps w:val="false"/>
          <w:smallCaps w:val="false"/>
          <w:sz w:val="20"/>
        </w:rPr>
        <w:t xml:space="preserve">.  Any Declining Party may provide written notice in the form of </w:t>
      </w:r>
      <w:r>
        <w:rPr>
          <w:rFonts w:ascii="Times New Roman" w:hAnsi="Times New Roman"/>
          <w:caps w:val="false"/>
          <w:smallCaps w:val="false"/>
          <w:sz w:val="20"/>
          <w:u w:val="single"/>
        </w:rPr>
        <w:t>Exhibit 9.15</w:t>
      </w:r>
      <w:r>
        <w:rPr>
          <w:rFonts w:ascii="Times New Roman" w:hAnsi="Times New Roman"/>
          <w:caps w:val="false"/>
          <w:smallCaps w:val="false"/>
          <w:sz w:val="20"/>
        </w:rPr>
        <w:t xml:space="preserve"> to the Administrative Agent (which notice may be given prior to or during, but not after, the Parent Document Notice Period) that such Declining Party no longer wishes to be a Declining Party and will accept the benefits of the Holdings Pledge Agreement, the Holdings Guaranty and any Holdings Related Remedial Actions.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200"/>
        <w:gridCol w:w="24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CONTINUING GUARANTY</w:t>
            </w:r>
            <w:r>
              <w:rPr>
                <w:rFonts w:ascii="Times New Roman" w:hAnsi="Times New Roman"/>
                <w:caps w:val="false"/>
                <w:smallCaps w:val="false"/>
                <w:sz w:val="20"/>
              </w:rPr>
              <w:t>.</w:t>
            </w:r>
          </w:p>
        </w:tc>
      </w:tr>
    </w:tbl>
    <w:tbl>
      <w:tblPr>
        <w:tblW w:w="1075" w:type="dxa"/>
        <w:jc w:val="left"/>
        <w:tblInd w:w="0" w:type="dxa"/>
        <w:tblLayout w:type="fixed"/>
        <w:tblCellMar>
          <w:top w:w="0" w:type="dxa"/>
          <w:left w:w="0" w:type="dxa"/>
          <w:bottom w:w="0" w:type="dxa"/>
          <w:right w:w="0" w:type="dxa"/>
        </w:tblCellMar>
      </w:tblPr>
      <w:tblGrid>
        <w:gridCol w:w="60"/>
        <w:gridCol w:w="170"/>
        <w:gridCol w:w="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Guaranty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w:t>
      </w:r>
      <w:r>
        <w:rPr>
          <w:rFonts w:ascii="Times New Roman" w:hAnsi="Times New Roman"/>
          <w:i/>
          <w:caps w:val="false"/>
          <w:smallCaps w:val="false"/>
          <w:sz w:val="20"/>
        </w:rPr>
        <w:t xml:space="preserve">proviso </w:t>
      </w:r>
      <w:r>
        <w:rPr>
          <w:rFonts w:ascii="Times New Roman" w:hAnsi="Times New Roman"/>
          <w:caps w:val="false"/>
          <w:smallCaps w:val="false"/>
          <w:sz w:val="20"/>
        </w:rPr>
        <w:t>in this sentence, its “</w:t>
      </w:r>
      <w:r>
        <w:rPr>
          <w:rFonts w:ascii="Times New Roman" w:hAnsi="Times New Roman"/>
          <w:b/>
          <w:i/>
          <w:caps w:val="false"/>
          <w:smallCaps w:val="false"/>
          <w:sz w:val="20"/>
        </w:rPr>
        <w:t>Guaranteed Obligations</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548</w:t>
      </w:r>
      <w:r>
        <w:rPr>
          <w:rFonts w:ascii="Times New Roman" w:hAnsi="Times New Roman"/>
          <w:caps w:val="false"/>
          <w:smallCaps w:val="false"/>
          <w:sz w:val="20"/>
        </w:rPr>
        <w:t xml:space="preserve"> of the Bankruptcy Code of the United States or any comparable provisions of any applicable state law or other Applicable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5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Rights of Lenders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(1)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170"/>
        <w:gridCol w:w="1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4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Certain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170"/>
        <w:gridCol w:w="2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0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Obligations Independent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60"/>
        <w:gridCol w:w="170"/>
        <w:gridCol w:w="1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Subrogation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70"/>
        <w:gridCol w:w="2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24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 Reinstatement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10.06</w:t>
      </w:r>
      <w:r>
        <w:rPr>
          <w:rFonts w:ascii="Times New Roman" w:hAnsi="Times New Roman"/>
          <w:caps w:val="false"/>
          <w:smallCaps w:val="false"/>
          <w:sz w:val="20"/>
        </w:rPr>
        <w:t xml:space="preserve"> shall survive termination of this Guaranty.</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7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Stay of Acceleration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170"/>
        <w:gridCol w:w="1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9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 of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22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Appointment of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275"/>
        <w:gridCol w:w="18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1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Right of 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The Guarantors agree among themselves that, in connection with payments made hereunder, each Guarantor shall have contribution rights against the other Guarantors as permitted under Applicable Law.</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60"/>
        <w:gridCol w:w="275"/>
        <w:gridCol w:w="8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Keepwell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X</w:t>
      </w:r>
      <w:r>
        <w:rPr>
          <w:rFonts w:ascii="Times New Roman" w:hAnsi="Times New Roman"/>
          <w:caps w:val="false"/>
          <w:smallCaps w:val="false"/>
          <w:sz w:val="20"/>
        </w:rPr>
        <w:t xml:space="preserve"> voidable under Applicable Law relating to fraudulent conveyance or fraudulent transfer, and not for any greater amount). The obligations and undertakings of each Qualified ECP Guarantor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10.11</w:t>
      </w:r>
      <w:r>
        <w:rPr>
          <w:rFonts w:ascii="Times New Roman" w:hAnsi="Times New Roman"/>
          <w:caps w:val="false"/>
          <w:smallCaps w:val="false"/>
          <w:sz w:val="20"/>
        </w:rPr>
        <w:t xml:space="preserve"> shall remain in full force and effect until the Secured Obligations have been indefeasibly paid and performed in full. Each Loan Party intends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10.11</w:t>
      </w:r>
      <w:r>
        <w:rPr>
          <w:rFonts w:ascii="Times New Roman" w:hAnsi="Times New Roman"/>
          <w:caps w:val="false"/>
          <w:smallCaps w:val="false"/>
          <w:sz w:val="20"/>
        </w:rPr>
        <w:t xml:space="preserve"> to constitute, and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10.11</w:t>
      </w:r>
      <w:r>
        <w:rPr>
          <w:rFonts w:ascii="Times New Roman" w:hAnsi="Times New Roman"/>
          <w:caps w:val="false"/>
          <w:smallCaps w:val="false"/>
          <w:sz w:val="20"/>
        </w:rPr>
        <w:t xml:space="preserve"> shall be deemed to constitute, a guarantee of the obligations of, and a “keepwell, support, or other agreement” for the benefit of, each Specified Loan Party for all purposes of the Commodity Exchange Act.</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260"/>
        <w:gridCol w:w="176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MISCELLANEOUS</w:t>
            </w:r>
            <w:r>
              <w:rPr>
                <w:rFonts w:ascii="Times New Roman" w:hAnsi="Times New Roman"/>
                <w:caps w:val="false"/>
                <w:smallCaps w:val="false"/>
                <w:sz w:val="20"/>
              </w:rPr>
              <w:t>.</w:t>
            </w:r>
          </w:p>
        </w:tc>
      </w:tr>
    </w:tbl>
    <w:tbl>
      <w:tblPr>
        <w:tblW w:w="1765" w:type="dxa"/>
        <w:jc w:val="left"/>
        <w:tblInd w:w="0" w:type="dxa"/>
        <w:tblLayout w:type="fixed"/>
        <w:tblCellMar>
          <w:top w:w="0" w:type="dxa"/>
          <w:left w:w="0" w:type="dxa"/>
          <w:bottom w:w="0" w:type="dxa"/>
          <w:right w:w="0" w:type="dxa"/>
        </w:tblCellMar>
      </w:tblPr>
      <w:tblGrid>
        <w:gridCol w:w="60"/>
        <w:gridCol w:w="170"/>
        <w:gridCol w:w="1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Amendments, Etc</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Except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11.01(b)</w:t>
            </w:r>
            <w:r>
              <w:rPr>
                <w:rFonts w:ascii="Times New Roman" w:hAnsi="Times New Roman"/>
                <w:caps w:val="false"/>
                <w:smallCaps w:val="false"/>
                <w:sz w:val="20"/>
              </w:rPr>
              <w:t xml:space="preserve">, 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no such amendment, waiver or consent shall:</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extend or increase the Commitment of any Lender (or reinstate any Commitment terminated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 xml:space="preserve">) without the written consent of such Lender (it being understood and agreed that a waiver of any condition precedent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or of any Default or a mandatory reduction in Commitments is not considered an extension or increase in Commitments of any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reduce the principal of, or the rate of interest specified herein on, any Loan or L/C Borrowing, or any fees or other amounts payable hereunder or under any other Loan Document without the written consent of each Lender entitled to such amount;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only the consent of the Required Lenders shall be necessary (i) to amend the definition of “</w:t>
            </w:r>
            <w:r>
              <w:rPr>
                <w:rFonts w:ascii="Times New Roman" w:hAnsi="Times New Roman"/>
                <w:i/>
                <w:caps w:val="false"/>
                <w:smallCaps w:val="false"/>
                <w:sz w:val="20"/>
              </w:rPr>
              <w:t>Default Rate</w:t>
            </w:r>
            <w:r>
              <w:rPr>
                <w:rFonts w:ascii="Times New Roman" w:hAnsi="Times New Roman"/>
                <w:caps w:val="false"/>
                <w:smallCaps w:val="false"/>
                <w:sz w:val="20"/>
              </w:rPr>
              <w:t>”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change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xml:space="preserve"> or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8.03</w:t>
            </w:r>
            <w:r>
              <w:rPr>
                <w:rFonts w:ascii="Times New Roman" w:hAnsi="Times New Roman"/>
                <w:caps w:val="false"/>
                <w:smallCaps w:val="false"/>
                <w:sz w:val="20"/>
              </w:rPr>
              <w:t xml:space="preserve"> in a manner that would alter the </w:t>
            </w:r>
            <w:r>
              <w:rPr>
                <w:rFonts w:ascii="Times New Roman" w:hAnsi="Times New Roman"/>
                <w:i/>
                <w:caps w:val="false"/>
                <w:smallCaps w:val="false"/>
                <w:sz w:val="20"/>
              </w:rPr>
              <w:t>pro rata</w:t>
            </w:r>
            <w:r>
              <w:rPr>
                <w:rFonts w:ascii="Times New Roman" w:hAnsi="Times New Roman"/>
                <w:caps w:val="false"/>
                <w:smallCaps w:val="false"/>
                <w:sz w:val="20"/>
              </w:rPr>
              <w:t> sharing of payments required thereby without the written consent of each Lender directly and adversely affected thereby or (B) subordinate, or have the effect of subordinating, the Obligations hereunder to any other Indebtedness or other obligation without the written consent of each Lender directly affected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change any provision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w:t>
            </w:r>
            <w:r>
              <w:rPr>
                <w:rFonts w:ascii="Times New Roman" w:hAnsi="Times New Roman"/>
                <w:caps w:val="false"/>
                <w:smallCaps w:val="false"/>
                <w:sz w:val="20"/>
              </w:rPr>
              <w:t> or the definition of “</w:t>
            </w:r>
            <w:r>
              <w:rPr>
                <w:rFonts w:ascii="Times New Roman" w:hAnsi="Times New Roman"/>
                <w:i/>
                <w:caps w:val="false"/>
                <w:smallCaps w:val="false"/>
                <w:sz w:val="20"/>
              </w:rPr>
              <w:t>Required Lenders</w:t>
            </w:r>
            <w:r>
              <w:rPr>
                <w:rFonts w:ascii="Times New Roman" w:hAnsi="Times New Roman"/>
                <w:caps w:val="false"/>
                <w:smallCaps w:val="false"/>
                <w:sz w:val="20"/>
              </w:rPr>
              <w:t>”, without the written consent of each Lender directly and adversely affected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 all or substantially all of the Collateral in any transaction or series of related transactions, without the written consent of each Lender whose Obligations are secured by such Collateral;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9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release all or substantially all of the value of the Guaranty, without the written consent of each Lender, except to the extent the release of any Subsidiary from the Guaranty is permitted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9.10</w:t>
            </w:r>
            <w:r>
              <w:rPr>
                <w:rFonts w:ascii="Times New Roman" w:hAnsi="Times New Roman"/>
                <w:caps w:val="false"/>
                <w:smallCaps w:val="false"/>
                <w:sz w:val="20"/>
              </w:rPr>
              <w:t> (in which case such release may be made by the Administrative Agent acting alone);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50"/>
        <w:gridCol w:w="979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9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 the Borrower or permit the Borrower to assign or transfer any of its rights or obligations under this Agreement or the other Loan Documents without the consent of each Lender;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prior to the termination of the Revolving Commitments, unless also signed by Lenders (other than Defaulting Lenders) holding at least a majority of the Revolving Exposure, (i) waive any Default for purposes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4.02(b)</w:t>
            </w:r>
            <w:r>
              <w:rPr>
                <w:rFonts w:ascii="Times New Roman" w:hAnsi="Times New Roman"/>
                <w:caps w:val="false"/>
                <w:smallCaps w:val="false"/>
                <w:sz w:val="20"/>
              </w:rPr>
              <w:t xml:space="preserve">, (ii) amend, change, waive, discharge or terminate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4.02</w:t>
            </w:r>
            <w:r>
              <w:rPr>
                <w:rFonts w:ascii="Times New Roman" w:hAnsi="Times New Roman"/>
                <w:caps w:val="false"/>
                <w:smallCaps w:val="false"/>
                <w:sz w:val="20"/>
              </w:rPr>
              <w:t> or </w:t>
            </w:r>
            <w:r>
              <w:rPr>
                <w:rFonts w:ascii="Times New Roman" w:hAnsi="Times New Roman"/>
                <w:b/>
                <w:i/>
                <w:caps w:val="false"/>
                <w:smallCaps w:val="false"/>
                <w:sz w:val="20"/>
              </w:rPr>
              <w:t>8.01</w:t>
            </w:r>
            <w:r>
              <w:rPr>
                <w:rFonts w:ascii="Times New Roman" w:hAnsi="Times New Roman"/>
                <w:caps w:val="false"/>
                <w:smallCaps w:val="false"/>
                <w:sz w:val="20"/>
              </w:rPr>
              <w:t xml:space="preserve"> in a manner adverse to the Revolving Lenders or (iii) amend, change, waive, discharge or terminate </w:t>
            </w:r>
            <w:r>
              <w:rPr>
                <w:rFonts w:ascii="Times New Roman" w:hAnsi="Times New Roman"/>
                <w:b/>
                <w:i/>
                <w:caps w:val="false"/>
                <w:smallCaps w:val="false"/>
                <w:sz w:val="20"/>
              </w:rPr>
              <w:t>Section7.12</w:t>
            </w:r>
            <w:r>
              <w:rPr>
                <w:rFonts w:ascii="Times New Roman" w:hAnsi="Times New Roman"/>
                <w:caps w:val="false"/>
                <w:smallCaps w:val="false"/>
                <w:sz w:val="20"/>
              </w:rPr>
              <w:t xml:space="preserve"> (or any defined term used therein) or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(ix)</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and (C) no amendment, waiver or consent shall, unless in writing and signed by the Administrative Agent in addition to the Lenders required above, affect the rights or duties of the Administrative Agent under this Agreement or any other Loan Document.</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to the contrary herein,</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(1) the Commitment of any Defaulting Lender may not be increased or extended without the consent of such Lender and (2)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1126(c)</w:t>
            </w:r>
            <w:r>
              <w:rPr>
                <w:rFonts w:ascii="Times New Roman" w:hAnsi="Times New Roman"/>
                <w:caps w:val="false"/>
                <w:smallCaps w:val="false"/>
                <w:sz w:val="20"/>
              </w:rPr>
              <w:t> of the Bankruptcy Code of the United States supersedes the unanimous consent provisions set forth herein and (C) the Required Lenders shall determine whether or not to allow a Loan Party to use cash collateral in the context of a bankruptcy or insolvency proceeding and such determination shall be binding on all of the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60"/>
        <w:gridCol w:w="245"/>
        <w:gridCol w:w="81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8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Administrative Agent and the Borrower may make amendments contemplated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3.03(b)</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Fee Letter may be amended, or rights or privileges thereunder waived, in a writing executed only by the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60"/>
        <w:gridCol w:w="170"/>
        <w:gridCol w:w="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in the foregoing clauses (a) or (b) to the contrary, (i) neither this Agreement nor any other Loan Document shall be, directly or indirectly, amended, modified, supplemented or waived (whether pursuant to a consent or otherwise) to add Holdings as a “Guarantor” or a “Loan Party” without the consent of each Lender, (ii) none of the second to last paragraph of </w:t>
            </w:r>
            <w:r>
              <w:rPr>
                <w:rFonts w:ascii="Times New Roman" w:hAnsi="Times New Roman"/>
                <w:b/>
                <w:i/>
                <w:caps w:val="false"/>
                <w:smallCaps w:val="false"/>
                <w:sz w:val="20"/>
              </w:rPr>
              <w:t>Section 2.13</w:t>
            </w:r>
            <w:r>
              <w:rPr>
                <w:rFonts w:ascii="Times New Roman" w:hAnsi="Times New Roman"/>
                <w:caps w:val="false"/>
                <w:smallCaps w:val="false"/>
                <w:sz w:val="20"/>
              </w:rPr>
              <w:t xml:space="preserve"> of this Agreement, </w:t>
            </w:r>
            <w:r>
              <w:rPr>
                <w:rFonts w:ascii="Times New Roman" w:hAnsi="Times New Roman"/>
                <w:b/>
                <w:i/>
                <w:caps w:val="false"/>
                <w:smallCaps w:val="false"/>
                <w:sz w:val="20"/>
              </w:rPr>
              <w:t>Sections 5.15</w:t>
            </w:r>
            <w:r>
              <w:rPr>
                <w:rFonts w:ascii="Times New Roman" w:hAnsi="Times New Roman"/>
                <w:caps w:val="false"/>
                <w:smallCaps w:val="false"/>
                <w:sz w:val="20"/>
              </w:rPr>
              <w:t xml:space="preserve">, </w:t>
            </w:r>
            <w:r>
              <w:rPr>
                <w:rFonts w:ascii="Times New Roman" w:hAnsi="Times New Roman"/>
                <w:b/>
                <w:i/>
                <w:caps w:val="false"/>
                <w:smallCaps w:val="false"/>
                <w:sz w:val="20"/>
              </w:rPr>
              <w:t>6.03(e)</w:t>
            </w:r>
            <w:r>
              <w:rPr>
                <w:rFonts w:ascii="Times New Roman" w:hAnsi="Times New Roman"/>
                <w:caps w:val="false"/>
                <w:smallCaps w:val="false"/>
                <w:sz w:val="20"/>
              </w:rPr>
              <w:t xml:space="preserve">, </w:t>
            </w:r>
            <w:r>
              <w:rPr>
                <w:rFonts w:ascii="Times New Roman" w:hAnsi="Times New Roman"/>
                <w:b/>
                <w:i/>
                <w:caps w:val="false"/>
                <w:smallCaps w:val="false"/>
                <w:sz w:val="20"/>
              </w:rPr>
              <w:t>7.05</w:t>
            </w:r>
            <w:r>
              <w:rPr>
                <w:rFonts w:ascii="Times New Roman" w:hAnsi="Times New Roman"/>
                <w:caps w:val="false"/>
                <w:smallCaps w:val="false"/>
                <w:sz w:val="20"/>
              </w:rPr>
              <w:t xml:space="preserve">, </w:t>
            </w:r>
            <w:r>
              <w:rPr>
                <w:rFonts w:ascii="Times New Roman" w:hAnsi="Times New Roman"/>
                <w:b/>
                <w:i/>
                <w:caps w:val="false"/>
                <w:smallCaps w:val="false"/>
                <w:sz w:val="20"/>
              </w:rPr>
              <w:t>7.06</w:t>
            </w:r>
            <w:r>
              <w:rPr>
                <w:rFonts w:ascii="Times New Roman" w:hAnsi="Times New Roman"/>
                <w:caps w:val="false"/>
                <w:smallCaps w:val="false"/>
                <w:sz w:val="20"/>
              </w:rPr>
              <w:t xml:space="preserve">, </w:t>
            </w:r>
            <w:r>
              <w:rPr>
                <w:rFonts w:ascii="Times New Roman" w:hAnsi="Times New Roman"/>
                <w:b/>
                <w:i/>
                <w:caps w:val="false"/>
                <w:smallCaps w:val="false"/>
                <w:sz w:val="20"/>
              </w:rPr>
              <w:t>7.08</w:t>
            </w:r>
            <w:r>
              <w:rPr>
                <w:rFonts w:ascii="Times New Roman" w:hAnsi="Times New Roman"/>
                <w:caps w:val="false"/>
                <w:smallCaps w:val="false"/>
                <w:sz w:val="20"/>
              </w:rPr>
              <w:t xml:space="preserve">, </w:t>
            </w:r>
            <w:r>
              <w:rPr>
                <w:rFonts w:ascii="Times New Roman" w:hAnsi="Times New Roman"/>
                <w:b/>
                <w:i/>
                <w:caps w:val="false"/>
                <w:smallCaps w:val="false"/>
                <w:sz w:val="20"/>
              </w:rPr>
              <w:t>7.13</w:t>
            </w:r>
            <w:r>
              <w:rPr>
                <w:rFonts w:ascii="Times New Roman" w:hAnsi="Times New Roman"/>
                <w:caps w:val="false"/>
                <w:smallCaps w:val="false"/>
                <w:sz w:val="20"/>
              </w:rPr>
              <w:t xml:space="preserve">, </w:t>
            </w:r>
            <w:r>
              <w:rPr>
                <w:rFonts w:ascii="Times New Roman" w:hAnsi="Times New Roman"/>
                <w:b/>
                <w:i/>
                <w:caps w:val="false"/>
                <w:smallCaps w:val="false"/>
                <w:sz w:val="20"/>
              </w:rPr>
              <w:t>8.03(d)</w:t>
            </w:r>
            <w:r>
              <w:rPr>
                <w:rFonts w:ascii="Times New Roman" w:hAnsi="Times New Roman"/>
                <w:caps w:val="false"/>
                <w:smallCaps w:val="false"/>
                <w:sz w:val="20"/>
              </w:rPr>
              <w:t xml:space="preserve"> or </w:t>
            </w:r>
            <w:r>
              <w:rPr>
                <w:rFonts w:ascii="Times New Roman" w:hAnsi="Times New Roman"/>
                <w:b/>
                <w:i/>
                <w:caps w:val="false"/>
                <w:smallCaps w:val="false"/>
                <w:sz w:val="20"/>
              </w:rPr>
              <w:t>9.14</w:t>
            </w:r>
            <w:r>
              <w:rPr>
                <w:rFonts w:ascii="Times New Roman" w:hAnsi="Times New Roman"/>
                <w:caps w:val="false"/>
                <w:smallCaps w:val="false"/>
                <w:sz w:val="20"/>
              </w:rPr>
              <w:t xml:space="preserve"> of this Agreement, the Holdings Guaranty or the Holdings Pledge Agreement shall be, directly or indirectly, amended, modified, supplemented or waived (whether pursuant to a consent or otherwise) in any manner that could reasonably be expected to result in a violation of the Laws or other activities prohibited by </w:t>
            </w:r>
            <w:r>
              <w:rPr>
                <w:rFonts w:ascii="Times New Roman" w:hAnsi="Times New Roman"/>
                <w:b/>
                <w:i/>
                <w:caps w:val="false"/>
                <w:smallCaps w:val="false"/>
                <w:sz w:val="20"/>
              </w:rPr>
              <w:t xml:space="preserve">Section 7.12 </w:t>
            </w:r>
            <w:r>
              <w:rPr>
                <w:rFonts w:ascii="Times New Roman" w:hAnsi="Times New Roman"/>
                <w:caps w:val="false"/>
                <w:smallCaps w:val="false"/>
                <w:sz w:val="20"/>
              </w:rPr>
              <w:t xml:space="preserve">without the consent of the Agents and the Required Lenders and (iii) </w:t>
            </w:r>
            <w:r>
              <w:rPr>
                <w:rFonts w:ascii="Times New Roman" w:hAnsi="Times New Roman"/>
                <w:b/>
                <w:i/>
                <w:caps w:val="false"/>
                <w:smallCaps w:val="false"/>
                <w:sz w:val="20"/>
              </w:rPr>
              <w:t>Section 9.15</w:t>
            </w:r>
            <w:r>
              <w:rPr>
                <w:rFonts w:ascii="Times New Roman" w:hAnsi="Times New Roman"/>
                <w:caps w:val="false"/>
                <w:smallCaps w:val="false"/>
                <w:sz w:val="20"/>
              </w:rPr>
              <w:t xml:space="preserve"> of this Agreement shall not be, directly or indirectly, amended, modified, supplemented or waived (whether pursuant to a consent or otherwise) without the consent of each Declining Party; </w:t>
            </w:r>
            <w:r>
              <w:rPr>
                <w:rFonts w:ascii="Times New Roman" w:hAnsi="Times New Roman"/>
                <w:i/>
                <w:caps w:val="false"/>
                <w:smallCaps w:val="false"/>
                <w:sz w:val="20"/>
              </w:rPr>
              <w:t>provided</w:t>
            </w:r>
            <w:r>
              <w:rPr>
                <w:rFonts w:ascii="Times New Roman" w:hAnsi="Times New Roman"/>
                <w:caps w:val="false"/>
                <w:smallCaps w:val="false"/>
                <w:sz w:val="20"/>
              </w:rPr>
              <w:t xml:space="preserve"> that, to the extent that a change in Law has occurred such that the Lenders accepting the benefits of any Holdings Related Remedial Actions would not result in the Lenders being in violation of any federal or state Laws regarding the restricted activities set forth in </w:t>
            </w:r>
            <w:r>
              <w:rPr>
                <w:rFonts w:ascii="Times New Roman" w:hAnsi="Times New Roman"/>
                <w:b/>
                <w:i/>
                <w:caps w:val="false"/>
                <w:smallCaps w:val="false"/>
                <w:sz w:val="20"/>
              </w:rPr>
              <w:t>Section 7.12</w:t>
            </w:r>
            <w:r>
              <w:rPr>
                <w:rFonts w:ascii="Times New Roman" w:hAnsi="Times New Roman"/>
                <w:caps w:val="false"/>
                <w:smallCaps w:val="false"/>
                <w:sz w:val="20"/>
              </w:rPr>
              <w:t>, the requirements of the foregoing clauses (c)(i) and (c)(ii) shall no longer apply.</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70"/>
        <w:gridCol w:w="4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Notices; Effectiveness; Electronic Communications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Notices Generally</w:t>
            </w:r>
            <w:r>
              <w:rPr>
                <w:rFonts w:ascii="Times New Roman" w:hAnsi="Times New Roman"/>
                <w:caps w:val="false"/>
                <w:smallCaps w:val="false"/>
                <w:sz w:val="20"/>
              </w:rPr>
              <w:t xml:space="preserve">. Except in the case of notices and other communications expressly permitted to be given by telephone (and except as provided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to any Loan Party, the Administrative Agent, the L/C Issuer or the Swingline Lender, to the address, fax number, e-mail address or telephone number specified for such Person on </w:t>
            </w:r>
            <w:r>
              <w:rPr>
                <w:rFonts w:ascii="Times New Roman" w:hAnsi="Times New Roman"/>
                <w:b/>
                <w:i/>
                <w:caps w:val="false"/>
                <w:smallCaps w:val="false"/>
                <w:sz w:val="20"/>
              </w:rPr>
              <w:t>Schedule</w:t>
            </w:r>
            <w:r>
              <w:rPr>
                <w:rFonts w:ascii="Times New Roman" w:hAnsi="Times New Roman"/>
                <w:caps w:val="false"/>
                <w:smallCaps w:val="false"/>
                <w:sz w:val="20"/>
              </w:rPr>
              <w:t> </w:t>
            </w:r>
            <w:r>
              <w:rPr>
                <w:rFonts w:ascii="Times New Roman" w:hAnsi="Times New Roman"/>
                <w:b/>
                <w:i/>
                <w:caps w:val="false"/>
                <w:smallCaps w:val="false"/>
                <w:sz w:val="20"/>
              </w:rPr>
              <w:t>11.02</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below shall be effective as provided in such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Electronic Communications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foregoing shall not apply to notices to any Lender, the Swingline Lender or the L/C Issuer pursuant to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xml:space="preserve"> if such Lender, the Swingline Lender or the L/C Issuer, as applicable, has notified the Administrative Agent that it is incapable of receiving notices under such </w:t>
            </w:r>
            <w:r>
              <w:rPr>
                <w:rFonts w:ascii="Times New Roman" w:hAnsi="Times New Roman"/>
                <w:b/>
                <w:i/>
                <w:caps w:val="false"/>
                <w:smallCaps w:val="false"/>
                <w:sz w:val="20"/>
              </w:rPr>
              <w:t>Article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 by electronic communication. The Administrative Agent, the Swingline Lender, the L/C Issuer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the Administrative Agent otherwise prescribes, (A) notices and other communications sent to an e-mail address shall be deemed received upon the sender’s receipt of an acknowledgement from the intended recipient (such as by the “</w:t>
            </w:r>
            <w:r>
              <w:rPr>
                <w:rFonts w:ascii="Times New Roman" w:hAnsi="Times New Roman"/>
                <w:i/>
                <w:caps w:val="false"/>
                <w:smallCaps w:val="false"/>
                <w:sz w:val="20"/>
              </w:rPr>
              <w:t>return receipt requested</w:t>
            </w:r>
            <w:r>
              <w:rPr>
                <w:rFonts w:ascii="Times New Roman" w:hAnsi="Times New Roman"/>
                <w:caps w:val="false"/>
                <w:smallCaps w:val="false"/>
                <w:sz w:val="20"/>
              </w:rPr>
              <w:t>”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w:t>
            </w:r>
            <w:r>
              <w:rPr>
                <w:rFonts w:ascii="Times New Roman" w:hAnsi="Times New Roman"/>
                <w:i/>
                <w:caps w:val="false"/>
                <w:smallCaps w:val="false"/>
                <w:sz w:val="20"/>
              </w:rPr>
              <w:t>return receipt requested</w:t>
            </w:r>
            <w:r>
              <w:rPr>
                <w:rFonts w:ascii="Times New Roman" w:hAnsi="Times New Roman"/>
                <w:caps w:val="false"/>
                <w:smallCaps w:val="false"/>
                <w:sz w:val="20"/>
              </w:rPr>
              <w:t xml:space="preserve">” function, as available, return e-mail address or other written acknowledgement) indicating that such notice or communication is available and identifying the website address therefor; </w:t>
            </w:r>
            <w:r>
              <w:rPr>
                <w:rFonts w:ascii="Times New Roman" w:hAnsi="Times New Roman"/>
                <w:i/>
                <w:caps w:val="false"/>
                <w:smallCaps w:val="false"/>
                <w:sz w:val="20"/>
              </w:rPr>
              <w:t>provided</w:t>
            </w:r>
            <w:r>
              <w:rPr>
                <w:rFonts w:ascii="Times New Roman" w:hAnsi="Times New Roman"/>
                <w:caps w:val="false"/>
                <w:smallCaps w:val="false"/>
                <w:sz w:val="20"/>
              </w:rPr>
              <w:t xml:space="preserve"> that for both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and </w:t>
            </w:r>
            <w:r>
              <w:rPr>
                <w:rFonts w:ascii="Times New Roman" w:hAnsi="Times New Roman"/>
                <w:b/>
                <w:i/>
                <w:caps w:val="false"/>
                <w:smallCaps w:val="false"/>
                <w:sz w:val="20"/>
              </w:rPr>
              <w:t>(B)</w:t>
            </w:r>
            <w:r>
              <w:rPr>
                <w:rFonts w:ascii="Times New Roman" w:hAnsi="Times New Roman"/>
                <w:caps w:val="false"/>
                <w:smallCaps w:val="false"/>
                <w:sz w:val="20"/>
              </w:rPr>
              <w:t>, if such notice or other communication is not sent during the normal business hours of the recipient, such notice, email or communication shall be deemed to have been sent at the opening of business on the next Business Day for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Platform</w:t>
            </w:r>
            <w:r>
              <w:rPr>
                <w:rFonts w:ascii="Times New Roman" w:hAnsi="Times New Roman"/>
                <w:caps w:val="false"/>
                <w:smallCaps w:val="false"/>
                <w:sz w:val="20"/>
              </w:rPr>
              <w:t>. THE PLATFORM IS PROVIDED “</w:t>
            </w:r>
            <w:r>
              <w:rPr>
                <w:rFonts w:ascii="Times New Roman" w:hAnsi="Times New Roman"/>
                <w:i/>
                <w:caps w:val="false"/>
                <w:smallCaps w:val="false"/>
                <w:sz w:val="20"/>
              </w:rPr>
              <w:t>AS IS</w:t>
            </w:r>
            <w:r>
              <w:rPr>
                <w:rFonts w:ascii="Times New Roman" w:hAnsi="Times New Roman"/>
                <w:caps w:val="false"/>
                <w:smallCaps w:val="false"/>
                <w:sz w:val="20"/>
              </w:rPr>
              <w:t>” AND “</w:t>
            </w:r>
            <w:r>
              <w:rPr>
                <w:rFonts w:ascii="Times New Roman" w:hAnsi="Times New Roman"/>
                <w:i/>
                <w:caps w:val="false"/>
                <w:smallCaps w:val="false"/>
                <w:sz w:val="20"/>
              </w:rPr>
              <w:t>AS AVAILABLE.</w:t>
            </w:r>
            <w:r>
              <w:rPr>
                <w:rFonts w:ascii="Times New Roman" w:hAnsi="Times New Roman"/>
                <w:caps w:val="false"/>
                <w:smallCaps w:val="false"/>
                <w:sz w:val="20"/>
              </w:rPr>
              <w:t>”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b/>
                <w:i/>
                <w:caps w:val="false"/>
                <w:smallCaps w:val="false"/>
                <w:sz w:val="20"/>
              </w:rPr>
              <w:t>Agent Parties</w:t>
            </w:r>
            <w:r>
              <w:rPr>
                <w:rFonts w:ascii="Times New Roman" w:hAnsi="Times New Roman"/>
                <w:caps w:val="false"/>
                <w:smallCaps w:val="false"/>
                <w:sz w:val="20"/>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 of Address, Etc</w:t>
            </w:r>
            <w:r>
              <w:rPr>
                <w:rFonts w:ascii="Times New Roman" w:hAnsi="Times New Roman"/>
                <w:caps w:val="false"/>
                <w:smallCaps w:val="false"/>
                <w:sz w:val="20"/>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w:t>
            </w:r>
            <w:r>
              <w:rPr>
                <w:rFonts w:ascii="Times New Roman" w:hAnsi="Times New Roman"/>
                <w:i/>
                <w:caps w:val="false"/>
                <w:smallCaps w:val="false"/>
                <w:sz w:val="20"/>
              </w:rPr>
              <w:t>Private Side Information</w:t>
            </w:r>
            <w:r>
              <w:rPr>
                <w:rFonts w:ascii="Times New Roman" w:hAnsi="Times New Roman"/>
                <w:caps w:val="false"/>
                <w:smallCaps w:val="false"/>
                <w:sz w:val="20"/>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Times New Roman" w:hAnsi="Times New Roman"/>
                <w:i/>
                <w:caps w:val="false"/>
                <w:smallCaps w:val="false"/>
                <w:sz w:val="20"/>
              </w:rPr>
              <w:t>Public Side Information</w:t>
            </w:r>
            <w:r>
              <w:rPr>
                <w:rFonts w:ascii="Times New Roman" w:hAnsi="Times New Roman"/>
                <w:caps w:val="false"/>
                <w:smallCaps w:val="false"/>
                <w:sz w:val="20"/>
              </w:rPr>
              <w:t>” portion of the Platform and that may contain material non-public information with respect to the Borrower or its securities for purposes of United States federal or state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Reliance by Administrative Agent, L/C Issuer and Lenders</w:t>
            </w:r>
            <w:r>
              <w:rPr>
                <w:rFonts w:ascii="Times New Roman" w:hAnsi="Times New Roman"/>
                <w:caps w:val="false"/>
                <w:smallCaps w:val="false"/>
                <w:sz w:val="20"/>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Waiver; Cumulative Remedies; Enforcement</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 xml:space="preserve"> for the benefit of all the Lenders and the L/C Issuer;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11.08</w:t>
            </w:r>
            <w:r>
              <w:rPr>
                <w:rFonts w:ascii="Times New Roman" w:hAnsi="Times New Roman"/>
                <w:caps w:val="false"/>
                <w:smallCaps w:val="false"/>
                <w:sz w:val="20"/>
              </w:rPr>
              <w:t xml:space="preserve"> (subject to the terms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xml:space="preserve">),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8.02</w:t>
            </w:r>
            <w:r>
              <w:rPr>
                <w:rFonts w:ascii="Times New Roman" w:hAnsi="Times New Roman"/>
                <w:caps w:val="false"/>
                <w:smallCaps w:val="false"/>
                <w:sz w:val="20"/>
              </w:rPr>
              <w:t xml:space="preserve"> and (ii) in addition to the matters set forth in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(c)</w:t>
            </w:r>
            <w:r>
              <w:rPr>
                <w:rFonts w:ascii="Times New Roman" w:hAnsi="Times New Roman"/>
                <w:caps w:val="false"/>
                <w:smallCaps w:val="false"/>
                <w:sz w:val="20"/>
              </w:rPr>
              <w:t> and </w:t>
            </w:r>
            <w:r>
              <w:rPr>
                <w:rFonts w:ascii="Times New Roman" w:hAnsi="Times New Roman"/>
                <w:b/>
                <w:i/>
                <w:caps w:val="false"/>
                <w:smallCaps w:val="false"/>
                <w:sz w:val="20"/>
              </w:rPr>
              <w:t>(d)</w:t>
            </w:r>
            <w:r>
              <w:rPr>
                <w:rFonts w:ascii="Times New Roman" w:hAnsi="Times New Roman"/>
                <w:caps w:val="false"/>
                <w:smallCaps w:val="false"/>
                <w:sz w:val="20"/>
              </w:rPr>
              <w:t xml:space="preserve"> of the preceding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and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any Lender may, with the consent of the Required Lenders, enforce any rights and remedies available to it and as authorized by the Required Lenders.</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Expenses; Indemnity; Damage Waiver</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Costs and Expenses</w:t>
            </w:r>
            <w:r>
              <w:rPr>
                <w:rFonts w:ascii="Times New Roman" w:hAnsi="Times New Roman"/>
                <w:caps w:val="false"/>
                <w:smallCaps w:val="false"/>
                <w:sz w:val="20"/>
              </w:rPr>
              <w:t xml:space="preserve">. The Loan Parties shall pay (i) all reasonable out-of-pocket expenses incurred by the Administrative Agent and its Affiliates (including, but not limited to, (A) the reasonable fees, charges and disbursements of one (1) counsel (and one (1) special counsel or 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 (iii) 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w:t>
            </w:r>
            <w:r>
              <w:rPr>
                <w:rFonts w:ascii="Times New Roman" w:hAnsi="Times New Roman"/>
                <w:caps w:val="false"/>
                <w:smallCaps w:val="false"/>
                <w:sz w:val="20"/>
              </w:rPr>
              <w:t>, or (B) in connection with Loans made or Letters of Credit issued hereunder, including all such out-of-pocket expenses incurred during any workout, restructuring or negotiations in respect of such Loans or Letters of Credit.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Indemnification by the Loan Parties</w:t>
            </w:r>
            <w:r>
              <w:rPr>
                <w:rFonts w:ascii="Times New Roman" w:hAnsi="Times New Roman"/>
                <w:caps w:val="false"/>
                <w:smallCaps w:val="false"/>
                <w:sz w:val="20"/>
              </w:rPr>
              <w:t>. The Loan Parties shall indemnify the Administrative Agent (and any sub-agent thereof), each Lender and the L/C Issuer, and each Related Party of any of the foregoing Persons (each such Person being called an “</w:t>
            </w:r>
            <w:r>
              <w:rPr>
                <w:rFonts w:ascii="Times New Roman" w:hAnsi="Times New Roman"/>
                <w:b/>
                <w:i/>
                <w:caps w:val="false"/>
                <w:smallCaps w:val="false"/>
                <w:sz w:val="20"/>
              </w:rPr>
              <w:t>Indemnitee</w:t>
            </w:r>
            <w:r>
              <w:rPr>
                <w:rFonts w:ascii="Times New Roman" w:hAnsi="Times New Roman"/>
                <w:caps w:val="false"/>
                <w:smallCaps w:val="false"/>
                <w:sz w:val="20"/>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indemnity shall not, as to any Indemnitee, be available to the extent that such losses, claims, damages, liabilities or related expenses (y) determined by a court of competent jurisdiction, by a final and non-appealable judgment, to have resulted from (i) the gross negligence, bad faith or willful misconduct of such Indemnitee, or (ii) a material breach by such Indemnitee of its obligations under the Loan Documents or (z) arise from a dispute among Indemnitees that does not involve an act or omission by the Loan Parties or any of their respective Affiliates and that is brought by an Indemnitee against any other Indemnitee (other than in connection with a person acting in its capacity as the Administrative Agent or as Arranger), in each case, if such Loan Party has obtained a final and non-appealable judgment in its favor on such claim as determined by a court of competent jurisdiction. Without limiting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3.01(c)</w:t>
            </w:r>
            <w:r>
              <w:rPr>
                <w:rFonts w:ascii="Times New Roman" w:hAnsi="Times New Roman"/>
                <w:caps w:val="false"/>
                <w:smallCaps w:val="false"/>
                <w:sz w:val="20"/>
              </w:rPr>
              <w:t xml:space="preserve">,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11.04(b)</w:t>
            </w:r>
            <w:r>
              <w:rPr>
                <w:rFonts w:ascii="Times New Roman" w:hAnsi="Times New Roman"/>
                <w:caps w:val="false"/>
                <w:smallCaps w:val="false"/>
                <w:sz w:val="20"/>
              </w:rPr>
              <w:t> shall not apply with respect to Taxes other than any Taxes that represent losses, claims, damages, etc. arising from any non-Tax claim.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Reimbursement by Lenders</w:t>
            </w:r>
            <w:r>
              <w:rPr>
                <w:rFonts w:ascii="Times New Roman" w:hAnsi="Times New Roman"/>
                <w:caps w:val="false"/>
                <w:smallCaps w:val="false"/>
                <w:sz w:val="20"/>
              </w:rPr>
              <w:t xml:space="preserve">. To the extent that the Loan Parties for any reason fail to indefeasibly pay any amount required under </w:t>
            </w:r>
            <w:r>
              <w:rPr>
                <w:rFonts w:ascii="Times New Roman" w:hAnsi="Times New Roman"/>
                <w:b/>
                <w:i/>
                <w:caps w:val="false"/>
                <w:smallCaps w:val="false"/>
                <w:sz w:val="20"/>
              </w:rPr>
              <w:t>clauses</w:t>
            </w:r>
            <w:r>
              <w:rPr>
                <w:rFonts w:ascii="Times New Roman" w:hAnsi="Times New Roman"/>
                <w:caps w:val="false"/>
                <w:smallCaps w:val="false"/>
                <w:sz w:val="20"/>
              </w:rPr>
              <w:t> </w:t>
            </w:r>
            <w:r>
              <w:rPr>
                <w:rFonts w:ascii="Times New Roman" w:hAnsi="Times New Roman"/>
                <w:b/>
                <w:i/>
                <w:caps w:val="false"/>
                <w:smallCaps w:val="false"/>
                <w:sz w:val="20"/>
              </w:rPr>
              <w:t>(a)</w:t>
            </w:r>
            <w:r>
              <w:rPr>
                <w:rFonts w:ascii="Times New Roman" w:hAnsi="Times New Roman"/>
                <w:caps w:val="false"/>
                <w:smallCaps w:val="false"/>
                <w:sz w:val="20"/>
              </w:rPr>
              <w:t> or </w:t>
            </w:r>
            <w:r>
              <w:rPr>
                <w:rFonts w:ascii="Times New Roman" w:hAnsi="Times New Roman"/>
                <w:b/>
                <w:i/>
                <w:caps w:val="false"/>
                <w:smallCaps w:val="false"/>
                <w:sz w:val="20"/>
              </w:rPr>
              <w:t>(b)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w:t>
            </w:r>
            <w:r>
              <w:rPr>
                <w:rFonts w:ascii="Times New Roman" w:hAnsi="Times New Roman"/>
                <w:caps w:val="false"/>
                <w:smallCaps w:val="false"/>
                <w:sz w:val="20"/>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w:t>
            </w:r>
            <w:r>
              <w:rPr>
                <w:rFonts w:ascii="Times New Roman" w:hAnsi="Times New Roman"/>
                <w:i/>
                <w:caps w:val="false"/>
                <w:smallCaps w:val="false"/>
                <w:sz w:val="20"/>
              </w:rPr>
              <w:t>pro rata</w:t>
            </w:r>
            <w:r>
              <w:rPr>
                <w:rFonts w:ascii="Times New Roman" w:hAnsi="Times New Roman"/>
                <w:caps w:val="false"/>
                <w:smallCaps w:val="false"/>
                <w:sz w:val="20"/>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are subject to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2.12(d)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Waiver of Consequential Damages, Etc</w:t>
            </w:r>
            <w:r>
              <w:rPr>
                <w:rFonts w:ascii="Times New Roman" w:hAnsi="Times New Roman"/>
                <w:caps w:val="false"/>
                <w:smallCaps w:val="false"/>
                <w:sz w:val="20"/>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w:t>
            </w:r>
            <w:r>
              <w:rPr>
                <w:rFonts w:ascii="Times New Roman" w:hAnsi="Times New Roman"/>
                <w:caps w:val="false"/>
                <w:smallCaps w:val="false"/>
                <w:sz w:val="20"/>
              </w:rPr>
              <w:t xml:space="preserve">. All amounts due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w:t>
            </w:r>
            <w:r>
              <w:rPr>
                <w:rFonts w:ascii="Times New Roman" w:hAnsi="Times New Roman"/>
                <w:caps w:val="false"/>
                <w:smallCaps w:val="false"/>
                <w:sz w:val="20"/>
              </w:rPr>
              <w:t> shall be payable not later than ten (10) Business Days after demand therefor.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Survival</w:t>
            </w:r>
            <w:r>
              <w:rPr>
                <w:rFonts w:ascii="Times New Roman" w:hAnsi="Times New Roman"/>
                <w:caps w:val="false"/>
                <w:smallCaps w:val="false"/>
                <w:sz w:val="20"/>
              </w:rPr>
              <w:t xml:space="preserve">. The agreements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w:t>
            </w:r>
            <w:r>
              <w:rPr>
                <w:rFonts w:ascii="Times New Roman" w:hAnsi="Times New Roman"/>
                <w:caps w:val="false"/>
                <w:smallCaps w:val="false"/>
                <w:sz w:val="20"/>
              </w:rPr>
              <w:t xml:space="preserve"> and the indemnity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11.02(e)</w:t>
            </w:r>
            <w:r>
              <w:rPr>
                <w:rFonts w:ascii="Times New Roman" w:hAnsi="Times New Roman"/>
                <w:caps w:val="false"/>
                <w:smallCaps w:val="false"/>
                <w:sz w:val="20"/>
              </w:rPr>
              <w:t> shall survive the resignation of the Administrative Agent, the L/C Issuer and the Swingline Lender, the replacement of any Lender, the termination of the Commitments and the repayment, satisfaction or discharge of all the other Obligations.</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6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Payments Set Aside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Times New Roman" w:hAnsi="Times New Roman"/>
          <w:i/>
          <w:caps w:val="false"/>
          <w:smallCaps w:val="false"/>
          <w:sz w:val="20"/>
        </w:rPr>
        <w:t>plus</w:t>
      </w:r>
      <w:r>
        <w:rPr>
          <w:rFonts w:ascii="Times New Roman" w:hAnsi="Times New Roman"/>
          <w:caps w:val="false"/>
          <w:smallCaps w:val="false"/>
          <w:sz w:val="20"/>
        </w:rPr>
        <w:t xml:space="preserve"> interest thereon from the date of such demand to the date such payment is made at a rate </w:t>
      </w:r>
      <w:r>
        <w:rPr>
          <w:rFonts w:ascii="Times New Roman" w:hAnsi="Times New Roman"/>
          <w:i/>
          <w:caps w:val="false"/>
          <w:smallCaps w:val="false"/>
          <w:sz w:val="20"/>
        </w:rPr>
        <w:t>per annum</w:t>
      </w:r>
      <w:r>
        <w:rPr>
          <w:rFonts w:ascii="Times New Roman" w:hAnsi="Times New Roman"/>
          <w:caps w:val="false"/>
          <w:smallCaps w:val="false"/>
          <w:sz w:val="20"/>
        </w:rPr>
        <w:t xml:space="preserve"> equal to the Federal Funds Rate from time to time in effect. The obligations of the Lenders and the L/C Issuer under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of the preceding sentence shall survive the payment in full of the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0"/>
        <w:gridCol w:w="170"/>
        <w:gridCol w:w="2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Successors and Assigns Generally</w:t>
            </w:r>
            <w:r>
              <w:rPr>
                <w:rFonts w:ascii="Times New Roman" w:hAnsi="Times New Roman"/>
                <w:caps w:val="false"/>
                <w:smallCaps w:val="false"/>
                <w:sz w:val="20"/>
              </w:rPr>
              <w:t xml:space="preserve">. The provisions of this Agreement and the other Loan Documents shall be binding upon and inure to the benefit of the parties hereto and thereto and their respective successors and assigns permitted hereby, except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w:t>
            </w:r>
            <w:r>
              <w:rPr>
                <w:rFonts w:ascii="Times New Roman" w:hAnsi="Times New Roman"/>
                <w:caps w:val="false"/>
                <w:smallCaps w:val="false"/>
                <w:sz w:val="20"/>
              </w:rPr>
              <w:t xml:space="preserve">, (ii) by way of participation in accordance with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11.06(d)</w:t>
            </w:r>
            <w:r>
              <w:rPr>
                <w:rFonts w:ascii="Times New Roman" w:hAnsi="Times New Roman"/>
                <w:caps w:val="false"/>
                <w:smallCaps w:val="false"/>
                <w:sz w:val="20"/>
              </w:rPr>
              <w:t xml:space="preserve">, or (iii) by way of pledge or assignment of a security interest subject to the restrictions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11.06(e)</w:t>
            </w:r>
            <w:r>
              <w:rPr>
                <w:rFonts w:ascii="Times New Roman" w:hAnsi="Times New Roman"/>
                <w:caps w:val="false"/>
                <w:smallCaps w:val="false"/>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11.06(d)</w:t>
            </w:r>
            <w:r>
              <w:rPr>
                <w:rFonts w:ascii="Times New Roman" w:hAnsi="Times New Roman"/>
                <w:caps w:val="false"/>
                <w:smallCaps w:val="false"/>
                <w:sz w:val="20"/>
              </w:rPr>
              <w:t> and, to the extent expressly contemplated hereby, the Related Parties of each of the Administrative Agent, the L/C Issuer and the Lenders) any legal or equitable right, remedy or claim under or by reason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Assignments by Lenders</w:t>
            </w:r>
            <w:r>
              <w:rPr>
                <w:rFonts w:ascii="Times New Roman" w:hAnsi="Times New Roman"/>
                <w:caps w:val="false"/>
                <w:smallCaps w:val="false"/>
                <w:sz w:val="20"/>
              </w:rPr>
              <w:t xml:space="preserve">. Any Lender may at any time assign to one (1) or more assignees all or a portion of its rights and obligations under this Agreement and the other Loan Documents (including all or a portion of its Commitment(s) and the Loans (including for purposes of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participations in L/C Obligations and in Swingline Loans) at the time owing to it); </w:t>
            </w:r>
            <w:r>
              <w:rPr>
                <w:rFonts w:ascii="Times New Roman" w:hAnsi="Times New Roman"/>
                <w:i/>
                <w:caps w:val="false"/>
                <w:smallCaps w:val="false"/>
                <w:sz w:val="20"/>
              </w:rPr>
              <w:t>provided</w:t>
            </w:r>
            <w:r>
              <w:rPr>
                <w:rFonts w:ascii="Times New Roman" w:hAnsi="Times New Roman"/>
                <w:caps w:val="false"/>
                <w:smallCaps w:val="false"/>
                <w:sz w:val="20"/>
              </w:rPr>
              <w:t> that (in each case with respect to any Facility) any such assignment shall be subject to the following conditions:</w:t>
            </w:r>
          </w:p>
        </w:tc>
      </w:tr>
    </w:tbl>
    <w:tbl>
      <w:tblPr>
        <w:tblW w:w="1885" w:type="dxa"/>
        <w:jc w:val="left"/>
        <w:tblInd w:w="0" w:type="dxa"/>
        <w:tblLayout w:type="fixed"/>
        <w:tblCellMar>
          <w:top w:w="0" w:type="dxa"/>
          <w:left w:w="0" w:type="dxa"/>
          <w:bottom w:w="0" w:type="dxa"/>
          <w:right w:w="0" w:type="dxa"/>
        </w:tblCellMar>
      </w:tblPr>
      <w:tblGrid>
        <w:gridCol w:w="60"/>
        <w:gridCol w:w="125"/>
        <w:gridCol w:w="17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Minimum Amounts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(b)(i)(B)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in the aggregate or in the case of an assignment to a Lender, an Affiliate of a Lender or an Approved Fund, no minimum amount need be assigned;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any case not described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(b)(i)(A)</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hAnsi="Times New Roman"/>
                <w:i/>
                <w:caps w:val="false"/>
                <w:smallCaps w:val="false"/>
                <w:sz w:val="20"/>
              </w:rPr>
              <w:t>Trade Date</w:t>
            </w:r>
            <w:r>
              <w:rPr>
                <w:rFonts w:ascii="Times New Roman" w:hAnsi="Times New Roman"/>
                <w:caps w:val="false"/>
                <w:smallCaps w:val="false"/>
                <w:sz w:val="20"/>
              </w:rPr>
              <w:t>” is specified in the Assignment and Assumption, as of the Trade Date, shall not be less than $[***], in the case of any assignment in respect of the Revolving Facility, or $[***], in the case of any assignment in respect of the Term Facility, unless each of the Administrative Agent and, so long as no Event of Default has occurred and is continuing, the Borrower otherwise consents (each such consent not to be unreasonably withheld or delayed).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Proportionate Amounts</w:t>
            </w:r>
            <w:r>
              <w:rPr>
                <w:rFonts w:ascii="Times New Roman" w:hAnsi="Times New Roman"/>
                <w:caps w:val="false"/>
                <w:smallCaps w:val="false"/>
                <w:sz w:val="20"/>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(b)(ii)</w:t>
            </w:r>
            <w:r>
              <w:rPr>
                <w:rFonts w:ascii="Times New Roman" w:hAnsi="Times New Roman"/>
                <w:caps w:val="false"/>
                <w:smallCaps w:val="false"/>
                <w:sz w:val="20"/>
              </w:rPr>
              <w:t> shall not (A) apply to the Swingline Lender’s rights and obligations in respect of Swingline Loans or (B) prohibit any Lender from assigning all or a portion of its rights and obligations among separate Facilities on a non-</w:t>
            </w:r>
            <w:r>
              <w:rPr>
                <w:rFonts w:ascii="Times New Roman" w:hAnsi="Times New Roman"/>
                <w:i/>
                <w:caps w:val="false"/>
                <w:smallCaps w:val="false"/>
                <w:sz w:val="20"/>
              </w:rPr>
              <w:t>pro rata</w:t>
            </w:r>
            <w:r>
              <w:rPr>
                <w:rFonts w:ascii="Times New Roman" w:hAnsi="Times New Roman"/>
                <w:caps w:val="false"/>
                <w:smallCaps w:val="false"/>
                <w:sz w:val="20"/>
              </w:rPr>
              <w:t>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Required Consents</w:t>
            </w:r>
            <w:r>
              <w:rPr>
                <w:rFonts w:ascii="Times New Roman" w:hAnsi="Times New Roman"/>
                <w:caps w:val="false"/>
                <w:smallCaps w:val="false"/>
                <w:sz w:val="20"/>
              </w:rPr>
              <w:t xml:space="preserve">. No consent shall be required for any assignment except to the extent required by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(b)(i)(B)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and, in addition:</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hAnsi="Times New Roman"/>
                <w:i/>
                <w:caps w:val="false"/>
                <w:smallCaps w:val="false"/>
                <w:sz w:val="20"/>
              </w:rPr>
              <w:t>provided</w:t>
            </w:r>
            <w:r>
              <w:rPr>
                <w:rFonts w:ascii="Times New Roman" w:hAnsi="Times New Roman"/>
                <w:caps w:val="false"/>
                <w:smallCaps w:val="false"/>
                <w:sz w:val="20"/>
              </w:rPr>
              <w:t> that the Borrower shall be deemed to have consented to any such assignment unless it shall object thereto by written notice to the Administrative Agent within five (5) Business Days after having received notice thereof; and provided, further, that the Borrower’s consent shall not be required during the primary syndication of the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consent of the Administrative Agent (such consent not to be unreasonably withheld or delayed) shall be required for assignments in respect of (1) any unfunded Delayed Draw Term Loan Commitment or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consent of the L/C Issuer and the Swingline Lender shall be required for any assignment in respect of the Revolving Facility.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Assignment and Assumption</w:t>
            </w:r>
            <w:r>
              <w:rPr>
                <w:rFonts w:ascii="Times New Roman" w:hAnsi="Times New Roman"/>
                <w:caps w:val="false"/>
                <w:smallCaps w:val="false"/>
                <w:sz w:val="20"/>
              </w:rPr>
              <w:t xml:space="preserve">. The parties to each assignment shall execute and deliver to the Administrative Agent an Assignment and Assumption, together with a processing and recordation fee in the amount of $3,500;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Administrative Agent may, in its sole discretion, elect to waive such processing and recordation fee in the case of any assignment. The assignee, if it is not a Lender, shall deliver to the Administrative Agent an Administrative Questionnaire.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Assignment to Certain Persons</w:t>
            </w:r>
            <w:r>
              <w:rPr>
                <w:rFonts w:ascii="Times New Roman" w:hAnsi="Times New Roman"/>
                <w:caps w:val="false"/>
                <w:smallCaps w:val="false"/>
                <w:sz w:val="20"/>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or (C) to a natural Person (or a holding company, investment vehicle or trust for, or owned and operated by or for the primary benefit of one (1) or more natural Persons).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Additional Payments</w:t>
            </w:r>
            <w:r>
              <w:rPr>
                <w:rFonts w:ascii="Times New Roman" w:hAnsi="Times New Roman"/>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hAnsi="Times New Roman"/>
                <w:i/>
                <w:caps w:val="false"/>
                <w:smallCaps w:val="false"/>
                <w:sz w:val="20"/>
              </w:rPr>
              <w:t>pro rata</w:t>
            </w:r>
            <w:r>
              <w:rPr>
                <w:rFonts w:ascii="Times New Roman" w:hAnsi="Times New Roman"/>
                <w:caps w:val="false"/>
                <w:smallCaps w:val="false"/>
                <w:sz w:val="20"/>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w:t>
            </w:r>
            <w:r>
              <w:rPr>
                <w:rFonts w:ascii="Times New Roman" w:hAnsi="Times New Roman"/>
                <w:i/>
                <w:caps w:val="false"/>
                <w:smallCaps w:val="false"/>
                <w:sz w:val="20"/>
              </w:rPr>
              <w:t>pro rata</w:t>
            </w:r>
            <w:r>
              <w:rPr>
                <w:rFonts w:ascii="Times New Roman" w:hAnsi="Times New Roman"/>
                <w:caps w:val="false"/>
                <w:smallCaps w:val="false"/>
                <w:sz w:val="20"/>
              </w:rPr>
              <w:t xml:space="preserve">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(b)(vi)</w:t>
            </w:r>
            <w:r>
              <w:rPr>
                <w:rFonts w:ascii="Times New Roman" w:hAnsi="Times New Roman"/>
                <w:caps w:val="false"/>
                <w:smallCaps w:val="false"/>
                <w:sz w:val="20"/>
              </w:rPr>
              <w:t>, then the assignee of such interest shall be deemed to be a Defaulting Lender for all purposes of this Agreement until such compliance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9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Subject to acceptance and recording thereof by the Administrative Agent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11.06(c)</w:t>
            </w:r>
            <w:r>
              <w:rPr>
                <w:rFonts w:ascii="Times New Roman" w:hAnsi="Times New Roman"/>
                <w:caps w:val="false"/>
                <w:smallCaps w:val="false"/>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w:t>
            </w:r>
            <w:r>
              <w:rPr>
                <w:rFonts w:ascii="Times New Roman" w:hAnsi="Times New Roman"/>
                <w:b/>
                <w:i/>
                <w:caps w:val="false"/>
                <w:smallCaps w:val="false"/>
                <w:sz w:val="20"/>
              </w:rPr>
              <w:t>3.04</w:t>
            </w:r>
            <w:r>
              <w:rPr>
                <w:rFonts w:ascii="Times New Roman" w:hAnsi="Times New Roman"/>
                <w:caps w:val="false"/>
                <w:smallCaps w:val="false"/>
                <w:sz w:val="20"/>
              </w:rPr>
              <w:t xml:space="preserve">, </w:t>
            </w:r>
            <w:r>
              <w:rPr>
                <w:rFonts w:ascii="Times New Roman" w:hAnsi="Times New Roman"/>
                <w:b/>
                <w:i/>
                <w:caps w:val="false"/>
                <w:smallCaps w:val="false"/>
                <w:sz w:val="20"/>
              </w:rPr>
              <w:t>3.05</w:t>
            </w:r>
            <w:r>
              <w:rPr>
                <w:rFonts w:ascii="Times New Roman" w:hAnsi="Times New Roman"/>
                <w:caps w:val="false"/>
                <w:smallCaps w:val="false"/>
                <w:sz w:val="20"/>
              </w:rPr>
              <w:t> and </w:t>
            </w:r>
            <w:r>
              <w:rPr>
                <w:rFonts w:ascii="Times New Roman" w:hAnsi="Times New Roman"/>
                <w:b/>
                <w:i/>
                <w:caps w:val="false"/>
                <w:smallCaps w:val="false"/>
                <w:sz w:val="20"/>
              </w:rPr>
              <w:t>11.04</w:t>
            </w:r>
            <w:r>
              <w:rPr>
                <w:rFonts w:ascii="Times New Roman" w:hAnsi="Times New Roman"/>
                <w:caps w:val="false"/>
                <w:smallCaps w:val="false"/>
                <w:sz w:val="20"/>
              </w:rPr>
              <w:t xml:space="preserve"> with respect to facts and circumstances occurring prior to the effective date of such assignment);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shall be treated for purposes of this Agreement as a sale by such Lender of a participation in such rights and obligations in accordance with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Register</w:t>
            </w:r>
            <w:r>
              <w:rPr>
                <w:rFonts w:ascii="Times New Roman" w:hAnsi="Times New Roman"/>
                <w:caps w:val="false"/>
                <w:smallCaps w:val="false"/>
                <w:sz w:val="20"/>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hAnsi="Times New Roman"/>
                <w:b/>
                <w:i/>
                <w:caps w:val="false"/>
                <w:smallCaps w:val="false"/>
                <w:sz w:val="20"/>
              </w:rPr>
              <w:t>Register</w:t>
            </w:r>
            <w:r>
              <w:rPr>
                <w:rFonts w:ascii="Times New Roman" w:hAnsi="Times New Roman"/>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Participations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(1) or more natural Persons, a Defaulting Lender or the Borrower or any of the Borrower’s Affiliates or Subsidiaries) (each, a “</w:t>
            </w:r>
            <w:r>
              <w:rPr>
                <w:rFonts w:ascii="Times New Roman" w:hAnsi="Times New Roman"/>
                <w:b/>
                <w:i/>
                <w:caps w:val="false"/>
                <w:smallCaps w:val="false"/>
                <w:sz w:val="20"/>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hAnsi="Times New Roman"/>
                <w:i/>
                <w:caps w:val="false"/>
                <w:smallCaps w:val="false"/>
                <w:sz w:val="20"/>
              </w:rPr>
              <w:t>provided</w:t>
            </w:r>
            <w:r>
              <w:rPr>
                <w:rFonts w:ascii="Times New Roman" w:hAnsi="Times New Roman"/>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11.04(c)</w:t>
            </w:r>
            <w:r>
              <w:rPr>
                <w:rFonts w:ascii="Times New Roman" w:hAnsi="Times New Roman"/>
                <w:caps w:val="false"/>
                <w:smallCaps w:val="false"/>
                <w:sz w:val="20"/>
              </w:rPr>
              <w:t> without regard to the existence of any participations.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agreement or instrument may provide that such Lender will not, without the consent of the Participant, agree to any amendment, waiver or other modification described in the first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11.01</w:t>
            </w:r>
            <w:r>
              <w:rPr>
                <w:rFonts w:ascii="Times New Roman" w:hAnsi="Times New Roman"/>
                <w:caps w:val="false"/>
                <w:smallCaps w:val="false"/>
                <w:sz w:val="20"/>
              </w:rPr>
              <w:t xml:space="preserve"> that affects such Participant. The Borrower agrees that each Participant shall be entitled to the benefits of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xml:space="preserve">, </w:t>
            </w:r>
            <w:r>
              <w:rPr>
                <w:rFonts w:ascii="Times New Roman" w:hAnsi="Times New Roman"/>
                <w:b/>
                <w:i/>
                <w:caps w:val="false"/>
                <w:smallCaps w:val="false"/>
                <w:sz w:val="20"/>
              </w:rPr>
              <w:t>3.04</w:t>
            </w:r>
            <w:r>
              <w:rPr>
                <w:rFonts w:ascii="Times New Roman" w:hAnsi="Times New Roman"/>
                <w:caps w:val="false"/>
                <w:smallCaps w:val="false"/>
                <w:sz w:val="20"/>
              </w:rPr>
              <w:t> and </w:t>
            </w:r>
            <w:r>
              <w:rPr>
                <w:rFonts w:ascii="Times New Roman" w:hAnsi="Times New Roman"/>
                <w:b/>
                <w:i/>
                <w:caps w:val="false"/>
                <w:smallCaps w:val="false"/>
                <w:sz w:val="20"/>
              </w:rPr>
              <w:t>3.05</w:t>
            </w:r>
            <w:r>
              <w:rPr>
                <w:rFonts w:ascii="Times New Roman" w:hAnsi="Times New Roman"/>
                <w:caps w:val="false"/>
                <w:smallCaps w:val="false"/>
                <w:sz w:val="20"/>
              </w:rPr>
              <w:t xml:space="preserve"> (subject to the requirements and limitations therein, including the requirements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3.01(e)</w:t>
            </w:r>
            <w:r>
              <w:rPr>
                <w:rFonts w:ascii="Times New Roman" w:hAnsi="Times New Roman"/>
                <w:caps w:val="false"/>
                <w:smallCaps w:val="false"/>
                <w:sz w:val="20"/>
              </w:rPr>
              <w:t xml:space="preserve"> (it being understood that the documentation required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3.01(e)</w:t>
            </w:r>
            <w:r>
              <w:rPr>
                <w:rFonts w:ascii="Times New Roman" w:hAnsi="Times New Roman"/>
                <w:caps w:val="false"/>
                <w:smallCaps w:val="false"/>
                <w:sz w:val="20"/>
              </w:rPr>
              <w:t xml:space="preserve"> shall be delivered to the Lender who sells the participation)) to the same extent as if it were a Lender and had acquired its interest by assignment pursuant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Participant (A) shall be subject to the provisions of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3.06</w:t>
            </w:r>
            <w:r>
              <w:rPr>
                <w:rFonts w:ascii="Times New Roman" w:hAnsi="Times New Roman"/>
                <w:caps w:val="false"/>
                <w:smallCaps w:val="false"/>
                <w:sz w:val="20"/>
              </w:rPr>
              <w:t> and </w:t>
            </w:r>
            <w:r>
              <w:rPr>
                <w:rFonts w:ascii="Times New Roman" w:hAnsi="Times New Roman"/>
                <w:b/>
                <w:i/>
                <w:caps w:val="false"/>
                <w:smallCaps w:val="false"/>
                <w:sz w:val="20"/>
              </w:rPr>
              <w:t>11.13</w:t>
            </w:r>
            <w:r>
              <w:rPr>
                <w:rFonts w:ascii="Times New Roman" w:hAnsi="Times New Roman"/>
                <w:caps w:val="false"/>
                <w:smallCaps w:val="false"/>
                <w:sz w:val="20"/>
              </w:rPr>
              <w:t xml:space="preserve"> as if it were an assignee under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xml:space="preserve"> and (B) shall not be entitled to receive any greater payment under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or </w:t>
            </w:r>
            <w:r>
              <w:rPr>
                <w:rFonts w:ascii="Times New Roman" w:hAnsi="Times New Roman"/>
                <w:b/>
                <w:i/>
                <w:caps w:val="false"/>
                <w:smallCaps w:val="false"/>
                <w:sz w:val="20"/>
              </w:rPr>
              <w:t>3.04</w:t>
            </w:r>
            <w:r>
              <w:rPr>
                <w:rFonts w:ascii="Times New Roman" w:hAnsi="Times New Roman"/>
                <w:caps w:val="false"/>
                <w:smallCaps w:val="false"/>
                <w:sz w:val="20"/>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3.06</w:t>
            </w:r>
            <w:r>
              <w:rPr>
                <w:rFonts w:ascii="Times New Roman" w:hAnsi="Times New Roman"/>
                <w:caps w:val="false"/>
                <w:smallCaps w:val="false"/>
                <w:sz w:val="20"/>
              </w:rPr>
              <w:t xml:space="preserve"> with respect to any Participant. To the extent permitted by law, each Participant also shall be entitled to the benefits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11.08</w:t>
            </w:r>
            <w:r>
              <w:rPr>
                <w:rFonts w:ascii="Times New Roman" w:hAnsi="Times New Roman"/>
                <w:caps w:val="false"/>
                <w:smallCaps w:val="false"/>
                <w:sz w:val="20"/>
              </w:rPr>
              <w:t xml:space="preserve"> as though it were a Lender;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Participant agrees to be subject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2.13</w:t>
            </w:r>
            <w:r>
              <w:rPr>
                <w:rFonts w:ascii="Times New Roman" w:hAnsi="Times New Roman"/>
                <w:caps w:val="false"/>
                <w:smallCaps w:val="false"/>
                <w:sz w:val="20"/>
              </w:rPr>
              <w:t>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hAnsi="Times New Roman"/>
                <w:b/>
                <w:i/>
                <w:caps w:val="false"/>
                <w:smallCaps w:val="false"/>
                <w:sz w:val="20"/>
              </w:rPr>
              <w:t>Participant Register</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5f.103-1(c)</w:t>
            </w:r>
            <w:r>
              <w:rPr>
                <w:rFonts w:ascii="Times New Roman" w:hAnsi="Times New Roman"/>
                <w:caps w:val="false"/>
                <w:smallCaps w:val="false"/>
                <w:sz w:val="20"/>
              </w:rPr>
              <w:t>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Pledges</w:t>
            </w:r>
            <w:r>
              <w:rPr>
                <w:rFonts w:ascii="Times New Roman" w:hAnsi="Times New Roman"/>
                <w:caps w:val="false"/>
                <w:smallCaps w:val="false"/>
                <w:sz w:val="20"/>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hAnsi="Times New Roman"/>
                <w:i/>
                <w:caps w:val="false"/>
                <w:smallCaps w:val="false"/>
                <w:sz w:val="20"/>
              </w:rPr>
              <w:t>provided</w:t>
            </w:r>
            <w:r>
              <w:rPr>
                <w:rFonts w:ascii="Times New Roman" w:hAnsi="Times New Roman"/>
                <w:caps w:val="false"/>
                <w:smallCaps w:val="false"/>
                <w:sz w:val="20"/>
              </w:rPr>
              <w:t> that no such pledge or assignment shall release such Lender from any of its obligations hereunder or substitute any such pledgee or assignee for such Lender as a party 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Resignation as L/C Issuer or Swingline Lender after Assignment</w:t>
            </w:r>
            <w:r>
              <w:rPr>
                <w:rFonts w:ascii="Times New Roman" w:hAnsi="Times New Roman"/>
                <w:caps w:val="false"/>
                <w:smallCaps w:val="false"/>
                <w:sz w:val="20"/>
              </w:rPr>
              <w:t xml:space="preserve">. Notwithstanding anything to the contrary contained herein, if at any time Bank of America assigns all of its Revolving Commitment and Revolving Loans pursuant to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above, Bank of America may, (i) upon thirty (30) days’ notice to the Administrative Agent,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2.03(c)</w:t>
            </w:r>
            <w:r>
              <w:rPr>
                <w:rFonts w:ascii="Times New Roman" w:hAnsi="Times New Roman"/>
                <w:caps w:val="false"/>
                <w:smallCaps w:val="false"/>
                <w:sz w:val="20"/>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2.04(c)</w:t>
            </w:r>
            <w:r>
              <w:rPr>
                <w:rFonts w:ascii="Times New Roman" w:hAnsi="Times New Roman"/>
                <w:caps w:val="false"/>
                <w:smallCaps w:val="false"/>
                <w:sz w:val="20"/>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tc>
      </w:tr>
    </w:tbl>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Disqualified Institutions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assignment shall be made to any Person that was a Disqualified Institution as of the date (the “</w:t>
            </w:r>
            <w:r>
              <w:rPr>
                <w:rFonts w:ascii="Times New Roman" w:hAnsi="Times New Roman"/>
                <w:b/>
                <w:i/>
                <w:caps w:val="false"/>
                <w:smallCaps w:val="false"/>
                <w:sz w:val="20"/>
              </w:rPr>
              <w:t>Trade Date</w:t>
            </w:r>
            <w:r>
              <w:rPr>
                <w:rFonts w:ascii="Times New Roman" w:hAnsi="Times New Roman"/>
                <w:caps w:val="false"/>
                <w:smallCaps w:val="false"/>
                <w:sz w:val="20"/>
              </w:rPr>
              <w:t xml:space="preserve">”) on which the applicable Lender entered into a binding agreement to sell and assign all or a portion of its rights and obligations under this Agreement to such Person (unless the Borrower has consented to such assignment as otherwise contemplated by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w:t>
            </w:r>
            <w:r>
              <w:rPr>
                <w:rFonts w:ascii="Times New Roman" w:hAnsi="Times New Roman"/>
                <w:b/>
                <w:i/>
                <w:caps w:val="false"/>
                <w:smallCaps w:val="false"/>
                <w:sz w:val="20"/>
              </w:rPr>
              <w:t>Disqualified Institution</w:t>
            </w:r>
            <w:r>
              <w:rPr>
                <w:rFonts w:ascii="Times New Roman" w:hAnsi="Times New Roman"/>
                <w:caps w:val="false"/>
                <w:smallCaps w:val="false"/>
                <w:sz w:val="20"/>
              </w:rPr>
              <w:t xml:space="preserve">”), such assignee shall not retroactively be considered a Disqualified Institution. Any assignment in violation of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(g)(i)</w:t>
            </w:r>
            <w:r>
              <w:rPr>
                <w:rFonts w:ascii="Times New Roman" w:hAnsi="Times New Roman"/>
                <w:caps w:val="false"/>
                <w:smallCaps w:val="false"/>
                <w:sz w:val="20"/>
              </w:rPr>
              <w:t xml:space="preserve"> shall not be void, but the other provisions of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(g)</w:t>
            </w:r>
            <w:r>
              <w:rPr>
                <w:rFonts w:ascii="Times New Roman" w:hAnsi="Times New Roman"/>
                <w:caps w:val="false"/>
                <w:smallCaps w:val="false"/>
                <w:sz w:val="20"/>
              </w:rPr>
              <w:t> shall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any assignment is made to any Disqualified Institution without the Borrower’s prior consent in violation of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w:t>
            </w:r>
            <w:r>
              <w:rPr>
                <w:rFonts w:ascii="Times New Roman" w:hAnsi="Times New Roman"/>
                <w:caps w:val="false"/>
                <w:smallCaps w:val="false"/>
                <w:sz w:val="20"/>
              </w:rPr>
              <w:t> above,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held by Disqualified Institutions, prepay such Term Loan by paying the lesser of (1) the principal amount thereof and (2) the amount that such Disqualified Institution paid to acquire such Term Loans, in each case </w:t>
            </w:r>
            <w:r>
              <w:rPr>
                <w:rFonts w:ascii="Times New Roman" w:hAnsi="Times New Roman"/>
                <w:i/>
                <w:caps w:val="false"/>
                <w:smallCaps w:val="false"/>
                <w:sz w:val="20"/>
              </w:rPr>
              <w:t>plus</w:t>
            </w:r>
            <w:r>
              <w:rPr>
                <w:rFonts w:ascii="Times New Roman" w:hAnsi="Times New Roman"/>
                <w:caps w:val="false"/>
                <w:smallCaps w:val="false"/>
                <w:sz w:val="20"/>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all of its interest, rights and obligations under this Agreement and related Loan Documents to an Eligible Assignee that shall assume such obligations at the lesser of (1) the principal amount thereof and (2) the amount that such Disqualified Institution paid to acquire such interests, rights and obligations, in each case </w:t>
            </w:r>
            <w:r>
              <w:rPr>
                <w:rFonts w:ascii="Times New Roman" w:hAnsi="Times New Roman"/>
                <w:i/>
                <w:caps w:val="false"/>
                <w:smallCaps w:val="false"/>
                <w:sz w:val="20"/>
              </w:rPr>
              <w:t>plus</w:t>
            </w:r>
            <w:r>
              <w:rPr>
                <w:rFonts w:ascii="Times New Roman" w:hAnsi="Times New Roman"/>
                <w:caps w:val="false"/>
                <w:smallCaps w:val="false"/>
                <w:sz w:val="20"/>
              </w:rPr>
              <w:t xml:space="preserve"> accrued interest, accrued fees and all other amounts (other than principal amounts) payable to it hereunder and other the other Loan Documents; </w:t>
            </w:r>
            <w:r>
              <w:rPr>
                <w:rFonts w:ascii="Times New Roman" w:hAnsi="Times New Roman"/>
                <w:i/>
                <w:caps w:val="false"/>
                <w:smallCaps w:val="false"/>
                <w:sz w:val="20"/>
              </w:rPr>
              <w:t>provided</w:t>
            </w:r>
            <w:r>
              <w:rPr>
                <w:rFonts w:ascii="Times New Roman" w:hAnsi="Times New Roman"/>
                <w:caps w:val="false"/>
                <w:smallCaps w:val="false"/>
                <w:sz w:val="20"/>
              </w:rPr>
              <w:t xml:space="preserve">, that, (x) the Borrower shall have paid to the Administrative Agent the assignment fee (if any)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w:t>
            </w:r>
            <w:r>
              <w:rPr>
                <w:rFonts w:ascii="Times New Roman" w:hAnsi="Times New Roman"/>
                <w:caps w:val="false"/>
                <w:smallCaps w:val="false"/>
                <w:sz w:val="20"/>
              </w:rPr>
              <w:t xml:space="preserve">, (y) such assignment does not conflict with Applicable Laws and (z) in the case of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the Borrower shall not use the proceeds from any Loans to prepay Term Loans held by Disqualified Institutions.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to the contrary contained in this Agreement, Disqualified Institutions (A) will not (1) 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Times New Roman" w:hAnsi="Times New Roman"/>
                <w:b/>
                <w:i/>
                <w:caps w:val="false"/>
                <w:smallCaps w:val="false"/>
                <w:sz w:val="20"/>
              </w:rPr>
              <w:t>Plan of Reorganization</w:t>
            </w:r>
            <w:r>
              <w:rPr>
                <w:rFonts w:ascii="Times New Roman" w:hAnsi="Times New Roman"/>
                <w:caps w:val="false"/>
                <w:smallCaps w:val="false"/>
                <w:sz w:val="20"/>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w:t>
            </w:r>
            <w:r>
              <w:rPr>
                <w:rFonts w:ascii="Times New Roman" w:hAnsi="Times New Roman"/>
                <w:caps w:val="false"/>
                <w:smallCaps w:val="false"/>
                <w:sz w:val="20"/>
              </w:rPr>
              <w:t>, such vote will be deemed not to be in good faith and shall be “</w:t>
            </w:r>
            <w:r>
              <w:rPr>
                <w:rFonts w:ascii="Times New Roman" w:hAnsi="Times New Roman"/>
                <w:i/>
                <w:caps w:val="false"/>
                <w:smallCaps w:val="false"/>
                <w:sz w:val="20"/>
              </w:rPr>
              <w:t>designated</w:t>
            </w:r>
            <w:r>
              <w:rPr>
                <w:rFonts w:ascii="Times New Roman" w:hAnsi="Times New Roman"/>
                <w:caps w:val="false"/>
                <w:smallCaps w:val="false"/>
                <w:sz w:val="20"/>
              </w:rPr>
              <w:t xml:space="preserve">” pursuant to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 xml:space="preserve">1126(e) </w:t>
            </w:r>
            <w:r>
              <w:rPr>
                <w:rFonts w:ascii="Times New Roman" w:hAnsi="Times New Roman"/>
                <w:caps w:val="false"/>
                <w:smallCaps w:val="false"/>
                <w:sz w:val="20"/>
              </w:rPr>
              <w:t xml:space="preserve">of the Bankruptcy Code (or any similar provision in any other Debtor Relief Laws), and such vote shall not be counted in determining whether the applicable class has accepted or rejected such Plan of Reorganization in accordance with </w:t>
            </w:r>
            <w:r>
              <w:rPr>
                <w:rFonts w:ascii="Times New Roman" w:hAnsi="Times New Roman"/>
                <w:i/>
                <w:caps w:val="false"/>
                <w:smallCaps w:val="false"/>
                <w:sz w:val="20"/>
              </w:rPr>
              <w:t>Section</w:t>
            </w:r>
            <w:r>
              <w:rPr>
                <w:rFonts w:ascii="Times New Roman" w:hAnsi="Times New Roman"/>
                <w:caps w:val="false"/>
                <w:smallCaps w:val="false"/>
                <w:sz w:val="20"/>
              </w:rPr>
              <w:t> </w:t>
            </w:r>
            <w:r>
              <w:rPr>
                <w:rFonts w:ascii="Times New Roman" w:hAnsi="Times New Roman"/>
                <w:i/>
                <w:caps w:val="false"/>
                <w:smallCaps w:val="false"/>
                <w:sz w:val="20"/>
              </w:rPr>
              <w:t xml:space="preserve">1126(c) </w:t>
            </w:r>
            <w:r>
              <w:rPr>
                <w:rFonts w:ascii="Times New Roman" w:hAnsi="Times New Roman"/>
                <w:caps w:val="false"/>
                <w:smallCaps w:val="false"/>
                <w:sz w:val="20"/>
              </w:rPr>
              <w:t xml:space="preserve">of the Bankruptcy Code (or any similar provision in any other Debtor Relief Laws) and (III) not to contest any request by any party for a determination by the bankruptcy court (or other applicable court of competent jurisdiction) effectuating the foregoing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(II)</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Administrative Agent shall have the right, and the Borrower hereby expressly authorizes the Administrative Agent, to (A) post the list of Disqualified Institutions provided by the Borrower (the “</w:t>
            </w:r>
            <w:r>
              <w:rPr>
                <w:rFonts w:ascii="Times New Roman" w:hAnsi="Times New Roman"/>
                <w:b/>
                <w:i/>
                <w:caps w:val="false"/>
                <w:smallCaps w:val="false"/>
                <w:sz w:val="20"/>
              </w:rPr>
              <w:t>DQ List</w:t>
            </w:r>
            <w:r>
              <w:rPr>
                <w:rFonts w:ascii="Times New Roman" w:hAnsi="Times New Roman"/>
                <w:caps w:val="false"/>
                <w:smallCaps w:val="false"/>
                <w:sz w:val="20"/>
              </w:rPr>
              <w:t>”) on the Platform, including that portion of the Platform that is designated for “</w:t>
            </w:r>
            <w:r>
              <w:rPr>
                <w:rFonts w:ascii="Times New Roman" w:hAnsi="Times New Roman"/>
                <w:i/>
                <w:caps w:val="false"/>
                <w:smallCaps w:val="false"/>
                <w:sz w:val="20"/>
              </w:rPr>
              <w:t>public side</w:t>
            </w:r>
            <w:r>
              <w:rPr>
                <w:rFonts w:ascii="Times New Roman" w:hAnsi="Times New Roman"/>
                <w:caps w:val="false"/>
                <w:smallCaps w:val="false"/>
                <w:sz w:val="20"/>
              </w:rPr>
              <w:t>” Lenders or (B) provide the DQ List to each Lender requesting the same.</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170"/>
        <w:gridCol w:w="4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Certain Information; Confidentiality</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Certain Information</w:t>
            </w:r>
            <w:r>
              <w:rPr>
                <w:rFonts w:ascii="Times New Roman" w:hAnsi="Times New Roman"/>
                <w:caps w:val="false"/>
                <w:smallCaps w:val="false"/>
                <w:sz w:val="20"/>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xml:space="preserve">, to (A) any assignee of or Participant in, or any prospective assignee of or Participant in, any of its rights and obligations under this Agreement or any Eligible Assignee invited to be a Lender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2.16</w:t>
            </w:r>
            <w:r>
              <w:rPr>
                <w:rFonts w:ascii="Times New Roman" w:hAnsi="Times New Roman"/>
                <w:caps w:val="false"/>
                <w:smallCaps w:val="false"/>
                <w:sz w:val="20"/>
              </w:rPr>
              <w:t xml:space="preserve"> or (B)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prospective assignee, in reliance on this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(vi)</w:t>
            </w:r>
            <w:r>
              <w:rPr>
                <w:rFonts w:ascii="Times New Roman" w:hAnsi="Times New Roman"/>
                <w:caps w:val="false"/>
                <w:smallCaps w:val="false"/>
                <w:sz w:val="20"/>
              </w:rPr>
              <w:t xml:space="preserve">),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 Lender to deliver Borrower Materials or notices to the Lenders or (viii) the CUSIP Service Bureau or any similar agency in connection with the application, issuance, publishing and monitoring of CUSIP numbers or other market identifiers with respect to the credit facilities provided hereunder, or (ix) with the consent of the Borrower or to the extent such Information (x) becomes publicly available other than as a result of a breach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xml:space="preserve">, (xi) 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 from the Borrower or violating the terms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xml:space="preserve">. For purposes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w:t>
            </w:r>
            <w:r>
              <w:rPr>
                <w:rFonts w:ascii="Times New Roman" w:hAnsi="Times New Roman"/>
                <w:b/>
                <w:i/>
                <w:caps w:val="false"/>
                <w:smallCaps w:val="false"/>
                <w:sz w:val="20"/>
              </w:rPr>
              <w:t>Information</w:t>
            </w:r>
            <w:r>
              <w:rPr>
                <w:rFonts w:ascii="Times New Roman" w:hAnsi="Times New Roman"/>
                <w:caps w:val="false"/>
                <w:smallCaps w:val="false"/>
                <w:sz w:val="20"/>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provided that, in the case of information received from the Borrower or any Subsidiary after the Closing Date, such information is clearly identified at the time of delivery as confidential. Any Person required to maintain the confidentiality of Information as provided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11.07</w:t>
            </w:r>
            <w:r>
              <w:rPr>
                <w:rFonts w:ascii="Times New Roman" w:hAnsi="Times New Roman"/>
                <w:caps w:val="false"/>
                <w:smallCaps w:val="false"/>
                <w:sz w:val="20"/>
              </w:rPr>
              <w:t>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Non-Public Information</w:t>
            </w:r>
            <w:r>
              <w:rPr>
                <w:rFonts w:ascii="Times New Roman" w:hAnsi="Times New Roman"/>
                <w:caps w:val="false"/>
                <w:smallCaps w:val="false"/>
                <w:sz w:val="20"/>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Press Releases</w:t>
            </w:r>
            <w:r>
              <w:rPr>
                <w:rFonts w:ascii="Times New Roman" w:hAnsi="Times New Roman"/>
                <w:caps w:val="false"/>
                <w:smallCaps w:val="false"/>
                <w:sz w:val="20"/>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Customary Advertising Material</w:t>
            </w:r>
            <w:r>
              <w:rPr>
                <w:rFonts w:ascii="Times New Roman" w:hAnsi="Times New Roman"/>
                <w:caps w:val="false"/>
                <w:smallCaps w:val="false"/>
                <w:sz w:val="20"/>
              </w:rPr>
              <w:t>. The Loan Parties consent to the publication by the Administrative Agent or any Lender of customary advertising material relating to the transactions contemplated hereby using the name, product photographs, logo or trademark of the Loan Parties.</w:t>
            </w:r>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0"/>
        <w:gridCol w:w="170"/>
        <w:gridCol w:w="1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2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Right of Setoff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2.15</w:t>
      </w:r>
      <w:r>
        <w:rPr>
          <w:rFonts w:ascii="Times New Roman" w:hAnsi="Times New Roman"/>
          <w:caps w:val="false"/>
          <w:smallCaps w:val="false"/>
          <w:sz w:val="20"/>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11.08</w:t>
      </w:r>
      <w:r>
        <w:rPr>
          <w:rFonts w:ascii="Times New Roman" w:hAnsi="Times New Roman"/>
          <w:caps w:val="false"/>
          <w:smallCaps w:val="false"/>
          <w:sz w:val="20"/>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20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Rate Limitation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b/>
          <w:i/>
          <w:caps w:val="false"/>
          <w:smallCaps w:val="false"/>
          <w:sz w:val="20"/>
        </w:rPr>
        <w:t>Maximum Rate</w:t>
      </w:r>
      <w:r>
        <w:rPr>
          <w:rFonts w:ascii="Times New Roman" w:hAnsi="Times New Roman"/>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275"/>
        <w:gridCol w:w="21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21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Integration; Effectiveness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4.01</w:t>
      </w:r>
      <w:r>
        <w:rPr>
          <w:rFonts w:ascii="Times New Roman" w:hAnsi="Times New Roman"/>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 and assigns.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275"/>
        <w:gridCol w:w="37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3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Survival of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60"/>
        <w:gridCol w:w="275"/>
        <w:gridCol w:w="10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1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11.12</w:t>
      </w:r>
      <w:r>
        <w:rPr>
          <w:rFonts w:ascii="Times New Roman" w:hAnsi="Times New Roman"/>
          <w:caps w:val="false"/>
          <w:smallCaps w:val="false"/>
          <w:sz w:val="20"/>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275"/>
        <w:gridCol w:w="21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Replacement of Lenders</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the Borrower is entitled to replace a Lender pursuant to the provisions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3.06</w:t>
            </w:r>
            <w:r>
              <w:rPr>
                <w:rFonts w:ascii="Times New Roman" w:hAnsi="Times New Roman"/>
                <w:caps w:val="false"/>
                <w:smallCaps w:val="false"/>
                <w:sz w:val="20"/>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w:t>
            </w:r>
            <w:r>
              <w:rPr>
                <w:rFonts w:ascii="Times New Roman" w:hAnsi="Times New Roman"/>
                <w:caps w:val="false"/>
                <w:smallCaps w:val="false"/>
                <w:sz w:val="20"/>
              </w:rPr>
              <w:t xml:space="preserve">), all of its interests, rights (other than its existing rights to payments pursuant to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and </w:t>
            </w:r>
            <w:r>
              <w:rPr>
                <w:rFonts w:ascii="Times New Roman" w:hAnsi="Times New Roman"/>
                <w:b/>
                <w:i/>
                <w:caps w:val="false"/>
                <w:smallCaps w:val="false"/>
                <w:sz w:val="20"/>
              </w:rPr>
              <w:t>3.04</w:t>
            </w:r>
            <w:r>
              <w:rPr>
                <w:rFonts w:ascii="Times New Roman" w:hAnsi="Times New Roman"/>
                <w:caps w:val="false"/>
                <w:smallCaps w:val="false"/>
                <w:sz w:val="20"/>
              </w:rPr>
              <w:t>) and obligations under this Agreement and the related Loan Documents to an Eligible Assignee that shall assume such obligations (which assignee may be another Lender, if a Lender accepts such assignment), provided that:</w:t>
            </w:r>
          </w:p>
        </w:tc>
      </w:tr>
    </w:tbl>
    <w:tbl>
      <w:tblPr>
        <w:tblW w:w="9460" w:type="dxa"/>
        <w:jc w:val="left"/>
        <w:tblInd w:w="0" w:type="dxa"/>
        <w:tblLayout w:type="fixed"/>
        <w:tblCellMar>
          <w:top w:w="0" w:type="dxa"/>
          <w:left w:w="0" w:type="dxa"/>
          <w:bottom w:w="0" w:type="dxa"/>
          <w:right w:w="0" w:type="dxa"/>
        </w:tblCellMar>
      </w:tblPr>
      <w:tblGrid>
        <w:gridCol w:w="60"/>
        <w:gridCol w:w="125"/>
        <w:gridCol w:w="927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Borrower shall have paid to the Administrative Agent the assignment fee (if any)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3.05</w:t>
            </w:r>
            <w:r>
              <w:rPr>
                <w:rFonts w:ascii="Times New Roman" w:hAnsi="Times New Roman"/>
                <w:caps w:val="false"/>
                <w:smallCaps w:val="false"/>
                <w:sz w:val="20"/>
              </w:rPr>
              <w:t>) from the assignee (to the extent of such outstanding principal and accrued interest and fees) or the Borrower (in the case of all other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the case of any such assignment resulting from a claim for compensation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3.04</w:t>
            </w:r>
            <w:r>
              <w:rPr>
                <w:rFonts w:ascii="Times New Roman" w:hAnsi="Times New Roman"/>
                <w:caps w:val="false"/>
                <w:smallCaps w:val="false"/>
                <w:sz w:val="20"/>
              </w:rPr>
              <w:t xml:space="preserve"> or payments required to be made pursuant to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such assignment will result in a reduction in such compensation or payments thereafter;</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230"/>
        <w:gridCol w:w="49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assignment does not conflict with Applicable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case of an assignment resulting from a Lender becoming a Non-Consenting Lender, the applicable assignee shall have consented to the applicable amendment, waiver or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Lender shall not be required to make any such assignment or delegation if, prior thereto, as a result of a waiver by such Lender or otherwise, the circumstances entitling the Borrower to require such assignment and delegation cease to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party hereto agrees that (i) an assignment required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11.13</w:t>
            </w:r>
            <w:r>
              <w:rPr>
                <w:rFonts w:ascii="Times New Roman" w:hAnsi="Times New Roman"/>
                <w:caps w:val="false"/>
                <w:smallCaps w:val="false"/>
                <w:sz w:val="20"/>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hAnsi="Times New Roman"/>
                <w:i/>
                <w:caps w:val="false"/>
                <w:smallCaps w:val="false"/>
                <w:sz w:val="20"/>
              </w:rPr>
              <w:t>provided</w:t>
            </w:r>
            <w:r>
              <w:rPr>
                <w:rFonts w:ascii="Times New Roman" w:hAnsi="Times New Roman"/>
                <w:caps w:val="false"/>
                <w:smallCaps w:val="false"/>
                <w:sz w:val="20"/>
              </w:rPr>
              <w:t>,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anything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11.13</w:t>
            </w:r>
            <w:r>
              <w:rPr>
                <w:rFonts w:ascii="Times New Roman" w:hAnsi="Times New Roman"/>
                <w:caps w:val="false"/>
                <w:smallCaps w:val="false"/>
                <w:sz w:val="20"/>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9.06</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 Lender is entitled to replace a Remedial Actions Declining Lender  pursuant to the provisions of </w:t>
            </w:r>
            <w:r>
              <w:rPr>
                <w:rFonts w:ascii="Times New Roman" w:hAnsi="Times New Roman"/>
                <w:b/>
                <w:i/>
                <w:caps w:val="false"/>
                <w:smallCaps w:val="false"/>
                <w:sz w:val="20"/>
              </w:rPr>
              <w:t>Section 9.14(d)</w:t>
            </w:r>
            <w:r>
              <w:rPr>
                <w:rFonts w:ascii="Times New Roman" w:hAnsi="Times New Roman"/>
                <w:caps w:val="false"/>
                <w:smallCaps w:val="false"/>
                <w:sz w:val="20"/>
              </w:rPr>
              <w:t xml:space="preserve">, then such Lender may, at its sole expense and effort, upon notice to such Remedial Actions Declining Lender and the Administrative Agent, require such Remedial Actions Declining Lender to assign and delegate, without recourse, all of its interests, rights (other than its existing rights to payments pursuant to </w:t>
            </w:r>
            <w:r>
              <w:rPr>
                <w:rFonts w:ascii="Times New Roman" w:hAnsi="Times New Roman"/>
                <w:b/>
                <w:i/>
                <w:caps w:val="false"/>
                <w:smallCaps w:val="false"/>
                <w:sz w:val="20"/>
              </w:rPr>
              <w:t>Sections</w:t>
            </w:r>
            <w:r>
              <w:rPr>
                <w:rFonts w:ascii="Times New Roman" w:hAnsi="Times New Roman"/>
                <w:caps w:val="false"/>
                <w:smallCaps w:val="false"/>
                <w:sz w:val="20"/>
              </w:rPr>
              <w:t> </w:t>
            </w:r>
            <w:r>
              <w:rPr>
                <w:rFonts w:ascii="Times New Roman" w:hAnsi="Times New Roman"/>
                <w:b/>
                <w:i/>
                <w:caps w:val="false"/>
                <w:smallCaps w:val="false"/>
                <w:sz w:val="20"/>
              </w:rPr>
              <w:t>3.01</w:t>
            </w:r>
            <w:r>
              <w:rPr>
                <w:rFonts w:ascii="Times New Roman" w:hAnsi="Times New Roman"/>
                <w:caps w:val="false"/>
                <w:smallCaps w:val="false"/>
                <w:sz w:val="20"/>
              </w:rPr>
              <w:t> and </w:t>
            </w:r>
            <w:r>
              <w:rPr>
                <w:rFonts w:ascii="Times New Roman" w:hAnsi="Times New Roman"/>
                <w:b/>
                <w:i/>
                <w:caps w:val="false"/>
                <w:smallCaps w:val="false"/>
                <w:sz w:val="20"/>
              </w:rPr>
              <w:t>3.04</w:t>
            </w:r>
            <w:r>
              <w:rPr>
                <w:rFonts w:ascii="Times New Roman" w:hAnsi="Times New Roman"/>
                <w:caps w:val="false"/>
                <w:smallCaps w:val="false"/>
                <w:sz w:val="20"/>
              </w:rPr>
              <w:t>) and obligations under this Agreement and the related Loan Documents to such Lender that shall assume such obligations, provided that:</w:t>
            </w:r>
          </w:p>
        </w:tc>
      </w:tr>
    </w:tbl>
    <w:tbl>
      <w:tblPr>
        <w:tblW w:w="9430" w:type="dxa"/>
        <w:jc w:val="left"/>
        <w:tblInd w:w="0" w:type="dxa"/>
        <w:tblLayout w:type="fixed"/>
        <w:tblCellMar>
          <w:top w:w="0" w:type="dxa"/>
          <w:left w:w="0" w:type="dxa"/>
          <w:bottom w:w="0" w:type="dxa"/>
          <w:right w:w="0" w:type="dxa"/>
        </w:tblCellMar>
      </w:tblPr>
      <w:tblGrid>
        <w:gridCol w:w="60"/>
        <w:gridCol w:w="125"/>
        <w:gridCol w:w="92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Such Lender shall have paid to the Administrative Agent the assignment fee (if any) specified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11.06(b)</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such Remedial Actions Declining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3.05</w:t>
            </w:r>
            <w:r>
              <w:rPr>
                <w:rFonts w:ascii="Times New Roman" w:hAnsi="Times New Roman"/>
                <w:caps w:val="false"/>
                <w:smallCaps w:val="false"/>
                <w:sz w:val="20"/>
              </w:rPr>
              <w:t>) from the assignee and if such Remedial Actions Declining Lender is an L/C Issuer arrangements satisfactory to such Remedial Actions Declining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245"/>
        <w:gridCol w:w="49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assignment does not conflict with Applicable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Remedial Actions Declining Lender that acts as the Administrative Agent may not be replaced hereunder except in accordance with the terms of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9.06</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party hereto agrees that (i) an assignment required pursuant to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11.13</w:t>
      </w:r>
      <w:r>
        <w:rPr>
          <w:rFonts w:ascii="Times New Roman" w:hAnsi="Times New Roman"/>
          <w:caps w:val="false"/>
          <w:smallCaps w:val="false"/>
          <w:sz w:val="20"/>
        </w:rPr>
        <w:t xml:space="preserve"> may be effected pursuant to an Assignment and Assumption executed by the Administrative Agent and the assignee and (ii) neither the Borrower nor the Remedial Actions Declining Lender required to make such assignment need be a party thereto in order for such assignment to be effective and shall be deemed to have consented to and be bound by the terms thereof; </w:t>
      </w:r>
      <w:r>
        <w:rPr>
          <w:rFonts w:ascii="Times New Roman" w:hAnsi="Times New Roman"/>
          <w:i/>
          <w:caps w:val="false"/>
          <w:smallCaps w:val="false"/>
          <w:sz w:val="20"/>
        </w:rPr>
        <w:t>provided</w:t>
      </w:r>
      <w:r>
        <w:rPr>
          <w:rFonts w:ascii="Times New Roman" w:hAnsi="Times New Roman"/>
          <w:caps w:val="false"/>
          <w:smallCaps w:val="false"/>
          <w:sz w:val="20"/>
        </w:rPr>
        <w:t>, that, following the effectiveness of any such assignment, the other parties to such assignment agree to execute and deliver such documents necessary to evidence such assignment as reasonably requested by the Borrower and the applicable Remedial Actions Declining Lender, provided further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275"/>
        <w:gridCol w:w="29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 Jurisdiction; Etc</w:t>
            </w:r>
            <w:r>
              <w:rPr>
                <w:rFonts w:ascii="Times New Roman" w:hAnsi="Times New Roman"/>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w:t>
            </w:r>
            <w:r>
              <w:rPr>
                <w:rFonts w:ascii="Times New Roman" w:hAnsi="Times New Roman"/>
                <w:caps w:val="false"/>
                <w:smallCaps w:val="false"/>
                <w:sz w:val="20"/>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SUBMISSION TO JURISDICTION</w:t>
            </w:r>
            <w:r>
              <w:rPr>
                <w:rFonts w:ascii="Times New Roman" w:hAnsi="Times New Roman"/>
                <w:caps w:val="false"/>
                <w:smallCaps w:val="false"/>
                <w:sz w:val="20"/>
              </w:rPr>
              <w:t>.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WAIVER OF VENUE</w:t>
            </w:r>
            <w:r>
              <w:rPr>
                <w:rFonts w:ascii="Times New Roman" w:hAnsi="Times New Roman"/>
                <w:caps w:val="false"/>
                <w:smallCaps w:val="false"/>
                <w:sz w:val="20"/>
              </w:rPr>
              <w:t xml:space="preserve">.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b/>
                <w:i/>
                <w:caps w:val="false"/>
                <w:smallCaps w:val="false"/>
                <w:sz w:val="20"/>
              </w:rPr>
              <w:t>CLAUSE</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OF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11.14</w:t>
            </w:r>
            <w:r>
              <w:rPr>
                <w:rFonts w:ascii="Times New Roman" w:hAnsi="Times New Roman"/>
                <w:caps w:val="false"/>
                <w:smallCaps w:val="false"/>
                <w:sz w:val="20"/>
              </w:rPr>
              <w:t>. EACH LOAN PARTY IRREVOCABLY AND UNCONDITIONALLY WAIVES, TO THE FULLEST EXTENT PERMITTED BY APPLICABLE LAW, THE DEFENSE OF AN INCONVENIENT FORUM TO THE MAINTENANCE OF SUCH ACTION OR PROCEEDING IN ANY SUCH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SERVICE OF PROCESS</w:t>
            </w:r>
            <w:r>
              <w:rPr>
                <w:rFonts w:ascii="Times New Roman" w:hAnsi="Times New Roman"/>
                <w:caps w:val="false"/>
                <w:smallCaps w:val="false"/>
                <w:sz w:val="20"/>
              </w:rPr>
              <w:t xml:space="preserve">. EACH PARTY HERETO IRREVOCABLY CONSENTS TO SERVICE OF PROCESS IN THE MANNER PROVIDED FOR NOTICES IN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11.02</w:t>
            </w:r>
            <w:r>
              <w:rPr>
                <w:rFonts w:ascii="Times New Roman" w:hAnsi="Times New Roman"/>
                <w:caps w:val="false"/>
                <w:smallCaps w:val="false"/>
                <w:sz w:val="20"/>
              </w:rPr>
              <w:t>. NOTHING IN THIS AGREEMENT WILL AFFECT THE RIGHT OF ANY PARTY HERETO TO SERVE PROCESS IN ANY OTHER MANNER PERMITTED BY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275"/>
        <w:gridCol w:w="18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1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275"/>
        <w:gridCol w:w="12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Subordination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Loan Party (a “</w:t>
      </w:r>
      <w:r>
        <w:rPr>
          <w:rFonts w:ascii="Times New Roman" w:hAnsi="Times New Roman"/>
          <w:b/>
          <w:i/>
          <w:caps w:val="false"/>
          <w:smallCaps w:val="false"/>
          <w:sz w:val="20"/>
        </w:rPr>
        <w:t>Subordinating Loan Party</w:t>
      </w:r>
      <w:r>
        <w:rPr>
          <w:rFonts w:ascii="Times New Roman" w:hAnsi="Times New Roman"/>
          <w:caps w:val="false"/>
          <w:smallCaps w:val="false"/>
          <w:sz w:val="20"/>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event that any Loan Party receives any payment of any intercompany debt at a time when such payment is prohibited by this </w:t>
      </w:r>
      <w:r>
        <w:rPr>
          <w:rFonts w:ascii="Times New Roman" w:hAnsi="Times New Roman"/>
          <w:b/>
          <w:i/>
          <w:caps w:val="false"/>
          <w:smallCaps w:val="false"/>
          <w:sz w:val="20"/>
        </w:rPr>
        <w:t>Section</w:t>
      </w:r>
      <w:r>
        <w:rPr>
          <w:rFonts w:ascii="Times New Roman" w:hAnsi="Times New Roman"/>
          <w:caps w:val="false"/>
          <w:smallCaps w:val="false"/>
          <w:sz w:val="20"/>
        </w:rPr>
        <w:t> </w:t>
      </w:r>
      <w:r>
        <w:rPr>
          <w:rFonts w:ascii="Times New Roman" w:hAnsi="Times New Roman"/>
          <w:b/>
          <w:i/>
          <w:caps w:val="false"/>
          <w:smallCaps w:val="false"/>
          <w:sz w:val="20"/>
        </w:rPr>
        <w:t>11.16</w:t>
      </w:r>
      <w:r>
        <w:rPr>
          <w:rFonts w:ascii="Times New Roman" w:hAnsi="Times New Roman"/>
          <w:caps w:val="false"/>
          <w:smallCaps w:val="false"/>
          <w:sz w:val="20"/>
        </w:rPr>
        <w:t>, such payment shall be held by such Loan Party, in trust for the benefit of, and shall be paid forthwith over and delivered, upon written request,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275"/>
        <w:gridCol w:w="34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34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Advisory or Fiduciary Responsibility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(a)(i) the arranging and other services regarding this Agreement provided by the Administrative Agent, the Arranger and the Lenders and their respective Affiliates are arm’s-length commercial transactions between each Loan Party and its Affiliates, on the one (1) hand, and the Administrative Agent, the Arranger and the Lenders and their respective Affiliates, on the other hand, (ii) each of the Loan Parties has consulted its own legal, accounting, regulatory and tax advisors to the extent it has deemed appropriate, and (iii) each Loan Party is capable of evaluating, and understands and accepts, the terms, risks and conditions of the transactions contemplated hereby and by the other Loan Documents; (b)(i)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any Loan Party or any of its Affiliates, or any other Person and (ii) neither the Administrative Agent, the Arranger, nor any Lender nor any of their respective Affiliates has any obligation to any Loan Party or any of its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Loan Parties and their respective Affiliates, and neither the Administrative Agent, the Arranger, nor any Lender nor any of their respective Affiliates has any obligation to disclose any of such interests to any Loan Party or any of its Affiliates. To the fullest extent permitted by law, each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275"/>
        <w:gridCol w:w="47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47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Execution; Electronic Records; 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Recipient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(1) and the same Communication. For the avoidance of doubt, the authorization under this </w:t>
      </w:r>
      <w:r>
        <w:rPr>
          <w:rFonts w:ascii="Times New Roman" w:hAnsi="Times New Roman"/>
          <w:b/>
          <w:i/>
          <w:caps w:val="false"/>
          <w:smallCaps w:val="false"/>
          <w:sz w:val="20"/>
        </w:rPr>
        <w:t>paragraph</w:t>
      </w:r>
      <w:r>
        <w:rPr>
          <w:rFonts w:ascii="Times New Roman" w:hAnsi="Times New Roman"/>
          <w:caps w:val="false"/>
          <w:smallCaps w:val="false"/>
          <w:sz w:val="20"/>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Recipient Parties may, at its option, create one (1) or more copies of any Communication in the form of an imaged Electronic Record (“</w:t>
      </w:r>
      <w:r>
        <w:rPr>
          <w:rFonts w:ascii="Times New Roman" w:hAnsi="Times New Roman"/>
          <w:b/>
          <w:i/>
          <w:caps w:val="false"/>
          <w:smallCaps w:val="false"/>
          <w:sz w:val="20"/>
        </w:rPr>
        <w:t>Electronic Copy</w:t>
      </w:r>
      <w:r>
        <w:rPr>
          <w:rFonts w:ascii="Times New Roman" w:hAnsi="Times New Roman"/>
          <w:caps w:val="false"/>
          <w:smallCaps w:val="false"/>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without limiting the foregoing, (a) to the extent the Administrative Agent, L/C Issuer and/or Swingline Lender has agreed to accept such Electronic Signature, the Administrative Agent and each of the Lender Recipient Parties shall be entitled to rely on any such Electronic Signature purportedly given by or on behalf of any Loan Party and/or any Lender Recipient Party without further verification and (b) upon the request of the Administrative Agent or any Lender Recipient Party, any Electronic Signature shall be promptly followed by such manually executed counterpart.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Each of the Loan Parties and each Lender Recipient Party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Administrative Agent and each Lender Recipient Party for any liabilities arising solely from the Administrative Agent’s and/or any Lender Recipient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275"/>
        <w:gridCol w:w="19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19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USA Patriot Act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Each Lender that is subject to the Patriot Act and the Administrative Agent (for itself and not on behalf of any Lender) hereby notifies the Borrower and the other Loan Parties that pursuant to the requirements of the USA PATRIOT Act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III</w:t>
      </w:r>
      <w:r>
        <w:rPr>
          <w:rFonts w:ascii="Times New Roman" w:hAnsi="Times New Roman"/>
          <w:caps w:val="false"/>
          <w:smallCaps w:val="false"/>
          <w:sz w:val="20"/>
        </w:rPr>
        <w:t xml:space="preserve"> of Pub. L. 107-56 (signed into law October 26, 2001)) (the “</w:t>
      </w:r>
      <w:r>
        <w:rPr>
          <w:rFonts w:ascii="Times New Roman" w:hAnsi="Times New Roman"/>
          <w:b/>
          <w:i/>
          <w:caps w:val="false"/>
          <w:smallCaps w:val="false"/>
          <w:sz w:val="20"/>
        </w:rPr>
        <w:t>Patriot Act</w:t>
      </w:r>
      <w:r>
        <w:rPr>
          <w:rFonts w:ascii="Times New Roman" w:hAnsi="Times New Roman"/>
          <w:caps w:val="false"/>
          <w:smallCaps w:val="false"/>
          <w:sz w:val="20"/>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or any Lender, provide all such other documentation and information that the Administrative Agent or such Lender requests in order to comply with its ongoing obligations under applicable “</w:t>
      </w:r>
      <w:r>
        <w:rPr>
          <w:rFonts w:ascii="Times New Roman" w:hAnsi="Times New Roman"/>
          <w:i/>
          <w:caps w:val="false"/>
          <w:smallCaps w:val="false"/>
          <w:sz w:val="20"/>
        </w:rPr>
        <w:t>know your customer</w:t>
      </w:r>
      <w:r>
        <w:rPr>
          <w:rFonts w:ascii="Times New Roman" w:hAnsi="Times New Roman"/>
          <w:caps w:val="false"/>
          <w:smallCaps w:val="false"/>
          <w:sz w:val="20"/>
        </w:rPr>
        <w:t>” and anti-money laundering rules and regulations, including the Patriot Act.</w:t>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275"/>
        <w:gridCol w:w="62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w:t>
            </w:r>
          </w:p>
        </w:tc>
        <w:tc>
          <w:tcPr>
            <w:tcW w:w="62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Acknowledgement and Consent to Bail-In of Affected Financial Institutions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application of any Write-Down and Conversion Powers by the applicable Resolution Authority to any such liabilities arising hereunder which may be payable to it by any Lender or L/C Issuer that is an Affected Financial Institution; and</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effects of any Bail-In Action on any such liability, including, if applicable:</w:t>
            </w:r>
          </w:p>
        </w:tc>
      </w:tr>
    </w:tbl>
    <w:tbl>
      <w:tblPr>
        <w:tblW w:w="5440" w:type="dxa"/>
        <w:jc w:val="left"/>
        <w:tblInd w:w="0" w:type="dxa"/>
        <w:tblLayout w:type="fixed"/>
        <w:tblCellMar>
          <w:top w:w="0" w:type="dxa"/>
          <w:left w:w="0" w:type="dxa"/>
          <w:bottom w:w="0" w:type="dxa"/>
          <w:right w:w="0" w:type="dxa"/>
        </w:tblCellMar>
      </w:tblPr>
      <w:tblGrid>
        <w:gridCol w:w="60"/>
        <w:gridCol w:w="125"/>
        <w:gridCol w:w="52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reduction in full or in part or cancellation of any such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variation of the terms of such liability in connection with the exercise of the Write-Down and Conversion Powers of the applicable Resolution Authority.</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60"/>
        <w:gridCol w:w="275"/>
        <w:gridCol w:w="43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43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Acknowledgement Regarding Any Supported QFCs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To the extent that the Loan Documents provide support, through a guarantee or otherwise, for any Swap Contract or any other agreement or instrument that is a QFC (such support, “</w:t>
      </w:r>
      <w:r>
        <w:rPr>
          <w:rFonts w:ascii="Times New Roman" w:hAnsi="Times New Roman"/>
          <w:b/>
          <w:i/>
          <w:caps w:val="false"/>
          <w:smallCaps w:val="false"/>
          <w:sz w:val="20"/>
        </w:rPr>
        <w:t>QFC Credit Support</w:t>
      </w:r>
      <w:r>
        <w:rPr>
          <w:rFonts w:ascii="Times New Roman" w:hAnsi="Times New Roman"/>
          <w:caps w:val="false"/>
          <w:smallCaps w:val="false"/>
          <w:sz w:val="20"/>
        </w:rPr>
        <w:t>”, and each such QFC, a “</w:t>
      </w:r>
      <w:r>
        <w:rPr>
          <w:rFonts w:ascii="Times New Roman" w:hAnsi="Times New Roman"/>
          <w:b/>
          <w:i/>
          <w:caps w:val="false"/>
          <w:smallCaps w:val="false"/>
          <w:sz w:val="20"/>
        </w:rPr>
        <w:t>Supported QFC</w:t>
      </w:r>
      <w:r>
        <w:rPr>
          <w:rFonts w:ascii="Times New Roman" w:hAnsi="Times New Roman"/>
          <w:caps w:val="false"/>
          <w:smallCaps w:val="false"/>
          <w:sz w:val="20"/>
        </w:rPr>
        <w:t xml:space="preserve">”), the parties acknowledge and agree as follows with respect to the resolution power of the Federal Deposit Insurance Corporation under the Federal Deposit Insurance Act and </w:t>
      </w:r>
      <w:r>
        <w:rPr>
          <w:rFonts w:ascii="Times New Roman" w:hAnsi="Times New Roman"/>
          <w:i/>
          <w:caps w:val="false"/>
          <w:smallCaps w:val="false"/>
          <w:sz w:val="20"/>
        </w:rPr>
        <w:t>Title</w:t>
      </w:r>
      <w:r>
        <w:rPr>
          <w:rFonts w:ascii="Times New Roman" w:hAnsi="Times New Roman"/>
          <w:caps w:val="false"/>
          <w:smallCaps w:val="false"/>
          <w:sz w:val="20"/>
        </w:rPr>
        <w:t> </w:t>
      </w:r>
      <w:r>
        <w:rPr>
          <w:rFonts w:ascii="Times New Roman" w:hAnsi="Times New Roman"/>
          <w:i/>
          <w:caps w:val="false"/>
          <w:smallCaps w:val="false"/>
          <w:sz w:val="20"/>
        </w:rPr>
        <w:t>II</w:t>
      </w:r>
      <w:r>
        <w:rPr>
          <w:rFonts w:ascii="Times New Roman" w:hAnsi="Times New Roman"/>
          <w:caps w:val="false"/>
          <w:smallCaps w:val="false"/>
          <w:sz w:val="20"/>
        </w:rPr>
        <w:t xml:space="preserve"> of the Dodd-Frank Wall Street Reform and Consumer Protection Act (together with the regulations promulgated thereunder, the “</w:t>
      </w:r>
      <w:r>
        <w:rPr>
          <w:rFonts w:ascii="Times New Roman" w:hAnsi="Times New Roman"/>
          <w:b/>
          <w:i/>
          <w:caps w:val="false"/>
          <w:smallCaps w:val="false"/>
          <w:sz w:val="20"/>
        </w:rPr>
        <w:t>U.S. Special Resolution Regimes</w:t>
      </w:r>
      <w:r>
        <w:rPr>
          <w:rFonts w:ascii="Times New Roman" w:hAnsi="Times New Roman"/>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hAnsi="Times New Roman"/>
          <w:b/>
          <w:i/>
          <w:caps w:val="false"/>
          <w:smallCaps w:val="false"/>
          <w:sz w:val="20"/>
        </w:rPr>
        <w:t>Covered Party</w:t>
      </w:r>
      <w:r>
        <w:rPr>
          <w:rFonts w:ascii="Times New Roman" w:hAnsi="Times New Roman"/>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1" w:name="ex_844597.htm"/>
      <w:bookmarkStart w:id="42" w:name="ksex_844597"/>
      <w:bookmarkEnd w:id="41"/>
      <w:bookmarkEnd w:id="42"/>
      <w:r>
        <w:rPr>
          <w:rFonts w:ascii="Times New Roman;Times;serif" w:hAnsi="Times New Roman;Times;serif"/>
          <w:b/>
          <w:sz w:val="20"/>
        </w:rPr>
        <w:t>EXHIBIT 10.23</w:t>
      </w:r>
      <w:r>
        <w:br w:type="page"/>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TILRAY BRANDS, INC.</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445 Park Avenue</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PERSONAL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i/>
          <w:caps w:val="false"/>
          <w:smallCaps w:val="false"/>
          <w:sz w:val="20"/>
        </w:rPr>
        <w:t>Executive name</w:t>
      </w:r>
      <w:r>
        <w:rPr>
          <w:rFonts w:ascii="Times New Roman" w:hAnsi="Times New Roman"/>
          <w:caps w:val="false"/>
          <w:smallCaps w:val="false"/>
          <w:sz w:val="20"/>
        </w:rPr>
        <w: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Tilray Brands, Inc.</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445 Park Ave.</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b/>
          <w:caps w:val="false"/>
          <w:smallCaps w:val="false"/>
          <w:sz w:val="20"/>
          <w:u w:val="single"/>
        </w:rPr>
        <w:t>Incentive Payment; Retention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Dear [Executive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Reference is made to that certain FY 2026 retention payment to be made to you by Tilray Brands, Inc. (“</w:t>
      </w:r>
      <w:r>
        <w:rPr>
          <w:rFonts w:ascii="Times New Roman" w:hAnsi="Times New Roman"/>
          <w:b/>
          <w:caps w:val="false"/>
          <w:smallCaps w:val="false"/>
          <w:sz w:val="20"/>
        </w:rPr>
        <w:t>Tilray</w:t>
      </w:r>
      <w:r>
        <w:rPr>
          <w:rFonts w:ascii="Times New Roman" w:hAnsi="Times New Roman"/>
          <w:caps w:val="false"/>
          <w:smallCaps w:val="false"/>
          <w:sz w:val="20"/>
        </w:rPr>
        <w:t>”) on or about August 16, 2025, in an amount equal to $[___] (the “</w:t>
      </w:r>
      <w:r>
        <w:rPr>
          <w:rFonts w:ascii="Times New Roman" w:hAnsi="Times New Roman"/>
          <w:b/>
          <w:caps w:val="false"/>
          <w:smallCaps w:val="false"/>
          <w:sz w:val="20"/>
        </w:rPr>
        <w:t>FY 2026 Retention Bonus</w:t>
      </w:r>
      <w:r>
        <w:rPr>
          <w:rFonts w:ascii="Times New Roman" w:hAnsi="Times New Roman"/>
          <w:caps w:val="false"/>
          <w:smallCaps w:val="false"/>
          <w:sz w:val="20"/>
        </w:rPr>
        <w:t>”), less applicable tax and other withholdings.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u w:val="single"/>
        </w:rPr>
        <w:t>Repayment Obligation</w:t>
      </w:r>
      <w:r>
        <w:rPr>
          <w:rFonts w:ascii="Times New Roman" w:hAnsi="Times New Roman"/>
          <w:caps w:val="false"/>
          <w:smallCaps w:val="false"/>
          <w:sz w:val="20"/>
        </w:rPr>
        <w:t>.  By your acceptance of the FY 2026 Retention Bonus, you hereby agree that if (i) you voluntarily resign your employment with Tilray without “Good Reason” (as the same is defined in your employment agreement) prior to August 31, 2026, or (ii) you are terminated by Tilray for “Cause” (as the same is defined in your employment agreement) prior to August 31, 2026, then you shall be required to repay to Tilray the net-after tax amount of the FY 2026 Retention Bonus, pro-rated for the time employed during the repayment period (the “</w:t>
      </w:r>
      <w:r>
        <w:rPr>
          <w:rFonts w:ascii="Times New Roman" w:hAnsi="Times New Roman"/>
          <w:b/>
          <w:caps w:val="false"/>
          <w:smallCaps w:val="false"/>
          <w:sz w:val="20"/>
        </w:rPr>
        <w:t>Repayment Amount</w:t>
      </w:r>
      <w:r>
        <w:rPr>
          <w:rFonts w:ascii="Times New Roman" w:hAnsi="Times New Roman"/>
          <w:caps w:val="false"/>
          <w:smallCaps w:val="false"/>
          <w:sz w:val="20"/>
        </w:rPr>
        <w:t>”).   The Repayment Amount will be due and payable to the Company within 10 days of your last date of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u w:val="single"/>
        </w:rPr>
        <w:t>No Assignment</w:t>
      </w:r>
      <w:r>
        <w:rPr>
          <w:rFonts w:ascii="Times New Roman" w:hAnsi="Times New Roman"/>
          <w:caps w:val="false"/>
          <w:smallCaps w:val="false"/>
          <w:sz w:val="20"/>
        </w:rPr>
        <w:t>. This letter, and all of your or Tilray’s respective rights hereunder, shall not be assignable or delegable by either of us. Any purported assignment or delegation by either of us in violation of the foregoing shall be null and void </w:t>
      </w:r>
      <w:r>
        <w:rPr>
          <w:rFonts w:ascii="Times New Roman" w:hAnsi="Times New Roman"/>
          <w:i/>
          <w:caps w:val="false"/>
          <w:smallCaps w:val="false"/>
          <w:sz w:val="20"/>
        </w:rPr>
        <w:t>ab initio</w:t>
      </w:r>
      <w:r>
        <w:rPr>
          <w:rFonts w:ascii="Times New Roman" w:hAnsi="Times New Roman"/>
          <w:caps w:val="false"/>
          <w:smallCaps w:val="false"/>
          <w:sz w:val="20"/>
        </w:rPr>
        <w:t> and of no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u w:val="single"/>
        </w:rPr>
        <w:t>Successors; Binding Agreement</w:t>
      </w:r>
      <w:r>
        <w:rPr>
          <w:rFonts w:ascii="Times New Roman" w:hAnsi="Times New Roman"/>
          <w:b/>
          <w:caps w:val="false"/>
          <w:smallCaps w:val="false"/>
          <w:sz w:val="20"/>
        </w:rPr>
        <w:t>.</w:t>
      </w:r>
      <w:r>
        <w:rPr>
          <w:rFonts w:ascii="Times New Roman" w:hAnsi="Times New Roman"/>
          <w:caps w:val="false"/>
          <w:smallCaps w:val="false"/>
          <w:sz w:val="20"/>
        </w:rPr>
        <w:t> This letter shall inure to the benefit of and be binding upon personal or legal representatives, executors, administrators, successors, heirs, distributees, devisees and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u w:val="single"/>
        </w:rPr>
        <w:t>Withholding</w:t>
      </w:r>
      <w:r>
        <w:rPr>
          <w:rFonts w:ascii="Times New Roman" w:hAnsi="Times New Roman"/>
          <w:caps w:val="false"/>
          <w:smallCaps w:val="false"/>
          <w:sz w:val="20"/>
        </w:rPr>
        <w:t>. Tilray will be authorized to withhold from the FY 2026 Retention Bonus the amount of any applicable federal, state and local taxes as may be required to be withheld pursuant to any applicable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u w:val="single"/>
        </w:rPr>
        <w:t>No Right to Employment or Other Benefits</w:t>
      </w:r>
      <w:r>
        <w:rPr>
          <w:rFonts w:ascii="Times New Roman" w:hAnsi="Times New Roman"/>
          <w:caps w:val="false"/>
          <w:smallCaps w:val="false"/>
          <w:sz w:val="20"/>
        </w:rPr>
        <w:t>. This letter will not be construed as giving you the right to be retained in the employ of Tilray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u w:val="single"/>
        </w:rPr>
        <w:t>Entire Agreement</w:t>
      </w:r>
      <w:r>
        <w:rPr>
          <w:rFonts w:ascii="Times New Roman" w:hAnsi="Times New Roman"/>
          <w:caps w:val="false"/>
          <w:smallCaps w:val="false"/>
          <w:sz w:val="20"/>
        </w:rPr>
        <w:t>. This letter and the documents referenced herein constitute the entire agreement between Tilray and you concerning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u w:val="single"/>
        </w:rPr>
        <w:t>Section 409A of the Internal Revenue Code</w:t>
      </w:r>
      <w:r>
        <w:rPr>
          <w:rFonts w:ascii="Times New Roman" w:hAnsi="Times New Roman"/>
          <w:caps w:val="false"/>
          <w:smallCaps w:val="false"/>
          <w:sz w:val="20"/>
        </w:rPr>
        <w:t>. Tilray intends that this payment made pursuant to this letter be exempt from Section 409A of the Internal Revenue Code of 1986, as amended (“</w:t>
      </w:r>
      <w:r>
        <w:rPr>
          <w:rFonts w:ascii="Times New Roman" w:hAnsi="Times New Roman"/>
          <w:b/>
          <w:caps w:val="false"/>
          <w:smallCaps w:val="false"/>
          <w:sz w:val="20"/>
        </w:rPr>
        <w:t>Section 409A</w:t>
      </w:r>
      <w:r>
        <w:rPr>
          <w:rFonts w:ascii="Times New Roman" w:hAnsi="Times New Roman"/>
          <w:caps w:val="false"/>
          <w:smallCaps w:val="false"/>
          <w:sz w:val="20"/>
        </w:rPr>
        <w:t>”), under the short-term deferral exception under Treas. Reg. Section 1.409A - 1(b)(4). However, if any amount paid under this letter is determined to be “non-qualified deferred compensation” within the meaning of Section 409A, then this letter will be interpreted or reformed in the manner necessary to achieve compliance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u w:val="single"/>
        </w:rPr>
        <w:t>Governing Law; Counterparts</w:t>
      </w:r>
      <w:r>
        <w:rPr>
          <w:rFonts w:ascii="Times New Roman" w:hAnsi="Times New Roman"/>
          <w:caps w:val="false"/>
          <w:smallCaps w:val="false"/>
          <w:sz w:val="20"/>
        </w:rPr>
        <w:t>. The validity, construction, and effect of this letter will be determined in accordance with the laws of the State of New York, without reference to principles of conflict of laws. This letter may be signed in counterparts, each of which shall be an original, with the same effect as if the signatures thereto and hereto were upon the same instrument.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We look forward to your acceptance of the terms set forth herein, which you can indicate by promptly signing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Tilray Brands, Inc.</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By: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Name: [Executive name]</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3" w:name="ex_802153.htm"/>
      <w:bookmarkStart w:id="44" w:name="ksex_802153"/>
      <w:bookmarkEnd w:id="43"/>
      <w:bookmarkEnd w:id="44"/>
      <w:r>
        <w:rPr>
          <w:rFonts w:ascii="Times New Roman;Times;serif" w:hAnsi="Times New Roman;Times;serif"/>
          <w:b/>
          <w:sz w:val="20"/>
        </w:rPr>
        <w:t>EXHIBIT 19</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20" w:right="0" w:hanging="0"/>
        <w:jc w:val="center"/>
        <w:rPr>
          <w:rFonts w:ascii="Times New Roman" w:hAnsi="Times New Roman"/>
          <w:b/>
          <w:smallCaps/>
          <w:sz w:val="20"/>
        </w:rPr>
      </w:pPr>
      <w:r>
        <w:rPr>
          <w:rFonts w:ascii="Times New Roman" w:hAnsi="Times New Roman"/>
          <w:b/>
          <w:smallCaps/>
          <w:sz w:val="20"/>
        </w:rPr>
        <w:t>Tilray,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INSIDER TRADING AND TRADING WINDOW POLICY As Amended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125"/>
        <w:gridCol w:w="10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policy determines acceptable transactions in the securities of Tilray, Inc. (the “</w:t>
      </w:r>
      <w:r>
        <w:rPr>
          <w:rFonts w:ascii="Times New Roman" w:hAnsi="Times New Roman"/>
          <w:b/>
          <w:i/>
          <w:caps w:val="false"/>
          <w:smallCaps w:val="false"/>
          <w:sz w:val="20"/>
        </w:rPr>
        <w:t>Company</w:t>
      </w:r>
      <w:r>
        <w:rPr>
          <w:rFonts w:ascii="Times New Roman" w:hAnsi="Times New Roman"/>
          <w:caps w:val="false"/>
          <w:smallCaps w:val="false"/>
          <w:sz w:val="20"/>
        </w:rPr>
        <w:t>”) by our employees, directors and consultants. During the course of your employment, directorship or consultancy with the Company, you may receive important information that is not yet publicly available (“</w:t>
      </w:r>
      <w:r>
        <w:rPr>
          <w:rFonts w:ascii="Times New Roman" w:hAnsi="Times New Roman"/>
          <w:b/>
          <w:i/>
          <w:caps w:val="false"/>
          <w:smallCaps w:val="false"/>
          <w:sz w:val="20"/>
        </w:rPr>
        <w:t>inside information</w:t>
      </w:r>
      <w:r>
        <w:rPr>
          <w:rFonts w:ascii="Times New Roman" w:hAnsi="Times New Roman"/>
          <w:caps w:val="false"/>
          <w:smallCaps w:val="false"/>
          <w:sz w:val="20"/>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hAnsi="Times New Roman"/>
          <w:b/>
          <w:i/>
          <w:caps w:val="false"/>
          <w:smallCaps w:val="false"/>
          <w:sz w:val="20"/>
        </w:rPr>
        <w:t>tippee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185"/>
        <w:gridCol w:w="183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Insider Trading Policy</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200"/>
        <w:gridCol w:w="19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9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Securities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w:t>
      </w:r>
      <w:r>
        <w:rPr>
          <w:rFonts w:ascii="Times New Roman" w:hAnsi="Times New Roman"/>
          <w:b/>
          <w:caps w:val="false"/>
          <w:smallCaps w:val="false"/>
          <w:sz w:val="20"/>
        </w:rPr>
        <w:t xml:space="preserve">appearance </w:t>
      </w:r>
      <w:r>
        <w:rPr>
          <w:rFonts w:ascii="Times New Roman" w:hAnsi="Times New Roman"/>
          <w:caps w:val="false"/>
          <w:smallCaps w:val="false"/>
          <w:sz w:val="20"/>
        </w:rPr>
        <w:t xml:space="preserve">of insider trading in securities be avoided. The only exception is that transactions directly with the Company, </w:t>
      </w:r>
      <w:r>
        <w:rPr>
          <w:rFonts w:ascii="Times New Roman" w:hAnsi="Times New Roman"/>
          <w:i/>
          <w:caps w:val="false"/>
          <w:smallCaps w:val="false"/>
          <w:sz w:val="20"/>
        </w:rPr>
        <w:t xml:space="preserve">e.g., </w:t>
      </w:r>
      <w:r>
        <w:rPr>
          <w:rFonts w:ascii="Times New Roman" w:hAnsi="Times New Roman"/>
          <w:caps w:val="false"/>
          <w:smallCaps w:val="false"/>
          <w:sz w:val="20"/>
        </w:rPr>
        <w:t xml:space="preserve">option exercises for cash or purchases under the Company’s employee stock purchase plan, are permitted. However, the subsequent </w:t>
      </w:r>
      <w:r>
        <w:rPr>
          <w:rFonts w:ascii="Times New Roman" w:hAnsi="Times New Roman"/>
          <w:b/>
          <w:caps w:val="false"/>
          <w:smallCaps w:val="false"/>
          <w:sz w:val="20"/>
        </w:rPr>
        <w:t xml:space="preserve">sale </w:t>
      </w:r>
      <w:r>
        <w:rPr>
          <w:rFonts w:ascii="Times New Roman" w:hAnsi="Times New Roman"/>
          <w:caps w:val="false"/>
          <w:smallCaps w:val="false"/>
          <w:sz w:val="20"/>
        </w:rPr>
        <w:t xml:space="preserve">(including the sale of shares in a cashless exercise program) or other disposition of such stock </w:t>
      </w:r>
      <w:r>
        <w:rPr>
          <w:rFonts w:ascii="Times New Roman" w:hAnsi="Times New Roman"/>
          <w:b/>
          <w:caps w:val="false"/>
          <w:smallCaps w:val="false"/>
          <w:sz w:val="20"/>
        </w:rPr>
        <w:t xml:space="preserve">is </w:t>
      </w:r>
      <w:r>
        <w:rPr>
          <w:rFonts w:ascii="Times New Roman" w:hAnsi="Times New Roman"/>
          <w:caps w:val="false"/>
          <w:smallCaps w:val="false"/>
          <w:sz w:val="20"/>
        </w:rPr>
        <w:t>fully subject to these restrictions.</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200"/>
        <w:gridCol w:w="15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5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Inside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w:t>
      </w:r>
      <w:r>
        <w:rPr>
          <w:rFonts w:ascii="Times New Roman" w:hAnsi="Times New Roman"/>
          <w:b/>
          <w:caps w:val="false"/>
          <w:smallCaps w:val="false"/>
          <w:sz w:val="20"/>
        </w:rPr>
        <w:t xml:space="preserve">you </w:t>
      </w:r>
      <w:r>
        <w:rPr>
          <w:rFonts w:ascii="Times New Roman" w:hAnsi="Times New Roman"/>
          <w:caps w:val="false"/>
          <w:smallCaps w:val="false"/>
          <w:sz w:val="20"/>
        </w:rPr>
        <w:t>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hAnsi="Times New Roman"/>
          <w:b/>
          <w:i/>
          <w:caps w:val="false"/>
          <w:smallCaps w:val="false"/>
          <w:sz w:val="20"/>
        </w:rPr>
        <w:t>Trading</w:t>
      </w:r>
      <w:r>
        <w:rPr>
          <w:rFonts w:ascii="Times New Roman" w:hAnsi="Times New Roman"/>
          <w:caps w:val="false"/>
          <w:smallCaps w:val="false"/>
          <w:sz w:val="20"/>
        </w:rPr>
        <w:t>” includes engaging in short sales, transactions in put or call options, hedging transactions and other inherently speculative transactions.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Although by no means an all-inclusive list, information about the following items may be considered to be inside information until it is publicly disseminated:</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55"/>
        <w:gridCol w:w="233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results or forecasts;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70"/>
        <w:gridCol w:w="2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new products or processes;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55"/>
        <w:gridCol w:w="521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or dispositions of assets, divisions, companies, etc.;</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pending public or private sales of debt or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55"/>
        <w:gridCol w:w="554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declaration of stock splits, dividends or changes in dividend policy;</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25"/>
        <w:gridCol w:w="31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contract awards or cancellations;</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60"/>
        <w:gridCol w:w="170"/>
        <w:gridCol w:w="3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3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scientific, clinical or regulatory results;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top management or control changes;</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55"/>
        <w:gridCol w:w="305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possible tender offers or proxy fights;</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60"/>
        <w:gridCol w:w="170"/>
        <w:gridCol w:w="1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writeoffs;</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55"/>
        <w:gridCol w:w="17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litigation;</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275"/>
        <w:gridCol w:w="19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impending bankruptcy;</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405"/>
        <w:gridCol w:w="7475"/>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lllllllllllllllllllllllllllllllllllllll.</w:t>
            </w:r>
          </w:p>
        </w:tc>
        <w:tc>
          <w:tcPr>
            <w:tcW w:w="7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or loss of a significant license agreement or other contracts with customers or suppliers;</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5915"/>
        <w:gridCol w:w="3020"/>
      </w:tblGrid>
      <w:tr>
        <w:trPr/>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mmmmmmmmmmmmmmmmmmmmmmmmmmmmmmmmmmmmmmm.</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pricing changes or discount policies;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4160"/>
        <w:gridCol w:w="2900"/>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nnnnnnnnnnnnnnnnnnnnnnnnnnnnnnnnnnnnnnn.</w:t>
            </w:r>
          </w:p>
        </w:tc>
        <w:tc>
          <w:tcPr>
            <w:tcW w:w="2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partner relationships; and</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4160"/>
        <w:gridCol w:w="2360"/>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ooooooooooooooooooooooooooooooooooooooo.</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of issuance of patents.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245"/>
        <w:gridCol w:w="61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Trading by Officers and Directors and Other Members of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Because the officers and directors and certain members of management of the Company are the most visible to the public and are most likely, in the view of the public, to possess inside information aboutthe Company, we require them to do more than refrain from insider trading. We require that they limit theirtransactions in the Company’s stock to defined time periods following public dissemination of quarterly and annual financial results and notify and receive prior approval from both the Chief Financial Officer and the Global General Counsel, prior to engaging in transactions in the Company’s stock.</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200"/>
        <w:gridCol w:w="14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4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Covered Insiders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provisions outlined in this stock trading policy apply to all officers and directors of the</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Company. In addition, certain members of management and other employees, including any controller or member of the accounting and finance team involved in the preparation of Company financial statements, or such other individuals who are designated by the President or the Chief Financial Officer and Global General Counsel and informed of such designation, are subject to this policy because of their access to sensitive Company information. Generally, any entities or family members whose trading activities are controlled or influenced by any of such persons should be considered to be subject to the same restrictions.</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60"/>
        <w:gridCol w:w="200"/>
        <w:gridCol w:w="129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2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Window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Generally, except as set forth in this paragraphs B, C, D and F of this policy, officers and directors and other members of management may buy or sell securities of the Company only during a “</w:t>
      </w:r>
      <w:r>
        <w:rPr>
          <w:rFonts w:ascii="Times New Roman" w:hAnsi="Times New Roman"/>
          <w:b/>
          <w:i/>
          <w:caps w:val="false"/>
          <w:smallCaps w:val="false"/>
          <w:sz w:val="20"/>
        </w:rPr>
        <w:t>window period</w:t>
      </w:r>
      <w:r>
        <w:rPr>
          <w:rFonts w:ascii="Times New Roman" w:hAnsi="Times New Roman"/>
          <w:caps w:val="false"/>
          <w:smallCaps w:val="false"/>
          <w:sz w:val="20"/>
        </w:rPr>
        <w:t>” that opens after two full trading days have elapsed after the public dissemination of the Company’s annual or quarterly financial results and closes at the end of trading on the last trading day at the end of the Company’s fiscal a quarter. This window period may be closed early or may not open if, in the judgment of the Company’s President, Chief Financial Officer and Global General Counsel, there exists undisclosed information that would make trades by members of the Company’s management and directors inappropriate. It is important to note that the fact that the window period has closed early or has not opened should be considered inside information. An officer or director or other member of management who believes that special circumstances require him or her to trade outside the window period should consult with the Company’s Chief Financial Officer and Global General Counsel. Permission to trade outside the window period will be granted only where the circumstances are extenuating and there appears to be no significant risk that the trade may subsequently bequestioned.</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200"/>
        <w:gridCol w:w="24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45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Exceptions to Window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ESPP/Option Exercises. </w:t>
            </w:r>
            <w:r>
              <w:rPr>
                <w:rFonts w:ascii="Times New Roman" w:hAnsi="Times New Roman"/>
                <w:caps w:val="false"/>
                <w:smallCaps w:val="false"/>
                <w:sz w:val="20"/>
              </w:rPr>
              <w:t>Officers and other members of management who are eligible to do so may purchase stock under any Company Employee Stock Purchase Plan (“</w:t>
            </w:r>
            <w:r>
              <w:rPr>
                <w:rFonts w:ascii="Times New Roman" w:hAnsi="Times New Roman"/>
                <w:b/>
                <w:i/>
                <w:caps w:val="false"/>
                <w:smallCaps w:val="false"/>
                <w:sz w:val="20"/>
              </w:rPr>
              <w:t>ESPP</w:t>
            </w:r>
            <w:r>
              <w:rPr>
                <w:rFonts w:ascii="Times New Roman" w:hAnsi="Times New Roman"/>
                <w:caps w:val="false"/>
                <w:smallCaps w:val="false"/>
                <w:sz w:val="20"/>
              </w:rPr>
              <w:t xml:space="preserve">”) on periodic designated dates in accordance with the ESPP without restriction to any particular period. Directors and officers and other members of management may exercise options for cash granted under the Company’s stock option plans without restriction to any particular period. However, the subsequent </w:t>
            </w:r>
            <w:r>
              <w:rPr>
                <w:rFonts w:ascii="Times New Roman" w:hAnsi="Times New Roman"/>
                <w:b/>
                <w:caps w:val="false"/>
                <w:smallCaps w:val="false"/>
                <w:sz w:val="20"/>
              </w:rPr>
              <w:t xml:space="preserve">sale </w:t>
            </w:r>
            <w:r>
              <w:rPr>
                <w:rFonts w:ascii="Times New Roman" w:hAnsi="Times New Roman"/>
                <w:caps w:val="false"/>
                <w:smallCaps w:val="false"/>
                <w:sz w:val="20"/>
              </w:rPr>
              <w:t xml:space="preserve">of the stock (including sales of stock in a cashless exercise) acquired upon the exercise of options or pursuant to the ESPP </w:t>
            </w:r>
            <w:r>
              <w:rPr>
                <w:rFonts w:ascii="Times New Roman" w:hAnsi="Times New Roman"/>
                <w:b/>
                <w:caps w:val="false"/>
                <w:smallCaps w:val="false"/>
                <w:sz w:val="20"/>
              </w:rPr>
              <w:t xml:space="preserve">is </w:t>
            </w:r>
            <w:r>
              <w:rPr>
                <w:rFonts w:ascii="Times New Roman" w:hAnsi="Times New Roman"/>
                <w:caps w:val="false"/>
                <w:smallCaps w:val="false"/>
                <w:sz w:val="20"/>
              </w:rPr>
              <w:t>subject to all provisions of this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10b5-1 Automatic Trading Programs. </w:t>
            </w:r>
            <w:r>
              <w:rPr>
                <w:rFonts w:ascii="Times New Roman" w:hAnsi="Times New Roman"/>
                <w:caps w:val="false"/>
                <w:smallCaps w:val="false"/>
                <w:sz w:val="20"/>
              </w:rPr>
              <w:t>In addition, purchases or sales of the Company’s securities made pursuant to, and in compliance with, a written plan established by a director, officer or other member of management that meets the requirements of Rule 10b5-1 under the Securities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(a “</w:t>
            </w:r>
            <w:r>
              <w:rPr>
                <w:rFonts w:ascii="Times New Roman" w:hAnsi="Times New Roman"/>
                <w:b/>
                <w:i/>
                <w:caps w:val="false"/>
                <w:smallCaps w:val="false"/>
                <w:sz w:val="20"/>
              </w:rPr>
              <w:t>Trading Plan</w:t>
            </w:r>
            <w:r>
              <w:rPr>
                <w:rFonts w:ascii="Times New Roman" w:hAnsi="Times New Roman"/>
                <w:caps w:val="false"/>
                <w:smallCaps w:val="false"/>
                <w:sz w:val="20"/>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 The Company must be notified of the establishment of any such Trading Plan, any amendments to such Trading Plan and the termination of such Trading Plan. All Company persons designated as reporting persons under Section 16 of the Exchange Act by the Board of Directors are required to conduct purchases or sales pursuant to Trading Plans. All Trading Plans shall be subject to a 30-day cooling off period between the date of adoption of a Trading Plan and the date of the first transaction.</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200"/>
        <w:gridCol w:w="42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42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Pre-Clearance and Advance Notice of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requirements of paragraph B above, officers and directors and other members of management may not engage in any transaction in the Company’s securities, including any purchase or sale in the open market, loan, or other transfer of beneficial ownership without first obtaining pre- clearance of the transaction from the Company’s Chief Financial Officer and Global General Counsel (each, a “</w:t>
      </w:r>
      <w:r>
        <w:rPr>
          <w:rFonts w:ascii="Times New Roman" w:hAnsi="Times New Roman"/>
          <w:b/>
          <w:i/>
          <w:caps w:val="false"/>
          <w:smallCaps w:val="false"/>
          <w:sz w:val="20"/>
        </w:rPr>
        <w:t>Clearing Officer</w:t>
      </w:r>
      <w:r>
        <w:rPr>
          <w:rFonts w:ascii="Times New Roman" w:hAnsi="Times New Roman"/>
          <w:caps w:val="false"/>
          <w:smallCaps w:val="false"/>
          <w:sz w:val="20"/>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underSection 16(a) of the Exchange Act, if any. Pre-cleared transactions not completed within five business daysshall require new pre-clearance under the provisions of this paragraph. The Company may, at its discretion,shorten such period of time.</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0"/>
        <w:gridCol w:w="185"/>
        <w:gridCol w:w="404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40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Prohibition of Speculative or Short-term Trading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No officer, director or other members of management may engage in short sales, transactions in put or call options, hedging transactions, margin accounts, pledges or other inherently speculative transactions with respect to the Company’s stock at any time.</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455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Short-Swing Trading/Control Stock/Section 16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260"/>
        <w:gridCol w:w="279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Duration of Policy’s Applicability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00"/>
        <w:gridCol w:w="7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Chief Financial Officer and Global General Counsel.</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5" w:name="ex_802154.htm"/>
      <w:bookmarkStart w:id="46" w:name="ksex_802154"/>
      <w:bookmarkEnd w:id="45"/>
      <w:bookmarkEnd w:id="46"/>
      <w:r>
        <w:rPr>
          <w:rFonts w:ascii="Times New Roman" w:hAnsi="Times New Roman"/>
          <w:b/>
          <w:caps w:val="false"/>
          <w:smallCaps w:val="false"/>
          <w:sz w:val="20"/>
        </w:rPr>
        <w:t>Exhibit 21.1</w:t>
      </w:r>
      <w:r>
        <w:br w:type="page"/>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SUBSIDIARIES OF TILRAY BRANDS,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caps w:val="false"/>
          <w:smallCaps w:val="false"/>
        </w:rPr>
      </w:pPr>
      <w:r>
        <w:rPr>
          <w:caps w:val="false"/>
          <w:smallCaps w:val="false"/>
        </w:rPr>
        <w:t> </w:t>
      </w:r>
    </w:p>
    <w:tbl>
      <w:tblPr>
        <w:tblW w:w="9625" w:type="dxa"/>
        <w:jc w:val="left"/>
        <w:tblInd w:w="0" w:type="dxa"/>
        <w:tblLayout w:type="fixed"/>
        <w:tblCellMar>
          <w:top w:w="0" w:type="dxa"/>
          <w:left w:w="0" w:type="dxa"/>
          <w:bottom w:w="28" w:type="dxa"/>
          <w:right w:w="0" w:type="dxa"/>
        </w:tblCellMar>
      </w:tblPr>
      <w:tblGrid>
        <w:gridCol w:w="7595"/>
        <w:gridCol w:w="2030"/>
      </w:tblGrid>
      <w:tr>
        <w:trPr/>
        <w:tc>
          <w:tcPr>
            <w:tcW w:w="75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entity</w:t>
            </w:r>
          </w:p>
        </w:tc>
        <w:tc>
          <w:tcPr>
            <w:tcW w:w="203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Place of incorporation</w:t>
            </w:r>
          </w:p>
        </w:tc>
      </w:tr>
      <w:tr>
        <w:trPr/>
        <w:tc>
          <w:tcPr>
            <w:tcW w:w="7595"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10 Barrel Brewing Idaho, LLC</w:t>
            </w:r>
          </w:p>
        </w:tc>
        <w:tc>
          <w:tcPr>
            <w:tcW w:w="2030" w:type="dxa"/>
            <w:tcBorders>
              <w:top w:val="single" w:sz="2" w:space="0" w:color="000000"/>
              <w:bottom w:val="single" w:sz="2" w:space="0" w:color="000000"/>
              <w:right w:val="single" w:sz="2" w:space="0" w:color="000000"/>
            </w:tcBorders>
            <w:tcMar>
              <w:top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(US-ID)</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10 Barrel Brewing,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(US-OR)</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1197879 B.C. Ltd.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14U Pharma GMBH</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2618351 Ontario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2656751 Ontario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2787643 Ontario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48North Amalco Ltd.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48North Cannabis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5048963 Ontario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5054220 Ontario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51st Avenue Denver</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9037136 Canada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ABC Beverages Properties,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ABP S.A.</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Argentina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American Beverage Crafts Group. Inc. fka Four Twenty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American Beverage Crafts,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Diamond Inc. fka 1974568 Ontario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Germany GMBH fka Nuuvera Deutschland GMBH</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GP Holdings ULC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RX GMBH fka Deutschland GMBH</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Wellbeing GMBH</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BBI Acquisition Company</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Blue Point Brewing Company,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Brewery Lane,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Brewery,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Holding Company,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Santa Fe Drive,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Breckenridge-Wynkoop2,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 CO)</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Broken Coast Cannabis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Broken Coast Cannabis Limited Partnership</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Cannfections Group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CC Pharma GMBH</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Cheese Grits,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(US-GA)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Colcanna S.A.S</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Colombia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DelShen Therapeutics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Detriot Rivertown Brewing Company,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(US-MI)</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Dorada Ventures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Double Diamond Distillery,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FHF Holdings fka 1037270</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FL Group S.R.L.</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Italy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Fresh Hemp Foods Ltd.dba Manitoba Harvest</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Good &amp; Green Cannabis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Good &amp; Green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Hampstead International,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Barbados</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HEXO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HEXO Operations,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HEXO USA,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HiBall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Botanicals B.V.</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The Neatherlands</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Farms Ltd. fka Bouchard Ventures</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Gardens,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Holdings B.V. </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The Neatherlands</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Holdings Ltd. fka High Park Cannabis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Shops Inc. B.C. Ltd.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Latam Holdings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Liquid GR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(US-MI)</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Manitoba Harvest USA,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Marigold Projects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Jamaica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McKenzie River Brewing Company,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(US-OR)</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MMJ International Investments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Montauk Brewing Company</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Natura Naturals Holdings,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Natura Naturals, Inc.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Nuuvera Holdings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Nuuvera Israel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Israel</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Ottley Drive Corporation</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Park Brewing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(US-MI)</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PDX Mississippi Ave,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Privateer Evolution,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Revolver Brewing,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(US-TX)</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Solano Life Group, S De R.L.</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Panama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Superhero Acquisition Corp.</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Superhero Acquisition LP</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SW Brewing Company,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SweetWater Brewing Company,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(US-GA)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SweetWater Colorado Brewing Company,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Terrapin Beer Company</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(US-GA)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ABC,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Alternative Beverages,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Australia New Zealand Pty. Ltd.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Australia</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Beverages UK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United Kingdom</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Beverages,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Brands UK, Ltd. fka Tilray Wellness UK Ltd.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United Kingdom</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Deutschland GmbH fka Pining Ventures GmbH</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Fort Collins,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France SAS</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France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Holdco M,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Portugal Unipessoal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Portugal</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Services 1,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Ventures Limited</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Ireland</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Wellness,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Truss CBD USA, LLC</w:t>
            </w:r>
          </w:p>
        </w:tc>
        <w:tc>
          <w:tcPr>
            <w:tcW w:w="2030" w:type="dxa"/>
            <w:tcBorders>
              <w:bottom w:val="single" w:sz="2" w:space="0" w:color="000000"/>
              <w:right w:val="single" w:sz="2"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802155.htm"/>
      <w:bookmarkStart w:id="48" w:name="ksex_802155"/>
      <w:bookmarkEnd w:id="47"/>
      <w:bookmarkEnd w:id="48"/>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the Registration Statements on Forms S-3 (No. 333-267788 and 333-255850) and Forms S-8 (No. 333-272838, 333-266695, 333-256023, 333-238179, 333-235581, 333-231539, 333-226267, and 333-274661) of Tilray Brands, Inc. of our report dated July 28, 2025 relating to the consolidated financial statements and the effectiveness of internal control over financial reporting, which appears in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PricewaterhouseCoopers LLP</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Chartered Professional Accountants, Licensed Public Accountants</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Toronto, Canada</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9" w:name="ex_802156.htm"/>
      <w:bookmarkStart w:id="50" w:name="ksex_802156"/>
      <w:bookmarkEnd w:id="49"/>
      <w:bookmarkEnd w:id="50"/>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Irwin Simon, certify that:</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Tilray Brands,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610"/>
        <w:gridCol w:w="60"/>
        <w:gridCol w:w="320"/>
        <w:gridCol w:w="320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1" w:name="led276483F2023421683042175765"/>
            <w:bookmarkEnd w:id="51"/>
            <w:r>
              <w:rPr>
                <w:rFonts w:ascii="Times New Roman" w:hAnsi="Times New Roman"/>
                <w:caps w:val="false"/>
                <w:smallCaps w:val="false"/>
                <w:sz w:val="20"/>
              </w:rPr>
              <w:t>July 28, 2025</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Irwin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Irwin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2" w:name="ex_802157.htm"/>
      <w:bookmarkStart w:id="53" w:name="ksex_802157"/>
      <w:bookmarkEnd w:id="52"/>
      <w:bookmarkEnd w:id="53"/>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Carl Merton, certify that:</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Tilray Brands,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610"/>
        <w:gridCol w:w="60"/>
        <w:gridCol w:w="320"/>
        <w:gridCol w:w="197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4" w:name="led276483F2023421683042202696"/>
            <w:bookmarkEnd w:id="54"/>
            <w:r>
              <w:rPr>
                <w:rFonts w:ascii="Times New Roman" w:hAnsi="Times New Roman"/>
                <w:caps w:val="false"/>
                <w:smallCaps w:val="false"/>
                <w:sz w:val="20"/>
              </w:rPr>
              <w:t>July 28, 2025</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Carl Merton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Carl Merton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5" w:name="ex_802158.htm"/>
      <w:bookmarkStart w:id="56" w:name="ksex_802158"/>
      <w:bookmarkEnd w:id="55"/>
      <w:bookmarkEnd w:id="56"/>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Irwin Simon, President and Chief Executive Officer of Tilray Brands, Inc. (the “Company”), and Carl Merton, Chief Financial Officer of the Company, each hereby certifies that, to the best of his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w:t>
            </w:r>
          </w:p>
        </w:tc>
        <w:tc>
          <w:tcPr>
            <w:tcW w:w="100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Annual Report on Form 10-K for the fiscal year ended </w:t>
            </w:r>
            <w:bookmarkStart w:id="57" w:name="led276483F2023421683042229460"/>
            <w:bookmarkEnd w:id="57"/>
            <w:r>
              <w:rPr>
                <w:rFonts w:ascii="Times New Roman" w:hAnsi="Times New Roman"/>
                <w:caps w:val="false"/>
                <w:smallCaps w:val="false"/>
                <w:sz w:val="20"/>
              </w:rPr>
              <w:t>May 31, 2025, to which this Certification is attached as Exhibit 32.1 (the “Annual Report”), fully complies with the requirements of Section 13(a) or Section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w:t>
            </w:r>
          </w:p>
        </w:tc>
        <w:tc>
          <w:tcPr>
            <w:tcW w:w="10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smallCaps/>
          <w:sz w:val="20"/>
        </w:rPr>
      </w:pPr>
      <w:r>
        <w:rPr>
          <w:rFonts w:ascii="Times New Roman" w:hAnsi="Times New Roman"/>
          <w:b/>
          <w:smallCaps/>
          <w:sz w:val="20"/>
        </w:rPr>
        <w:t>In Witness Whereof</w:t>
      </w:r>
      <w:r>
        <w:rPr>
          <w:rFonts w:ascii="Times New Roman" w:hAnsi="Times New Roman"/>
          <w:smallCaps/>
          <w:sz w:val="20"/>
        </w:rPr>
        <w:t xml:space="preserve">, the undersigned have set their hands hereto as of the 28th day of July </w:t>
      </w:r>
      <w:bookmarkStart w:id="58" w:name="led276483F2023421683042242072"/>
      <w:bookmarkEnd w:id="58"/>
      <w:r>
        <w:rPr>
          <w:rFonts w:ascii="Times New Roman" w:hAnsi="Times New Roman"/>
          <w:smallCaps/>
          <w:sz w:val="20"/>
        </w:rPr>
        <w:t>2025.</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080"/>
        <w:gridCol w:w="60"/>
        <w:gridCol w:w="1880"/>
      </w:tblGrid>
      <w:tr>
        <w:trPr/>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Irwin Simon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Carl Merton</w:t>
            </w:r>
          </w:p>
        </w:tc>
      </w:tr>
      <w:tr>
        <w:trPr/>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Irwin Simon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This certification accompanies the Form 10-K to which it relates, is not deemed filed with the Securities and Exchange Commission and is not to be incorporated by reference into any filing of Tilray Brands,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9" w:name="ex_802159.htm"/>
      <w:bookmarkStart w:id="60" w:name="ksex_802159"/>
      <w:bookmarkEnd w:id="59"/>
      <w:bookmarkEnd w:id="60"/>
      <w:r>
        <w:rPr>
          <w:rFonts w:ascii="Times New Roman;Times;serif" w:hAnsi="Times New Roman;Times;serif"/>
          <w:b/>
          <w:sz w:val="20"/>
        </w:rPr>
        <w:t>EXHIBIT 97.1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TILRAY BRANDS,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POLICY FOR RECOVERY OF ERRONEOUSLY AWARDED INCENTIVE COMPENSATION</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(Effective Date of Policy: September 13, 2023)</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1.    INTRODUCTION</w:t>
        <w:br/>
        <w:t>Tilray Brands, Inc., a Delaware corporation (the “Company”), is adopting this policy (this “Policy”) to provide for the Company’s recovery of certain Incentive Compensation (as defined below) erroneously awarded to Affected Officers (as defined below) under certain circumstances. </w:t>
        <w:br/>
        <w:t>This Policy is administered by the Compensation Committee (the “Committee”) of the Company’s Board of Directors (the “Board”).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 </w:t>
        <w:br/>
        <w:t>This Policy is intended to comply with Section 10D of the Securities and Exchange Act of 1934, as amended (the “Exchange Act”), Rule 10D-1 thereunder and the applicable rules of any national securities exchange on which the Company’s securities are listed (the “Exchange”) and will be interpreted and administered consistent with that intent.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2.    EFFECTIVE DATE</w:t>
        <w:br/>
        <w:t>This Policy shall apply to all Incentive Compensation paid or awarded on or after the Effective Date of this Policy, and to the extent permitted or required by applicable law.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3.    DEFINITIONS</w:t>
        <w:br/>
        <w:t>For purposes of this Policy, the following terms shall have the meanings set forth below: </w:t>
        <w:br/>
        <w:t>“Affected Officer” means any current or former “officer” as defined in Exchange Act Rule 16a-1, and any other senior executives as determined by the Committee.</w:t>
        <w:br/>
        <w:t>“Erroneously Awarded Compensation”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br/>
        <w:t>“Financial Reporting Measure”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 </w:t>
        <w:br/>
        <w:t>“Incentive Compensation”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br/>
        <w:t>“Restatement”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4.    RECOVERY </w:t>
        <w:br/>
        <w:t>If the Company is required to prepare a Restatement, the Company shall seek to recover and claw back from any Affected Officer reasonably promptly the Erroneously Awarded Compensation that is received by the Affected Officer: </w:t>
        <w:br/>
        <w:t>(i)    after the person begins service as an Affected Officer;</w:t>
        <w:br/>
        <w:t>(ii)    who serves as an Affected Officer at any time during the performance period for that Incentive Compensation; </w:t>
        <w:br/>
        <w:t>(iii)    while the Company has a class of securities listed on the Exchange; and</w:t>
        <w:br/>
        <w:t>(iv)    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 </w:t>
        <w:b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For purposes of this Policy:</w:t>
        <w:br/>
        <w:t>•    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br/>
        <w:t>•    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 </w:t>
        <w:b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5.    SOURCES OF RECOUPMENT</w:t>
        <w:b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6.    LIMITED EXCEPTIONS TO RECOVERY</w:t>
        <w:b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br/>
        <w:t>(i)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 </w:t>
        <w:br/>
        <w:t>(ii)    Recovery would violate home country law where the law was adopted prior to November 28, 2022, and the Company provides an opinion of home country counsel to that effect to the Exchange that is acceptable to the Exchange; or</w:t>
        <w:br/>
        <w:t>(iii)    Recovery would likely cause an otherwise tax-qualified retirement plan to fail to meet the requirements of the Internal Revenue Code of 1986, as amended.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7.    NO INDEMNIFICATION OR INSURANCE</w:t>
        <w:br/>
        <w:t>The Company will not indemnify, insure or otherwise reimburse any Affected Officer against the recovery of Erroneously Awarded Compensation.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8.    NO IMPAIRMENT OF OTHER REMEDIES</w:t>
        <w:b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ptos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31348/000143774925000868/ex_761773.htm" TargetMode="External"/><Relationship Id="rId4" Type="http://schemas.openxmlformats.org/officeDocument/2006/relationships/hyperlink" Target="http://www.sec.gov/Archives/edgar/data/0001731348/000156459022000856/tlry-ex32_7.htm" TargetMode="External"/><Relationship Id="rId5" Type="http://schemas.openxmlformats.org/officeDocument/2006/relationships/hyperlink" Target="http://www.sec.gov/Archives/edgar/data/1731348/000114036121015755/nt10023917x2_ex4-1.htm" TargetMode="External"/><Relationship Id="rId6" Type="http://schemas.openxmlformats.org/officeDocument/2006/relationships/hyperlink" Target="http://www.sec.gov/Archives/edgar/data/0001731348/000114036121015755/nt10023917x2_ex4-2.htm" TargetMode="External"/><Relationship Id="rId7" Type="http://schemas.openxmlformats.org/officeDocument/2006/relationships/hyperlink" Target="http://www.sec.gov/Archives/edgar/data/1731348/000119312520075221/d836331dex41.htm" TargetMode="External"/><Relationship Id="rId8" Type="http://schemas.openxmlformats.org/officeDocument/2006/relationships/hyperlink" Target="http://www.sec.gov/Archives/edgar/data/1731348/000119312520075221/d836331dex42.htm" TargetMode="External"/><Relationship Id="rId9" Type="http://schemas.openxmlformats.org/officeDocument/2006/relationships/hyperlink" Target="http://www.sec.gov/Archives/edgar/data/1731348/000117184322000583/exh_41.htm" TargetMode="External"/><Relationship Id="rId10" Type="http://schemas.openxmlformats.org/officeDocument/2006/relationships/hyperlink" Target="http://www.sec.gov/Archives/edgar/data/1731348/000117184322000583/exh_42.htm" TargetMode="External"/><Relationship Id="rId11" Type="http://schemas.openxmlformats.org/officeDocument/2006/relationships/hyperlink" Target="http://www.sec.gov/Archives/edgar/data/1731348/000119312518214179/d545137dex102.htm" TargetMode="External"/><Relationship Id="rId12" Type="http://schemas.openxmlformats.org/officeDocument/2006/relationships/hyperlink" Target="http://www.sec.gov/Archives/edgar/data/1731348/000119312518214179/d545137dex104.htm" TargetMode="External"/><Relationship Id="rId13" Type="http://schemas.openxmlformats.org/officeDocument/2006/relationships/hyperlink" Target="http://www.sec.gov/Archives/edgar/data/1731348/000119312518214179/d545137dex105.htm" TargetMode="External"/><Relationship Id="rId14" Type="http://schemas.openxmlformats.org/officeDocument/2006/relationships/hyperlink" Target="http://www.sec.gov/Archives/edgar/data/0001731348/000156459021038648/tlry-ex1039_688.htm" TargetMode="External"/><Relationship Id="rId15" Type="http://schemas.openxmlformats.org/officeDocument/2006/relationships/hyperlink" Target="http://www.sec.gov/Archives/edgar/data/0001731348/000156459021050422/tlry-ex101_15.htm" TargetMode="External"/><Relationship Id="rId16" Type="http://schemas.openxmlformats.org/officeDocument/2006/relationships/hyperlink" Target="http://www.sec.gov/Archives/edgar/data/0001731348/000156459021050422/tlry-ex102_16.htm" TargetMode="External"/><Relationship Id="rId17" Type="http://schemas.openxmlformats.org/officeDocument/2006/relationships/hyperlink" Target="http://www.sec.gov/Archives/edgar/data/0001731348/000156459021050422/tlry-ex104_13.htm" TargetMode="External"/><Relationship Id="rId18" Type="http://schemas.openxmlformats.org/officeDocument/2006/relationships/hyperlink" Target="http://www.sec.gov/Archives/edgar/data/1731348/000156459022026894/tlry-ex1014_195.htm" TargetMode="External"/><Relationship Id="rId19" Type="http://schemas.openxmlformats.org/officeDocument/2006/relationships/hyperlink" Target="http://www.sec.gov/Archives/edgar/data/0001731348/000114036122025850/brhc10039584_ex10-7.htm" TargetMode="External"/><Relationship Id="rId20" Type="http://schemas.openxmlformats.org/officeDocument/2006/relationships/hyperlink" Target="http://www.sec.gov/Archives/edgar/data/1731348/000143774923022325/ex_548126.htm" TargetMode="External"/><Relationship Id="rId21" Type="http://schemas.openxmlformats.org/officeDocument/2006/relationships/hyperlink" Target="http://www.sec.gov/Archives/edgar/data/1731348/000143774923027331/ex_575564.htm" TargetMode="External"/><Relationship Id="rId22" Type="http://schemas.openxmlformats.org/officeDocument/2006/relationships/hyperlink" Target="http://www.sec.gov/Archives/edgar/data/1731348/000143774923027672/ex_572059.htm" TargetMode="External"/><Relationship Id="rId23" Type="http://schemas.openxmlformats.org/officeDocument/2006/relationships/hyperlink" Target="http://www.sec.gov/Archives/edgar/data/1731348/000143774924001001/ex_610740.htm" TargetMode="External"/><Relationship Id="rId24" Type="http://schemas.openxmlformats.org/officeDocument/2006/relationships/hyperlink" Target="http://www.sec.gov/Archives/edgar/data/1731348/000143774924011541/ex_637901.htm" TargetMode="External"/><Relationship Id="rId25" Type="http://schemas.openxmlformats.org/officeDocument/2006/relationships/hyperlink" Target="http://www.sec.gov/Archives/edgar/data/1731348/000114036123042396/brhc20058217_ex10-1.htm" TargetMode="External"/><Relationship Id="rId26" Type="http://schemas.openxmlformats.org/officeDocument/2006/relationships/hyperlink" Target="http://www.sec.gov/Archives/edgar/data/1731348/000143774923027331/ex_575565.htm" TargetMode="External"/><Relationship Id="rId27" Type="http://schemas.openxmlformats.org/officeDocument/2006/relationships/hyperlink" Target="http://www.sec.gov/Archives/edgar/data/1731348/000143774924001001/ex_612768.htm" TargetMode="External"/><Relationship Id="rId28" Type="http://schemas.openxmlformats.org/officeDocument/2006/relationships/hyperlink" Target="http://www.sec.gov/Archives/edgar/data/1731348/000143774924011541/ex_648284.htm" TargetMode="External"/><Relationship Id="rId29" Type="http://schemas.openxmlformats.org/officeDocument/2006/relationships/hyperlink" Target="http://www.sec.gov/Archives/edgar/data/1731348/000143774924032999/ex_741645.htm" TargetMode="External"/><Relationship Id="rId30" Type="http://schemas.openxmlformats.org/officeDocument/2006/relationships/hyperlink" Target="http://www.sec.gov/Archives/edgar/data/1731348/000143774925005242/ex_782816.htm" TargetMode="External"/><Relationship Id="rId31" Type="http://schemas.openxmlformats.org/officeDocument/2006/relationships/hyperlink" Target="http://www.sec.gov/Archives/edgar/data/1731348/000114036124026595/ny20029327x2_ex1-1.htm" TargetMode="External"/><Relationship Id="rId32" Type="http://schemas.openxmlformats.org/officeDocument/2006/relationships/hyperlink" Target="http://www.sec.gov/Archives/edgar/data/1731348/000143774924031042/ex_729202.htm" TargetMode="External"/><Relationship Id="rId33" Type="http://schemas.openxmlformats.org/officeDocument/2006/relationships/hyperlink" Target="http://www.sec.gov/Archives/edgar/data/1731348/000143774924031042/ex_729203.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176644</Words>
  <Characters>958347</Characters>
  <CharactersWithSpaces>1140200</CharactersWithSpaces>
  <Paragraphs>24491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