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FALTISCHEK DENISE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93,685</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176,163</w:t>
            </w:r>
            <w:r>
              <w:rPr>
                <w:rFonts w:ascii="Times;serif" w:hAnsi="Times;serif"/>
                <w:color w:val="008000"/>
                <w:position w:val="7"/>
                <w:sz w:val="16"/>
                <w:sz w:val="20"/>
                <w:shd w:fill="FFFFFF" w:val="clear"/>
              </w:rPr>
              <w:t>(2)(3)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49,654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126,509</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26,120</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152,629</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138,785</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281,901</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281,901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281,901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restricted stock unites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person's continued employment through the vesting date, the RSUs shall vest as follows: 50% on the 1-year anniversary of grant date, July 29, 2027 and the remaining 50% on the 2-year anniversary, July 29,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person's continuous employment through the vesting date, the 2024 LTIP RSUs shall vest in two (2) equal annual installments, commencing on July 26, 2025, and July 26, 2026, except in the case of the reporting person's earlier voluntary resignation, death or disability. In the event of a voluntary resignation by the reporting person prior to the vesting date, all RSUs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Denise M. Faltischek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590"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4786</Characters>
  <CharactersWithSpaces>5546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