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Clanachan David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(1)(2)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214,063</w:t>
            </w:r>
            <w:r>
              <w:rPr>
                <w:rFonts w:ascii="Times;serif" w:hAnsi="Times;serif"/>
                <w:color w:val="008000"/>
                <w:position w:val="7"/>
                <w:sz w:val="16"/>
                <w:sz w:val="20"/>
                <w:shd w:fill="FFFFFF" w:val="clear"/>
              </w:rPr>
              <w:t>(2)(3)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21,552</w:t>
            </w:r>
            <w:r>
              <w:rPr>
                <w:rFonts w:ascii="Times;serif" w:hAnsi="Times;serif"/>
                <w:color w:val="008000"/>
                <w:position w:val="7"/>
                <w:sz w:val="16"/>
                <w:sz w:val="20"/>
                <w:shd w:fill="FFFFFF" w:val="clear"/>
              </w:rPr>
              <w:t>(4)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192,511</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6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43,104</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29, 2026, a total of 43,104 restricted stock units ("RSUs") vested. Each RSU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 includes shares of Common Stock beneficially owned by the reporting person, but excludes other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withheld by the Company to satisfy the tax withholding obligation associated with the vesting of 43,104 LTIP RSUs previously granted on July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Merton,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5095"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4277</Characters>
  <CharactersWithSpaces>4967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