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10,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Tilray Brands,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TLRY</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10, 2025, Tilray Brands, Inc. (“Tilray”) issued a press release announcing financial results for its second quarter ended November 30, 2024. A copy of the press release is furnished herewith as Exhibit 99.1.</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Tilray, whether made before or after the date hereof, regardless of any general incorporation language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36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January 10, 2025</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700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70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9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Tilray Brands, Inc.</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39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Mitchell Gendel</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Mitchell Gendel</w:t>
            </w: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8"/>
              </w:rPr>
              <w:t>Global General Counsel</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Tilray Brands Reports Q2 2025 Financial Results</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Gross Profit Increased by 29% Year-Over-Year, Reaching $61 Million in Q2 with Growth Across All Four Business Segments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Achieved 9% Year-Over-Year Growth, Generating Record Q2 Net Revenue of $211 Million, 10% in Constant Currency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Beverage Revenue Increase by 36%, International Cannabis by 25%, Wellness Segment by 13%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Announces Project 420: A $25 Million Synergy Plan for Tilray Beverage Business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Tilray Reaffirms Fiscal Year 2025 Guidance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Conference Call to be Held at 8:30 a.m. ET Today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NEW YORK and LEAMINGTON, Ontario, Jan. 10, 2025 (GLOBE NEWSWIRE) -- Tilray Brands, Inc. (“Tilray”, “our”, “we” or the “Company”) (Nasdaq: TLRY; TSX: TLRY), a global lifestyle and consumer packaged goods company leading the forefront of beverage, cannabis and wellness industries, today reported financial results for its second quarter ended November 30, 2024. All financial information in this press release is reported in U.S. dollars, unless otherwise indicated.</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Irwin D. Simon, Chairman and Chief Executive Officer of Tilray Brands, stated, "In our fiscal second quarter, Tilray achieved strong results while making significant progress on our strategic plan. Our dedication to operational excellence has improved Gross Margins, Gross Profit, and overall profitability across our business segments, positioning us favorably for future success."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Mr. Simon stated, “As we enter the second half of the year, we remain committed to delivering on our financial guidance and driving shareholder value. Tilray is a leading force at the forefront of the beverage industry, revitalizing the beer market, driving growth in spirits and non-alcoholic beverages, and advancing the legitimacy of cannabis for both recreational and medical use. Through our brew pubs, we focus on bringing people together, creating exceptional experiences through entertainment, and enhancing lives through moments of connection. As I've said in the past, new industries are not born, they are built. To that end, we are trailblazing the future of consumer products through the infrastructure we have built. I am enthusiastic about what lies ahead, including the potential future legalization of cannabis in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Highlights – Second Quarter Fiscal Year 2025</w:t>
      </w:r>
    </w:p>
    <w:p>
      <w:pPr>
        <w:spacing w:after="0" w:line="210"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t>Net revenue increased 9% to $211 million in the second quarter compared to $194 million in the prior year quarter. On a constant currency basis, net revenue increased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Gross profit increased by 29% to $61 million in the second quarter compared to $47 million in the prior year quarter, with growth across all four business segments. Gross margin increased to 29% in the second quarter compared to 24%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Adjusted gross profit increased by 20% to $63 million in the second quarter from $52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Net loss was $(85) million in the second quarter, of which $75 million was comprised of non-cash items (including foreign exchange loss, amortization, and stock-based compensation) and $8 million, of which were one-time non-recurring costs. Adjusted net loss was $(2) million in the second quarter compared to an adjusted net loss of $(3)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Adjusted net loss per share was $(0.00) in both the second quarter and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Adjusted EBITDA in the second quarter was $9 million compared to $10 million in the prior year quarter due to the beverage segment’s SKU rationalization EBITDA impact of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Beverage alcohol net revenue increased 36% to $63 million in the second quarter compared to $47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Beverage alcohol gross margin increased to 40% in the second quarter compared to 34%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Adjusted gross margin increased to 42% in the second quarter compared to 38% in the prior year quarter.</w:t>
      </w:r>
    </w:p>
    <w:p>
      <w:pPr>
        <w:ind w:left="540"/>
        <w:spacing w:after="0" w:line="230" w:lineRule="auto"/>
        <w:rPr>
          <w:sz w:val="20"/>
          <w:szCs w:val="20"/>
          <w:color w:val="auto"/>
        </w:rPr>
      </w:pPr>
      <w:r>
        <w:rPr>
          <w:rFonts w:ascii="Times New Roman" w:cs="Times New Roman" w:eastAsia="Times New Roman" w:hAnsi="Times New Roman"/>
          <w:sz w:val="22"/>
          <w:szCs w:val="22"/>
          <w:color w:val="auto"/>
        </w:rPr>
        <w:t>Cannabis net revenue was $66 million in the second quarter compared to $67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Cannabis gross margin increased to 35% in the second quarter compared to 31% in the prior year quarter. Adjusted gross margin was 35% in both the second quarter and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Distribution net revenue was $68 million in the second quarter compared to $67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Distribution gross margin increased to 12% in the second quarter compared to 11% in the prior year quarter.</w:t>
      </w:r>
    </w:p>
    <w:p>
      <w:pPr>
        <w:ind w:left="540"/>
        <w:spacing w:after="0"/>
        <w:rPr>
          <w:sz w:val="20"/>
          <w:szCs w:val="20"/>
          <w:color w:val="auto"/>
        </w:rPr>
      </w:pPr>
      <w:r>
        <w:rPr>
          <w:rFonts w:ascii="Times New Roman" w:cs="Times New Roman" w:eastAsia="Times New Roman" w:hAnsi="Times New Roman"/>
          <w:sz w:val="21"/>
          <w:szCs w:val="21"/>
          <w:color w:val="auto"/>
        </w:rPr>
        <w:t>Wellness net revenue increased 13% to $15 million in second the quarter compared to $13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080" w:firstLine="1080"/>
        <w:spacing w:after="0" w:line="424" w:lineRule="auto"/>
        <w:rPr>
          <w:sz w:val="20"/>
          <w:szCs w:val="20"/>
          <w:color w:val="auto"/>
        </w:rPr>
      </w:pPr>
      <w:r>
        <w:rPr>
          <w:rFonts w:ascii="Times New Roman" w:cs="Times New Roman" w:eastAsia="Times New Roman" w:hAnsi="Times New Roman"/>
          <w:sz w:val="22"/>
          <w:szCs w:val="22"/>
          <w:color w:val="auto"/>
        </w:rPr>
        <w:t xml:space="preserve">Wellness gross margin increased to 31% in the second quarter compared to 29% in the prior year quarter. </w:t>
      </w:r>
      <w:r>
        <w:rPr>
          <w:rFonts w:ascii="Times New Roman" w:cs="Times New Roman" w:eastAsia="Times New Roman" w:hAnsi="Times New Roman"/>
          <w:sz w:val="22"/>
          <w:szCs w:val="22"/>
          <w:b w:val="1"/>
          <w:bCs w:val="1"/>
          <w:u w:val="single" w:color="auto"/>
          <w:color w:val="auto"/>
        </w:rPr>
        <w:t>Tilray Beverages, Project 420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-517525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In December 2020, we entered the beverage category with the acquisition of SweetWater Brewing Company, one of the largest independent craft brewers in the U.S. by volume, with the vision of creating a larger and more diversified global lifestyle consumer products company.</w:t>
      </w:r>
    </w:p>
    <w:p>
      <w:pPr>
        <w:sectPr>
          <w:pgSz w:w="11900" w:h="16838" w:orient="portrait"/>
          <w:cols w:equalWidth="0" w:num="1">
            <w:col w:w="11240"/>
          </w:cols>
          <w:pgMar w:left="320" w:top="108" w:right="339" w:bottom="162" w:gutter="0" w:footer="0" w:header="0"/>
        </w:sectPr>
      </w:pPr>
    </w:p>
    <w:bookmarkStart w:id="4" w:name="page5"/>
    <w:bookmarkEnd w:id="4"/>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Craft Acquisition I and Craft Acquisition II, we capitalized on opportunities to acquire additional beverage businesses that consisted of strong brands in decline and in need of investment in order to promote growth. To support the growth of these acquired brands and establish a clear path to profitability, we implemented Project 420, which is a comprehensive plan through which we expect to achieve our $25 million synergy plan based on the following initiatives:</w:t>
      </w:r>
    </w:p>
    <w:p>
      <w:pPr>
        <w:spacing w:after="0" w:line="176" w:lineRule="exact"/>
        <w:rPr>
          <w:sz w:val="20"/>
          <w:szCs w:val="20"/>
          <w:color w:val="auto"/>
        </w:rPr>
      </w:pPr>
    </w:p>
    <w:p>
      <w:pPr>
        <w:jc w:val="both"/>
        <w:ind w:left="5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Operational optimization: </w:t>
      </w:r>
      <w:r>
        <w:rPr>
          <w:rFonts w:ascii="Times New Roman" w:cs="Times New Roman" w:eastAsia="Times New Roman" w:hAnsi="Times New Roman"/>
          <w:sz w:val="22"/>
          <w:szCs w:val="22"/>
          <w:color w:val="auto"/>
        </w:rPr>
        <w:t>As we increase our operational footprint, the optimization of those facilities has been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 Accordingly, we continuously evaluate our beverage operational footprint and have identified redundancies in our manufacturing and warehousing assets. By integrating our operations, we are obtaining better utilization of our facilities, decreasing the amount of excess capacity and gaining efficiencies through improved fixed cost absorption.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Cost savings, cost avoidance and synergies: </w:t>
      </w:r>
      <w:r>
        <w:rPr>
          <w:rFonts w:ascii="Times New Roman" w:cs="Times New Roman" w:eastAsia="Times New Roman" w:hAnsi="Times New Roman"/>
          <w:sz w:val="22"/>
          <w:szCs w:val="22"/>
          <w:color w:val="auto"/>
        </w:rPr>
        <w:t>Our focus on cost savings, synergies and cost avoidance across our beverage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segment has identified and, we are continuing to identify, the elimination of duplicative fixed costs, procurement, distribution and back-office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Portfolio optimization/SKU Rationalization: </w:t>
      </w:r>
      <w:r>
        <w:rPr>
          <w:rFonts w:ascii="Times New Roman" w:cs="Times New Roman" w:eastAsia="Times New Roman" w:hAnsi="Times New Roman"/>
          <w:sz w:val="22"/>
          <w:szCs w:val="22"/>
          <w:color w:val="auto"/>
        </w:rPr>
        <w:t>Today, our Beverage segment consists of an expansive portfolio comprised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over 20 beverage brands in different categories consisting of craft beer, spirits and non-alcoholic options. In response to the declining growth in the craft beer industry and consolidation of distributors, we worked with our distributors in various markets to streamline our portfolio to eliminate duplicative and slower growth products, which had the immediate effect of reducing revenue. However, by eliminating these slower growing SKUs, we are able to focus our attention and resources on our higher growth SKUs and the introduction of new innovation, which we expect will accelerate our revenue growth in future quarters. Going forward, we will continue to manage SKU performance within our portfolio on a “one in and one out basis” to maximize SKU productivity. In addition, in connection with our strategic review with the Boston Consulting Group, we are executing against our “regional jewel” strategy, which resulted in our decision to delist certain SKUs in certain geographies that were not considered key markets for those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-1502410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4" w:lineRule="exact"/>
        <w:rPr>
          <w:sz w:val="20"/>
          <w:szCs w:val="20"/>
          <w:color w:val="auto"/>
        </w:rPr>
      </w:pPr>
    </w:p>
    <w:p>
      <w:pPr>
        <w:jc w:val="both"/>
        <w:ind w:left="540"/>
        <w:spacing w:after="0" w:line="233" w:lineRule="auto"/>
        <w:rPr>
          <w:sz w:val="20"/>
          <w:szCs w:val="20"/>
          <w:color w:val="auto"/>
        </w:rPr>
      </w:pPr>
      <w:r>
        <w:rPr>
          <w:rFonts w:ascii="Times New Roman" w:cs="Times New Roman" w:eastAsia="Times New Roman" w:hAnsi="Times New Roman"/>
          <w:sz w:val="22"/>
          <w:szCs w:val="22"/>
          <w:color w:val="auto"/>
        </w:rPr>
        <w:t>For the six months ended November 30, 2024, our prioritization of certain products in key markets resulted in a reduction in net sales of approximately $6.0 million. Additionally, our decision to discontinue certain SKUs due to market conditions led to an additional reduction in net sales of $2.0 million. For the fiscal year ended May 31, 2025, it is anticipated that the cumulative impact of these initiatives will result in a reduction of approximately $20.0 million in net sales, which we believe will be offset by the growth of our new product innovation, including in new beverage categories, and brand extensions over the next 18 months. 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 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spacing w:after="0" w:line="183" w:lineRule="exact"/>
        <w:rPr>
          <w:sz w:val="20"/>
          <w:szCs w:val="20"/>
          <w:color w:val="auto"/>
        </w:rPr>
      </w:pPr>
    </w:p>
    <w:p>
      <w:pPr>
        <w:ind w:left="540" w:right="1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Brand &amp; Business investment: </w:t>
      </w:r>
      <w:r>
        <w:rPr>
          <w:rFonts w:ascii="Times New Roman" w:cs="Times New Roman" w:eastAsia="Times New Roman" w:hAnsi="Times New Roman"/>
          <w:sz w:val="22"/>
          <w:szCs w:val="22"/>
          <w:color w:val="auto"/>
        </w:rPr>
        <w:t>We have been and are continuing to increase our investment in the marketing, promotion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infrastructure of our recently acquired brands in order to reestablish their dominance in their core markets. Our intention is to fund this investment through the cost savings and synergies achieved through Project 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the end of the second quarter ended November 30, 2024, we achieved $17 million of the $25 million synergy plan. However, these savings are not completely offsetting our investment at this time. As a result, our Adjusted EBITDA for the three and six months ended November 30, 2024 was lower by $1.8 million and $3.2 million, respectively, as a result of our SKU rationalization. Our operating cash flow in the quarter was also lower due to these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Company's Fiscal Year 2025 Guidance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reaffirms its fiscal year 2025 guidance of anticipated net revenues between $950 million and $1 billion.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Live Conference Call and Audio Webcast</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Tilray Brands will host a webcast to discuss these results today at 8:30 a.m. ET. Investors may join the live webcast available on the Investors section of the Company’s website at www.tilray.com. A replay will be available and archived on the Company’s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Tilray Brands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 Tilray’s unprecedented platform supports over 40 brands in over 20 countries, including comprehensive cannabis offerings, hemp-based foods, and craft beverages.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how we are elevating lives through moments of connection, visit Tilray.com and follow @Tilray on all social platforms.</w:t>
      </w:r>
    </w:p>
    <w:p>
      <w:pPr>
        <w:sectPr>
          <w:pgSz w:w="11900" w:h="16867" w:orient="portrait"/>
          <w:cols w:equalWidth="0" w:num="1">
            <w:col w:w="11240"/>
          </w:cols>
          <w:pgMar w:left="320" w:top="112" w:right="339" w:bottom="0" w:gutter="0" w:footer="0" w:header="0"/>
        </w:sectPr>
      </w:pPr>
    </w:p>
    <w:bookmarkStart w:id="5" w:name="page6"/>
    <w:bookmarkEnd w:id="5"/>
    <w:p>
      <w:pPr>
        <w:spacing w:after="0" w:line="69" w:lineRule="exact"/>
        <w:rPr>
          <w:sz w:val="20"/>
          <w:szCs w:val="20"/>
          <w:color w:val="auto"/>
        </w:rPr>
      </w:pPr>
    </w:p>
    <w:p>
      <w:pPr>
        <w:ind w:right="4120"/>
        <w:spacing w:after="0" w:line="435" w:lineRule="auto"/>
        <w:rPr>
          <w:sz w:val="20"/>
          <w:szCs w:val="20"/>
          <w:color w:val="auto"/>
        </w:rPr>
      </w:pPr>
      <w:r>
        <w:rPr>
          <w:rFonts w:ascii="Times New Roman" w:cs="Times New Roman" w:eastAsia="Times New Roman" w:hAnsi="Times New Roman"/>
          <w:sz w:val="22"/>
          <w:szCs w:val="22"/>
          <w:color w:val="auto"/>
        </w:rPr>
        <w:t xml:space="preserve">For more information on Tilray Brands, visit </w:t>
      </w:r>
      <w:r>
        <w:rPr>
          <w:rFonts w:ascii="Times New Roman" w:cs="Times New Roman" w:eastAsia="Times New Roman" w:hAnsi="Times New Roman"/>
          <w:sz w:val="22"/>
          <w:szCs w:val="22"/>
          <w:u w:val="single" w:color="auto"/>
          <w:color w:val="auto"/>
        </w:rPr>
        <w:t>www.Tilray.com</w:t>
      </w:r>
      <w:r>
        <w:rPr>
          <w:rFonts w:ascii="Times New Roman" w:cs="Times New Roman" w:eastAsia="Times New Roman" w:hAnsi="Times New Roman"/>
          <w:sz w:val="22"/>
          <w:szCs w:val="22"/>
          <w:color w:val="auto"/>
        </w:rPr>
        <w:t xml:space="preserve"> and follow @Tilray </w:t>
      </w:r>
      <w:r>
        <w:rPr>
          <w:rFonts w:ascii="Times New Roman" w:cs="Times New Roman" w:eastAsia="Times New Roman" w:hAnsi="Times New Roman"/>
          <w:sz w:val="22"/>
          <w:szCs w:val="22"/>
          <w:b w:val="1"/>
          <w:bCs w:val="1"/>
          <w:u w:val="single" w:color="auto"/>
          <w:color w:val="auto"/>
        </w:rPr>
        <w:t>Cautionary Statement Concerning Forward-Looking Statements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Forward-looking statements include statements regarding our intentions, beliefs, projections, outlook, analyses or current expectations concerning, among other things: the Company’s ability to transform the CPG industry for cannabis, hemp, beverages and entertainment;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achieve its FY 2025 guidance of net revenues between $950 million and $1 billion; the Company’s ability to successfully achieve revenue growth, margin and profitability improvements, production and supply chain efficiencies, synergies and cost savings; the Company’s expected revenue growth, sales volume, profitability, synergies and accretion related to any of its acquisitions; expected commercial opportunities and regulatory developments in the U.S., including upon U.S. federal cannabis legalization or rescheduling; the Company’s anticipated investments and acquisitions, including in organic and strategic growth, partnership efforts, product offerings and other initiatives; the Company’s ability to commercialize new and innovative products; market opportunities and regulatory risks for Hemp-Derived Delta-9 (HDD9) beverage products, and expected sales, distribution, margin, price and revenue generation projections; consumer sentiment regarding HDD9 beverage products; and Tilray’s strategy and anticipated offerings within the HDD9 beverage product segment.</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Risks and uncertainties that may cause actual results to differ materially from forward-looking statements include, but are not limited to, those identified and described in our most recent Annual Report on Form 10-K as well as our other filings made from time to time with the SEC and in our Canadian securities filings.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Use of Non-U.S. GAAP Financial Measures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net income (loss), Adjusted net income (loss) per share, free cash flow, adjusted free cash flow, constant currency presentations of revenue and cash and marketable securities.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foreign exchange movements and other items. The unavailable information could have a significant impact on the Company's GAAP financial results.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w:t>
      </w:r>
    </w:p>
    <w:p>
      <w:pPr>
        <w:sectPr>
          <w:pgSz w:w="11900" w:h="16908" w:orient="portrait"/>
          <w:cols w:equalWidth="0" w:num="1">
            <w:col w:w="11240"/>
          </w:cols>
          <w:pgMar w:left="320" w:top="111" w:right="339" w:bottom="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22"/>
          <w:szCs w:val="22"/>
          <w:color w:val="auto"/>
        </w:rPr>
        <w:t>reconciliation of prior year revenue to constant currency revenue the most directly comparable GAAP measure, has been provided in the financial statement tables included above in this press release.</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Adjusted EBITDA is calculated as net income (loss) before income tax benefits, net; interest expense, net; non-operating income (expense), net; amortization; stock-based compensation; change in fair value of contingent consideration; purchase price accounting step-up; facility start-up and closure costs; litigation costs; restructuring costs, and transaction (income) costs, net. A reconciliation of Adjusted EBITDA to net loss, the most directly comparable GAAP measure, has been provided in the financial statement tables included below in this press release.</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Adjusted net income (loss) is calculated as net loss attributable to stockholders of Tilray Brands, Inc., less; non-operating income (expense), net; amortization; stock-based compensation; change in fair value of contingent consideration; facility start-up and closure costs;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Adjusted net income (loss) per share is calculated as net loss attributable to stockholders of Tilray Brands, Inc., net; non-operating income (expense), net; amortization; stock-based compensation; change in fair value of contingent consideration; facility start-up and closure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our integration costs related to HEXO and the cash income taxes related to Aphria Diamond to align with management’s prescribed guidance. A reconciliation of net cash flow provided by (used in) operating activities to adjusted free cash flow, the most directly comparable GAAP measure, has been provided in the financial statement tables included above in this press release.</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 news@tilray.com</w:t>
      </w:r>
    </w:p>
    <w:p>
      <w:pPr>
        <w:spacing w:after="0"/>
        <w:rPr>
          <w:sz w:val="20"/>
          <w:szCs w:val="20"/>
          <w:color w:val="auto"/>
        </w:rPr>
      </w:pPr>
      <w:r>
        <w:rPr>
          <w:rFonts w:ascii="Times New Roman" w:cs="Times New Roman" w:eastAsia="Times New Roman" w:hAnsi="Times New Roman"/>
          <w:sz w:val="22"/>
          <w:szCs w:val="22"/>
          <w:color w:val="auto"/>
        </w:rPr>
        <w:t>Investor Contact: investors@tilray.com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w:t>
            </w:r>
          </w:p>
        </w:tc>
        <w:tc>
          <w:tcPr>
            <w:tcW w:w="180" w:type="dxa"/>
            <w:vAlign w:val="bottom"/>
          </w:tcPr>
          <w:p>
            <w:pPr>
              <w:spacing w:after="0"/>
              <w:rPr>
                <w:sz w:val="24"/>
                <w:szCs w:val="24"/>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280" w:type="dxa"/>
            <w:vAlign w:val="bottom"/>
          </w:tcPr>
          <w:p>
            <w:pPr>
              <w:spacing w:after="0"/>
              <w:rPr>
                <w:sz w:val="24"/>
                <w:szCs w:val="24"/>
                <w:color w:val="auto"/>
              </w:rPr>
            </w:pPr>
          </w:p>
        </w:tc>
        <w:tc>
          <w:tcPr>
            <w:tcW w:w="140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May 31,</w:t>
            </w:r>
          </w:p>
        </w:tc>
        <w:tc>
          <w:tcPr>
            <w:tcW w:w="0" w:type="dxa"/>
            <w:vAlign w:val="bottom"/>
          </w:tcPr>
          <w:p>
            <w:pPr>
              <w:spacing w:after="0"/>
              <w:rPr>
                <w:sz w:val="1"/>
                <w:szCs w:val="1"/>
                <w:color w:val="auto"/>
              </w:rPr>
            </w:pPr>
          </w:p>
        </w:tc>
      </w:tr>
      <w:tr>
        <w:trPr>
          <w:trHeight w:val="254"/>
        </w:trPr>
        <w:tc>
          <w:tcPr>
            <w:tcW w:w="7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47"/>
        </w:trPr>
        <w:tc>
          <w:tcPr>
            <w:tcW w:w="762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Assets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189,698</w:t>
            </w:r>
          </w:p>
        </w:tc>
        <w:tc>
          <w:tcPr>
            <w:tcW w:w="2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228,340</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Marketable securities</w:t>
            </w: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62,551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32,182</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net</w:t>
            </w: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112,739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101,695</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266,007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252,087</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44,861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31,332</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Assets held for sale</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31,483</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32,074</w:t>
            </w:r>
          </w:p>
        </w:tc>
        <w:tc>
          <w:tcPr>
            <w:tcW w:w="0" w:type="dxa"/>
            <w:vAlign w:val="bottom"/>
          </w:tcPr>
          <w:p>
            <w:pPr>
              <w:spacing w:after="0"/>
              <w:rPr>
                <w:sz w:val="1"/>
                <w:szCs w:val="1"/>
                <w:color w:val="auto"/>
              </w:rPr>
            </w:pPr>
          </w:p>
        </w:tc>
      </w:tr>
      <w:tr>
        <w:trPr>
          <w:trHeight w:val="251"/>
        </w:trPr>
        <w:tc>
          <w:tcPr>
            <w:tcW w:w="762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Total current assets</w:t>
            </w:r>
          </w:p>
        </w:tc>
        <w:tc>
          <w:tcPr>
            <w:tcW w:w="180" w:type="dxa"/>
            <w:vAlign w:val="bottom"/>
          </w:tcPr>
          <w:p>
            <w:pPr>
              <w:spacing w:after="0"/>
              <w:rPr>
                <w:sz w:val="21"/>
                <w:szCs w:val="21"/>
                <w:color w:val="auto"/>
              </w:rPr>
            </w:pPr>
          </w:p>
        </w:tc>
        <w:tc>
          <w:tcPr>
            <w:tcW w:w="15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707,339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677,710</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 assets</w:t>
            </w:r>
          </w:p>
        </w:tc>
        <w:tc>
          <w:tcPr>
            <w:tcW w:w="18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554,419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558,247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18,243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16,101</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Intangible assets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866,645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915,469</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Goodwill</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2,000,595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2,008,884</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investments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7,416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7,859</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notes receivable</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32,000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32,000</w:t>
            </w:r>
          </w:p>
        </w:tc>
        <w:tc>
          <w:tcPr>
            <w:tcW w:w="0" w:type="dxa"/>
            <w:vAlign w:val="bottom"/>
          </w:tcPr>
          <w:p>
            <w:pPr>
              <w:spacing w:after="0"/>
              <w:rPr>
                <w:sz w:val="1"/>
                <w:szCs w:val="1"/>
                <w:color w:val="auto"/>
              </w:rPr>
            </w:pPr>
          </w:p>
        </w:tc>
      </w:tr>
      <w:tr>
        <w:trPr>
          <w:trHeight w:val="283"/>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assets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5,097</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5,395</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4,191,754</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76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Bank indebtedness</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17,751</w:t>
            </w:r>
          </w:p>
        </w:tc>
        <w:tc>
          <w:tcPr>
            <w:tcW w:w="2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18,033</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221,668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241,957</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Contingent consideration</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15,000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Warrant liability</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1,695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3,253</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lease liabilities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6,572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5,091</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long-term debt</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15,838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15,506</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convertible debentures payable</w:t>
            </w:r>
          </w:p>
        </w:tc>
        <w:tc>
          <w:tcPr>
            <w:tcW w:w="4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0" w:type="dxa"/>
            <w:vAlign w:val="bottom"/>
          </w:tcPr>
          <w:p>
            <w:pPr>
              <w:spacing w:after="0"/>
              <w:rPr>
                <w:sz w:val="1"/>
                <w:szCs w:val="1"/>
                <w:color w:val="auto"/>
              </w:rPr>
            </w:pPr>
          </w:p>
        </w:tc>
      </w:tr>
      <w:tr>
        <w:trPr>
          <w:trHeight w:val="247"/>
        </w:trPr>
        <w:tc>
          <w:tcPr>
            <w:tcW w:w="762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278,524</w:t>
            </w:r>
          </w:p>
        </w:tc>
        <w:tc>
          <w:tcPr>
            <w:tcW w:w="2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line="247" w:lineRule="exact"/>
              <w:rPr>
                <w:sz w:val="20"/>
                <w:szCs w:val="20"/>
                <w:color w:val="auto"/>
              </w:rPr>
            </w:pPr>
            <w:r>
              <w:rPr>
                <w:rFonts w:ascii="Times New Roman" w:cs="Times New Roman" w:eastAsia="Times New Roman" w:hAnsi="Times New Roman"/>
                <w:sz w:val="22"/>
                <w:szCs w:val="22"/>
                <w:color w:val="auto"/>
              </w:rPr>
              <w:t>299,170</w:t>
            </w: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Long - term liabilities</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Lease liabilities</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62,024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60,422</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debt</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148,871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158,352</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debentures payable</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122,735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129,583</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125,975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130,870</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liabilities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0" w:type="dxa"/>
            <w:vAlign w:val="bottom"/>
          </w:tcPr>
          <w:p>
            <w:pPr>
              <w:spacing w:after="0"/>
              <w:rPr>
                <w:sz w:val="1"/>
                <w:szCs w:val="1"/>
                <w:color w:val="auto"/>
              </w:rPr>
            </w:pPr>
          </w:p>
        </w:tc>
      </w:tr>
      <w:tr>
        <w:trPr>
          <w:trHeight w:val="247"/>
        </w:trPr>
        <w:tc>
          <w:tcPr>
            <w:tcW w:w="762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liabilities</w:t>
            </w:r>
          </w:p>
        </w:tc>
        <w:tc>
          <w:tcPr>
            <w:tcW w:w="400" w:type="dxa"/>
            <w:vAlign w:val="bottom"/>
          </w:tcPr>
          <w:p>
            <w:pPr>
              <w:spacing w:after="0"/>
              <w:rPr>
                <w:sz w:val="21"/>
                <w:szCs w:val="21"/>
                <w:color w:val="auto"/>
              </w:rPr>
            </w:pPr>
          </w:p>
        </w:tc>
        <w:tc>
          <w:tcPr>
            <w:tcW w:w="130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738,146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778,487</w:t>
            </w:r>
          </w:p>
        </w:tc>
        <w:tc>
          <w:tcPr>
            <w:tcW w:w="0" w:type="dxa"/>
            <w:vAlign w:val="bottom"/>
          </w:tcPr>
          <w:p>
            <w:pPr>
              <w:spacing w:after="0"/>
              <w:rPr>
                <w:sz w:val="1"/>
                <w:szCs w:val="1"/>
                <w:color w:val="auto"/>
              </w:rPr>
            </w:pPr>
          </w:p>
        </w:tc>
      </w:tr>
      <w:tr>
        <w:trPr>
          <w:trHeight w:val="274"/>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Stockholders' equity</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 ($0.0001 par value; 1,198,000,000 common shares authorized;</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929,257,945 and 831,925,373 common shares issued and outstanding, respectively)</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Preferred shares ($0.0001 par value; 10,000,000 preferred shares authorized; nil</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and nil preferred shares issued and outstanding, respectively)</w:t>
            </w:r>
          </w:p>
        </w:tc>
        <w:tc>
          <w:tcPr>
            <w:tcW w:w="400" w:type="dxa"/>
            <w:vAlign w:val="bottom"/>
          </w:tcPr>
          <w:p>
            <w:pPr>
              <w:spacing w:after="0"/>
              <w:rPr>
                <w:sz w:val="23"/>
                <w:szCs w:val="23"/>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Treasury Stock (3,682,609 and nil treasury shares issued and outstanding,</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respectively)</w:t>
            </w:r>
          </w:p>
        </w:tc>
        <w:tc>
          <w:tcPr>
            <w:tcW w:w="400" w:type="dxa"/>
            <w:vAlign w:val="bottom"/>
          </w:tcPr>
          <w:p>
            <w:pPr>
              <w:spacing w:after="0"/>
              <w:rPr>
                <w:sz w:val="23"/>
                <w:szCs w:val="23"/>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6,305,787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6,146,810</w:t>
            </w:r>
          </w:p>
        </w:tc>
        <w:tc>
          <w:tcPr>
            <w:tcW w:w="0" w:type="dxa"/>
            <w:vAlign w:val="bottom"/>
          </w:tcPr>
          <w:p>
            <w:pPr>
              <w:spacing w:after="0"/>
              <w:rPr>
                <w:sz w:val="1"/>
                <w:szCs w:val="1"/>
                <w:color w:val="auto"/>
              </w:rPr>
            </w:pPr>
          </w:p>
        </w:tc>
      </w:tr>
      <w:tr>
        <w:trPr>
          <w:trHeight w:val="270"/>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(47,957)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(43,499)</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deficit</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(2,784,995)</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(2,660,488)</w:t>
            </w:r>
          </w:p>
        </w:tc>
        <w:tc>
          <w:tcPr>
            <w:tcW w:w="0" w:type="dxa"/>
            <w:vAlign w:val="bottom"/>
          </w:tcPr>
          <w:p>
            <w:pPr>
              <w:spacing w:after="0"/>
              <w:rPr>
                <w:sz w:val="1"/>
                <w:szCs w:val="1"/>
                <w:color w:val="auto"/>
              </w:rPr>
            </w:pPr>
          </w:p>
        </w:tc>
      </w:tr>
      <w:tr>
        <w:trPr>
          <w:trHeight w:val="251"/>
        </w:trPr>
        <w:tc>
          <w:tcPr>
            <w:tcW w:w="762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Total Tilray Brands, Inc. stockholders' equity</w:t>
            </w:r>
          </w:p>
        </w:tc>
        <w:tc>
          <w:tcPr>
            <w:tcW w:w="400" w:type="dxa"/>
            <w:vAlign w:val="bottom"/>
          </w:tcPr>
          <w:p>
            <w:pPr>
              <w:spacing w:after="0"/>
              <w:rPr>
                <w:sz w:val="21"/>
                <w:szCs w:val="21"/>
                <w:color w:val="auto"/>
              </w:rPr>
            </w:pPr>
          </w:p>
        </w:tc>
        <w:tc>
          <w:tcPr>
            <w:tcW w:w="13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3,472,928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3,442,906</w:t>
            </w:r>
          </w:p>
        </w:tc>
        <w:tc>
          <w:tcPr>
            <w:tcW w:w="0" w:type="dxa"/>
            <w:vAlign w:val="bottom"/>
          </w:tcPr>
          <w:p>
            <w:pPr>
              <w:spacing w:after="0"/>
              <w:rPr>
                <w:sz w:val="1"/>
                <w:szCs w:val="1"/>
                <w:color w:val="auto"/>
              </w:rPr>
            </w:pPr>
          </w:p>
        </w:tc>
      </w:tr>
      <w:tr>
        <w:trPr>
          <w:trHeight w:val="282"/>
        </w:trPr>
        <w:tc>
          <w:tcPr>
            <w:tcW w:w="7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Non-controlling interests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(19,320)</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272</w:t>
            </w:r>
          </w:p>
        </w:tc>
        <w:tc>
          <w:tcPr>
            <w:tcW w:w="0" w:type="dxa"/>
            <w:vAlign w:val="bottom"/>
          </w:tcPr>
          <w:p>
            <w:pPr>
              <w:spacing w:after="0"/>
              <w:rPr>
                <w:sz w:val="1"/>
                <w:szCs w:val="1"/>
                <w:color w:val="auto"/>
              </w:rPr>
            </w:pP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stockholders' equity</w:t>
            </w: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3,453,608</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3,443,178</w:t>
            </w: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stockholders' equity</w:t>
            </w:r>
          </w:p>
        </w:tc>
        <w:tc>
          <w:tcPr>
            <w:tcW w:w="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4,191,754</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Net Income (Loss) and Comprehensive Income (Loss)</w:t>
      </w:r>
    </w:p>
    <w:p>
      <w:pPr>
        <w:sectPr>
          <w:pgSz w:w="11900" w:h="16903" w:orient="portrait"/>
          <w:cols w:equalWidth="0" w:num="1">
            <w:col w:w="11220"/>
          </w:cols>
          <w:pgMar w:left="340" w:top="111" w:right="339"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both"/>
        <w:ind w:firstLine="54"/>
        <w:spacing w:after="0" w:line="246" w:lineRule="auto"/>
        <w:rPr>
          <w:sz w:val="20"/>
          <w:szCs w:val="20"/>
          <w:color w:val="auto"/>
        </w:rPr>
      </w:pPr>
      <w:r>
        <w:rPr>
          <w:rFonts w:ascii="Times New Roman" w:cs="Times New Roman" w:eastAsia="Times New Roman" w:hAnsi="Times New Roman"/>
          <w:sz w:val="22"/>
          <w:szCs w:val="22"/>
          <w:b w:val="1"/>
          <w:bCs w:val="1"/>
          <w:color w:val="auto"/>
        </w:rPr>
        <w:t>(in thousands of U.S. dollars, except for per share data)</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80"/>
        <w:spacing w:after="0"/>
        <w:tabs>
          <w:tab w:leader="none" w:pos="5100" w:val="left"/>
        </w:tabs>
        <w:rPr>
          <w:sz w:val="20"/>
          <w:szCs w:val="20"/>
          <w:color w:val="auto"/>
        </w:rPr>
      </w:pPr>
      <w:r>
        <w:rPr>
          <w:rFonts w:ascii="Times New Roman" w:cs="Times New Roman" w:eastAsia="Times New Roman" w:hAnsi="Times New Roman"/>
          <w:sz w:val="22"/>
          <w:szCs w:val="22"/>
          <w:b w:val="1"/>
          <w:bCs w:val="1"/>
          <w:color w:val="auto"/>
        </w:rPr>
        <w:t>For the three months</w:t>
      </w:r>
      <w:r>
        <w:rPr>
          <w:sz w:val="20"/>
          <w:szCs w:val="20"/>
          <w:color w:val="auto"/>
        </w:rPr>
        <w:tab/>
      </w:r>
      <w:r>
        <w:rPr>
          <w:rFonts w:ascii="Times New Roman" w:cs="Times New Roman" w:eastAsia="Times New Roman" w:hAnsi="Times New Roman"/>
          <w:sz w:val="21"/>
          <w:szCs w:val="21"/>
          <w:b w:val="1"/>
          <w:bCs w:val="1"/>
          <w:color w:val="auto"/>
        </w:rPr>
        <w:t>For the six</w:t>
      </w:r>
    </w:p>
    <w:p>
      <w:pPr>
        <w:spacing w:after="0" w:line="2" w:lineRule="exact"/>
        <w:rPr>
          <w:sz w:val="20"/>
          <w:szCs w:val="20"/>
          <w:color w:val="auto"/>
        </w:rPr>
      </w:pPr>
    </w:p>
    <w:p>
      <w:pPr>
        <w:ind w:left="780"/>
        <w:spacing w:after="0"/>
        <w:tabs>
          <w:tab w:leader="none" w:pos="4940" w:val="left"/>
        </w:tabs>
        <w:rPr>
          <w:sz w:val="20"/>
          <w:szCs w:val="20"/>
          <w:color w:val="auto"/>
        </w:rPr>
      </w:pPr>
      <w:r>
        <w:rPr>
          <w:rFonts w:ascii="Times New Roman" w:cs="Times New Roman" w:eastAsia="Times New Roman" w:hAnsi="Times New Roman"/>
          <w:sz w:val="22"/>
          <w:szCs w:val="22"/>
          <w:b w:val="1"/>
          <w:bCs w:val="1"/>
          <w:color w:val="auto"/>
        </w:rPr>
        <w:t>ended</w:t>
      </w:r>
      <w:r>
        <w:rPr>
          <w:sz w:val="20"/>
          <w:szCs w:val="20"/>
          <w:color w:val="auto"/>
        </w:rPr>
        <w:tab/>
      </w:r>
      <w:r>
        <w:rPr>
          <w:rFonts w:ascii="Times New Roman" w:cs="Times New Roman" w:eastAsia="Times New Roman" w:hAnsi="Times New Roman"/>
          <w:sz w:val="22"/>
          <w:szCs w:val="22"/>
          <w:b w:val="1"/>
          <w:bCs w:val="1"/>
          <w:color w:val="auto"/>
        </w:rPr>
        <w:t>months ended</w:t>
      </w:r>
    </w:p>
    <w:p>
      <w:pPr>
        <w:spacing w:after="0" w:line="5"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22"/>
          <w:szCs w:val="22"/>
          <w:b w:val="1"/>
          <w:bCs w:val="1"/>
          <w:color w:val="auto"/>
        </w:rPr>
        <w:t>November  November</w:t>
      </w:r>
      <w:r>
        <w:rPr>
          <w:sz w:val="20"/>
          <w:szCs w:val="20"/>
          <w:color w:val="auto"/>
        </w:rPr>
        <w:tab/>
      </w:r>
      <w:r>
        <w:rPr>
          <w:rFonts w:ascii="Times New Roman" w:cs="Times New Roman" w:eastAsia="Times New Roman" w:hAnsi="Times New Roman"/>
          <w:sz w:val="22"/>
          <w:szCs w:val="22"/>
          <w:b w:val="1"/>
          <w:bCs w:val="1"/>
          <w:color w:val="auto"/>
        </w:rPr>
        <w:t>November  November</w:t>
      </w:r>
    </w:p>
    <w:p>
      <w:pPr>
        <w:spacing w:after="0" w:line="2" w:lineRule="exact"/>
        <w:rPr>
          <w:sz w:val="20"/>
          <w:szCs w:val="20"/>
          <w:color w:val="auto"/>
        </w:rPr>
      </w:pPr>
    </w:p>
    <w:p>
      <w:pPr>
        <w:ind w:left="360"/>
        <w:spacing w:after="0"/>
        <w:tabs>
          <w:tab w:leader="none" w:pos="1460" w:val="left"/>
          <w:tab w:leader="none" w:pos="2340" w:val="left"/>
          <w:tab w:leader="none" w:pos="3360" w:val="left"/>
          <w:tab w:leader="none" w:pos="4900" w:val="left"/>
          <w:tab w:leader="none" w:pos="6020" w:val="left"/>
          <w:tab w:leader="none" w:pos="6900" w:val="left"/>
          <w:tab w:leader="none" w:pos="792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2"/>
          <w:szCs w:val="22"/>
          <w:b w:val="1"/>
          <w:bCs w:val="1"/>
          <w:color w:val="auto"/>
        </w:rPr>
        <w:t>Change</w:t>
        <w:tab/>
        <w:t>% Change</w:t>
      </w:r>
      <w:r>
        <w:rPr>
          <w:sz w:val="20"/>
          <w:szCs w:val="20"/>
          <w:color w:val="auto"/>
        </w:rPr>
        <w:tab/>
      </w: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2"/>
          <w:szCs w:val="22"/>
          <w:b w:val="1"/>
          <w:bCs w:val="1"/>
          <w:color w:val="auto"/>
        </w:rPr>
        <w:t>Change</w:t>
      </w:r>
      <w:r>
        <w:rPr>
          <w:sz w:val="20"/>
          <w:szCs w:val="20"/>
          <w:color w:val="auto"/>
        </w:rPr>
        <w:tab/>
      </w:r>
      <w:r>
        <w:rPr>
          <w:rFonts w:ascii="Times New Roman" w:cs="Times New Roman" w:eastAsia="Times New Roman" w:hAnsi="Times New Roman"/>
          <w:sz w:val="21"/>
          <w:szCs w:val="21"/>
          <w:b w:val="1"/>
          <w:bCs w:val="1"/>
          <w:color w:val="auto"/>
        </w:rPr>
        <w:t>% Change</w:t>
      </w:r>
    </w:p>
    <w:p>
      <w:pPr>
        <w:spacing w:after="0" w:line="5" w:lineRule="exact"/>
        <w:rPr>
          <w:sz w:val="20"/>
          <w:szCs w:val="20"/>
          <w:color w:val="auto"/>
        </w:rPr>
      </w:pPr>
    </w:p>
    <w:p>
      <w:pPr>
        <w:ind w:left="280"/>
        <w:spacing w:after="0"/>
        <w:tabs>
          <w:tab w:leader="none" w:pos="1380" w:val="left"/>
          <w:tab w:leader="none" w:pos="2700" w:val="left"/>
          <w:tab w:leader="none" w:pos="4820" w:val="left"/>
          <w:tab w:leader="none" w:pos="5940" w:val="left"/>
          <w:tab w:leader="none" w:pos="7260" w:val="left"/>
        </w:tabs>
        <w:rPr>
          <w:sz w:val="20"/>
          <w:szCs w:val="20"/>
          <w:color w:val="auto"/>
        </w:rPr>
      </w:pP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r>
        <w:rPr>
          <w:sz w:val="20"/>
          <w:szCs w:val="20"/>
          <w:color w:val="auto"/>
        </w:rPr>
        <w:tab/>
      </w:r>
      <w:r>
        <w:rPr>
          <w:rFonts w:ascii="Times New Roman" w:cs="Times New Roman" w:eastAsia="Times New Roman" w:hAnsi="Times New Roman"/>
          <w:sz w:val="22"/>
          <w:szCs w:val="22"/>
          <w:b w:val="1"/>
          <w:bCs w:val="1"/>
          <w:color w:val="auto"/>
        </w:rPr>
        <w:t>2024 vs. 2023</w:t>
      </w:r>
      <w:r>
        <w:rPr>
          <w:sz w:val="20"/>
          <w:szCs w:val="20"/>
          <w:color w:val="auto"/>
        </w:rPr>
        <w:tab/>
      </w: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r>
        <w:rPr>
          <w:sz w:val="20"/>
          <w:szCs w:val="20"/>
          <w:color w:val="auto"/>
        </w:rPr>
        <w:tab/>
      </w:r>
      <w:r>
        <w:rPr>
          <w:rFonts w:ascii="Times New Roman" w:cs="Times New Roman" w:eastAsia="Times New Roman" w:hAnsi="Times New Roman"/>
          <w:sz w:val="21"/>
          <w:szCs w:val="21"/>
          <w:b w:val="1"/>
          <w:bCs w:val="1"/>
          <w:color w:val="auto"/>
        </w:rPr>
        <w:t>2024 vs. 2023</w:t>
      </w:r>
    </w:p>
    <w:p>
      <w:pPr>
        <w:spacing w:after="0" w:line="23" w:lineRule="exact"/>
        <w:rPr>
          <w:sz w:val="20"/>
          <w:szCs w:val="20"/>
          <w:color w:val="auto"/>
        </w:rPr>
      </w:pPr>
    </w:p>
    <w:p>
      <w:pPr>
        <w:sectPr>
          <w:pgSz w:w="11900" w:h="16903" w:orient="portrait"/>
          <w:cols w:equalWidth="0" w:num="2">
            <w:col w:w="2020" w:space="200"/>
            <w:col w:w="9000"/>
          </w:cols>
          <w:pgMar w:left="340" w:top="111" w:right="339" w:bottom="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220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Net revenue</w:t>
            </w:r>
          </w:p>
        </w:tc>
        <w:tc>
          <w:tcPr>
            <w:tcW w:w="1020" w:type="dxa"/>
            <w:vAlign w:val="bottom"/>
            <w:tcBorders>
              <w:top w:val="single" w:sz="8" w:color="auto"/>
            </w:tcBorders>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w w:val="99"/>
              </w:rPr>
              <w:t>$ 210,950</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w w:val="99"/>
              </w:rPr>
              <w:t>$ 193,771</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rPr>
              <w:t>$  17,179</w:t>
            </w: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line="245" w:lineRule="exact"/>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w w:val="99"/>
              </w:rPr>
              <w:t>$ 410,994</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line="245" w:lineRule="exact"/>
              <w:rPr>
                <w:sz w:val="20"/>
                <w:szCs w:val="20"/>
                <w:color w:val="auto"/>
              </w:rPr>
            </w:pPr>
            <w:r>
              <w:rPr>
                <w:rFonts w:ascii="Times New Roman" w:cs="Times New Roman" w:eastAsia="Times New Roman" w:hAnsi="Times New Roman"/>
                <w:sz w:val="22"/>
                <w:szCs w:val="22"/>
                <w:color w:val="auto"/>
              </w:rPr>
              <w:t>$ 370,720</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45" w:lineRule="exact"/>
              <w:rPr>
                <w:sz w:val="20"/>
                <w:szCs w:val="20"/>
                <w:color w:val="auto"/>
              </w:rPr>
            </w:pPr>
            <w:r>
              <w:rPr>
                <w:rFonts w:ascii="Times New Roman" w:cs="Times New Roman" w:eastAsia="Times New Roman" w:hAnsi="Times New Roman"/>
                <w:sz w:val="22"/>
                <w:szCs w:val="22"/>
                <w:color w:val="auto"/>
              </w:rPr>
              <w:t>$  40,274</w:t>
            </w: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line="245"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149,730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146,362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3,368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290,068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279,115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10,953</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51"/>
        </w:trPr>
        <w:tc>
          <w:tcPr>
            <w:tcW w:w="2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0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61,220</w:t>
            </w:r>
          </w:p>
        </w:tc>
        <w:tc>
          <w:tcPr>
            <w:tcW w:w="100" w:type="dxa"/>
            <w:vAlign w:val="bottom"/>
          </w:tcPr>
          <w:p>
            <w:pPr>
              <w:spacing w:after="0"/>
              <w:rPr>
                <w:sz w:val="21"/>
                <w:szCs w:val="21"/>
                <w:color w:val="auto"/>
              </w:rPr>
            </w:pPr>
          </w:p>
        </w:tc>
        <w:tc>
          <w:tcPr>
            <w:tcW w:w="10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47,409</w:t>
            </w:r>
          </w:p>
        </w:tc>
        <w:tc>
          <w:tcPr>
            <w:tcW w:w="100" w:type="dxa"/>
            <w:vAlign w:val="bottom"/>
          </w:tcPr>
          <w:p>
            <w:pPr>
              <w:spacing w:after="0"/>
              <w:rPr>
                <w:sz w:val="21"/>
                <w:szCs w:val="21"/>
                <w:color w:val="auto"/>
              </w:rPr>
            </w:pPr>
          </w:p>
        </w:tc>
        <w:tc>
          <w:tcPr>
            <w:tcW w:w="9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13,811</w:t>
            </w:r>
          </w:p>
        </w:tc>
        <w:tc>
          <w:tcPr>
            <w:tcW w:w="1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29%</w:t>
            </w:r>
          </w:p>
        </w:tc>
        <w:tc>
          <w:tcPr>
            <w:tcW w:w="100" w:type="dxa"/>
            <w:vAlign w:val="bottom"/>
          </w:tcPr>
          <w:p>
            <w:pPr>
              <w:spacing w:after="0"/>
              <w:rPr>
                <w:sz w:val="21"/>
                <w:szCs w:val="21"/>
                <w:color w:val="auto"/>
              </w:rPr>
            </w:pPr>
          </w:p>
        </w:tc>
        <w:tc>
          <w:tcPr>
            <w:tcW w:w="10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120,926</w:t>
            </w:r>
          </w:p>
        </w:tc>
        <w:tc>
          <w:tcPr>
            <w:tcW w:w="10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91,605</w:t>
            </w:r>
          </w:p>
        </w:tc>
        <w:tc>
          <w:tcPr>
            <w:tcW w:w="100" w:type="dxa"/>
            <w:vAlign w:val="bottom"/>
          </w:tcPr>
          <w:p>
            <w:pPr>
              <w:spacing w:after="0"/>
              <w:rPr>
                <w:sz w:val="21"/>
                <w:szCs w:val="21"/>
                <w:color w:val="auto"/>
              </w:rPr>
            </w:pPr>
          </w:p>
        </w:tc>
        <w:tc>
          <w:tcPr>
            <w:tcW w:w="9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29,321</w:t>
            </w:r>
          </w:p>
        </w:tc>
        <w:tc>
          <w:tcPr>
            <w:tcW w:w="1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administrative</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45,997</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43,313</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2,684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90,110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83,829</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Selling</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16,162</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7,583</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8,579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27,852</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14,442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13,410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22,927</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21,917</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44,731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44,142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Marketing and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promotion</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9,720</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9,208</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21,286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17,743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development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56</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Change in fair value</w:t>
            </w:r>
          </w:p>
        </w:tc>
        <w:tc>
          <w:tcPr>
            <w:tcW w:w="11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(10,807)</w:t>
            </w:r>
          </w:p>
        </w:tc>
        <w:tc>
          <w:tcPr>
            <w:tcW w:w="1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10,807</w:t>
            </w:r>
          </w:p>
        </w:tc>
        <w:tc>
          <w:tcPr>
            <w:tcW w:w="10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82"/>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of contingent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903" w:orient="portrait"/>
          <w:cols w:equalWidth="0" w:num="1">
            <w:col w:w="11220"/>
          </w:cols>
          <w:pgMar w:left="340" w:top="111" w:right="3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consideration</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Litigation costs, net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of recoveries</w:t>
            </w:r>
          </w:p>
        </w:tc>
        <w:tc>
          <w:tcPr>
            <w:tcW w:w="1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Restructuring costs</w:t>
            </w:r>
          </w:p>
        </w:tc>
        <w:tc>
          <w:tcPr>
            <w:tcW w:w="1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w:t>
            </w:r>
          </w:p>
        </w:tc>
        <w:tc>
          <w:tcPr>
            <w:tcW w:w="0" w:type="dxa"/>
            <w:vAlign w:val="bottom"/>
          </w:tcPr>
          <w:p>
            <w:pPr>
              <w:spacing w:after="0"/>
              <w:rPr>
                <w:sz w:val="1"/>
                <w:szCs w:val="1"/>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Transaction costs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net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802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1,094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1,958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9,596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(7,638)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11"/>
        </w:trPr>
        <w:tc>
          <w:tcPr>
            <w:tcW w:w="22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Total operating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103,438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89,168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14,270</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199,714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167,726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31,988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51"/>
        </w:trPr>
        <w:tc>
          <w:tcPr>
            <w:tcW w:w="2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loss</w:t>
            </w:r>
          </w:p>
        </w:tc>
        <w:tc>
          <w:tcPr>
            <w:tcW w:w="160" w:type="dxa"/>
            <w:vAlign w:val="bottom"/>
          </w:tcPr>
          <w:p>
            <w:pPr>
              <w:spacing w:after="0"/>
              <w:rPr>
                <w:sz w:val="21"/>
                <w:szCs w:val="21"/>
                <w:color w:val="auto"/>
              </w:rPr>
            </w:pPr>
          </w:p>
        </w:tc>
        <w:tc>
          <w:tcPr>
            <w:tcW w:w="8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(42,218)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(41,759)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(459)</w:t>
            </w:r>
          </w:p>
        </w:tc>
        <w:tc>
          <w:tcPr>
            <w:tcW w:w="1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(78,788)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(76,121)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(2,667)</w:t>
            </w:r>
          </w:p>
        </w:tc>
        <w:tc>
          <w:tcPr>
            <w:tcW w:w="1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expense, net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Non-operating</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income (expense),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(33,255)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821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(34,076)</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(4,151)%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(20,609)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(3,581)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(17,028)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476%</w:t>
            </w:r>
          </w:p>
        </w:tc>
        <w:tc>
          <w:tcPr>
            <w:tcW w:w="0" w:type="dxa"/>
            <w:vAlign w:val="bottom"/>
          </w:tcPr>
          <w:p>
            <w:pPr>
              <w:spacing w:after="0"/>
              <w:rPr>
                <w:sz w:val="1"/>
                <w:szCs w:val="1"/>
                <w:color w:val="auto"/>
              </w:rPr>
            </w:pPr>
          </w:p>
        </w:tc>
      </w:tr>
      <w:tr>
        <w:trPr>
          <w:trHeight w:val="211"/>
        </w:trPr>
        <w:tc>
          <w:tcPr>
            <w:tcW w:w="22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Loss before income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(33,676)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(117,005)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(98,162)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(18,843)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2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(recovery), net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2,036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(3,380)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5,416</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3,884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(962)</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(85,275)</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(46,183)</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(39,092)</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(119,927)</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(102,046)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(17,881)</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09"/>
        </w:trPr>
        <w:tc>
          <w:tcPr>
            <w:tcW w:w="22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Net loss per share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10)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03)</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14)</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17)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03</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basic and diluted</w:t>
            </w: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Condensed Consolidated Statements of Cash Flows</w:t>
            </w:r>
          </w:p>
        </w:tc>
        <w:tc>
          <w:tcPr>
            <w:tcW w:w="3200" w:type="dxa"/>
            <w:vAlign w:val="bottom"/>
            <w:gridSpan w:val="5"/>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For the six months ended</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gridSpan w:val="5"/>
            <w:vMerge w:val="continue"/>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120" w:type="dxa"/>
            <w:vAlign w:val="bottom"/>
          </w:tcPr>
          <w:p>
            <w:pPr>
              <w:spacing w:after="0"/>
              <w:rPr>
                <w:sz w:val="23"/>
                <w:szCs w:val="2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280" w:type="dxa"/>
            <w:vAlign w:val="bottom"/>
          </w:tcPr>
          <w:p>
            <w:pPr>
              <w:spacing w:after="0"/>
              <w:rPr>
                <w:sz w:val="23"/>
                <w:szCs w:val="2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60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86"/>
        </w:trPr>
        <w:tc>
          <w:tcPr>
            <w:tcW w:w="4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51"/>
        </w:trPr>
        <w:tc>
          <w:tcPr>
            <w:tcW w:w="460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Cash provided by (used in) operating activities: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(119,927)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(102,046)</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(17,881)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Adjustments for:</w:t>
            </w: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income tax expense (recovery), net</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5,571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Unrealized foreign exchange loss (gain)</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9,627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15,231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65,864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62,341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Accretion of convertible debt discount</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5,985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(2,582)</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non-cash items</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14,491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16,458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(2,304)</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Loss (gain) on long-term investments &amp; equity</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investments</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(Gain) loss on derivative instruments</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(9,550)</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4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Change in non-cash working capital:</w:t>
            </w: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(13,575)</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(16,810)</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(16,796)</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c>
          <w:tcPr>
            <w:tcW w:w="0" w:type="dxa"/>
            <w:vAlign w:val="bottom"/>
          </w:tcPr>
          <w:p>
            <w:pPr>
              <w:spacing w:after="0"/>
              <w:rPr>
                <w:sz w:val="1"/>
                <w:szCs w:val="1"/>
                <w:color w:val="auto"/>
              </w:rPr>
            </w:pPr>
          </w:p>
        </w:tc>
      </w:tr>
      <w:tr>
        <w:trPr>
          <w:trHeight w:val="282"/>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(24,828)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(24,445)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(383)</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65"/>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(76,031)</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(46,251)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(29,780)</w:t>
            </w:r>
          </w:p>
        </w:tc>
        <w:tc>
          <w:tcPr>
            <w:tcW w:w="12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50"/>
        </w:trPr>
        <w:tc>
          <w:tcPr>
            <w:tcW w:w="46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investing activities: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in capital and intangible assets</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Proceeds from disposal of capital and intangible</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assets</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(Purchase) disposal of marketable securities, net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125,479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(155,848)</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82"/>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Business acquisitions, net of cash acquired</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(60,626)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42,416</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65"/>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provided by investing activities</w:t>
            </w: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(60,120)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55,207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(115,327)</w:t>
            </w:r>
          </w:p>
        </w:tc>
        <w:tc>
          <w:tcPr>
            <w:tcW w:w="12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(209)%</w:t>
            </w:r>
          </w:p>
        </w:tc>
        <w:tc>
          <w:tcPr>
            <w:tcW w:w="0" w:type="dxa"/>
            <w:vAlign w:val="bottom"/>
          </w:tcPr>
          <w:p>
            <w:pPr>
              <w:spacing w:after="0"/>
              <w:rPr>
                <w:sz w:val="1"/>
                <w:szCs w:val="1"/>
                <w:color w:val="auto"/>
              </w:rPr>
            </w:pPr>
          </w:p>
        </w:tc>
      </w:tr>
      <w:tr>
        <w:trPr>
          <w:trHeight w:val="250"/>
        </w:trPr>
        <w:tc>
          <w:tcPr>
            <w:tcW w:w="46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financing activities: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Share capital issued, net of cash issuance costs</w:t>
            </w:r>
          </w:p>
        </w:tc>
        <w:tc>
          <w:tcPr>
            <w:tcW w:w="14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111,517</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long-term debt</w:t>
            </w:r>
          </w:p>
        </w:tc>
        <w:tc>
          <w:tcPr>
            <w:tcW w:w="14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32,621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(32,621)</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long-term debt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convertible debt</w:t>
            </w:r>
          </w:p>
        </w:tc>
        <w:tc>
          <w:tcPr>
            <w:tcW w:w="14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21,553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(21,553)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convertible debt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(107,330)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107,000</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lease liabilities</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1,795%</w:t>
            </w:r>
          </w:p>
        </w:tc>
        <w:tc>
          <w:tcPr>
            <w:tcW w:w="0" w:type="dxa"/>
            <w:vAlign w:val="bottom"/>
          </w:tcPr>
          <w:p>
            <w:pPr>
              <w:spacing w:after="0"/>
              <w:rPr>
                <w:sz w:val="1"/>
                <w:szCs w:val="1"/>
                <w:color w:val="auto"/>
              </w:rPr>
            </w:pPr>
          </w:p>
        </w:tc>
      </w:tr>
      <w:tr>
        <w:trPr>
          <w:trHeight w:val="283"/>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decrease in bank indebtedness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2,918</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98,793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(71,348)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170,141</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(238)%</w:t>
            </w:r>
          </w:p>
        </w:tc>
      </w:tr>
      <w:tr>
        <w:trPr>
          <w:trHeight w:val="211"/>
        </w:trPr>
        <w:tc>
          <w:tcPr>
            <w:tcW w:w="460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rPr>
              <w:t>Effect of foreign exchange on cash and cash</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82"/>
        </w:trPr>
        <w:tc>
          <w:tcPr>
            <w:tcW w:w="4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equivalents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(1,993)</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(281)%</w:t>
            </w:r>
          </w:p>
        </w:tc>
      </w:tr>
      <w:tr>
        <w:trPr>
          <w:trHeight w:val="251"/>
        </w:trPr>
        <w:tc>
          <w:tcPr>
            <w:tcW w:w="46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decrease in cash and cash equivalents</w:t>
            </w:r>
          </w:p>
        </w:tc>
        <w:tc>
          <w:tcPr>
            <w:tcW w:w="44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(38,642)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(61,683)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23,041</w:t>
            </w:r>
          </w:p>
        </w:tc>
        <w:tc>
          <w:tcPr>
            <w:tcW w:w="120" w:type="dxa"/>
            <w:vAlign w:val="bottom"/>
          </w:tcPr>
          <w:p>
            <w:pPr>
              <w:spacing w:after="0"/>
              <w:rPr>
                <w:sz w:val="21"/>
                <w:szCs w:val="21"/>
                <w:color w:val="auto"/>
              </w:rPr>
            </w:pPr>
          </w:p>
        </w:tc>
        <w:tc>
          <w:tcPr>
            <w:tcW w:w="16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w:t>
            </w:r>
          </w:p>
        </w:tc>
      </w:tr>
      <w:tr>
        <w:trPr>
          <w:trHeight w:val="283"/>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beginning of period</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228,340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206,632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21,708</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64"/>
        </w:trPr>
        <w:tc>
          <w:tcPr>
            <w:tcW w:w="4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and cash equivalents, end of period</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189,698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144,949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44,749</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1"/>
        </w:trPr>
        <w:tc>
          <w:tcPr>
            <w:tcW w:w="4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2520" w:type="dxa"/>
            <w:vAlign w:val="bottom"/>
          </w:tcPr>
          <w:p>
            <w:pPr>
              <w:spacing w:after="0"/>
              <w:rPr>
                <w:sz w:val="21"/>
                <w:szCs w:val="21"/>
                <w:color w:val="auto"/>
              </w:rPr>
            </w:pP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c>
          <w:tcPr>
            <w:tcW w:w="140" w:type="dxa"/>
            <w:vAlign w:val="bottom"/>
          </w:tcPr>
          <w:p>
            <w:pPr>
              <w:spacing w:after="0"/>
              <w:rPr>
                <w:sz w:val="21"/>
                <w:szCs w:val="21"/>
                <w:color w:val="auto"/>
              </w:rPr>
            </w:pPr>
          </w:p>
        </w:tc>
        <w:tc>
          <w:tcPr>
            <w:tcW w:w="1960" w:type="dxa"/>
            <w:vAlign w:val="bottom"/>
            <w:gridSpan w:val="3"/>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r>
      <w:tr>
        <w:trPr>
          <w:trHeight w:val="270"/>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220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c>
          <w:tcPr>
            <w:tcW w:w="140" w:type="dxa"/>
            <w:vAlign w:val="bottom"/>
          </w:tcPr>
          <w:p>
            <w:pPr>
              <w:spacing w:after="0"/>
              <w:rPr>
                <w:sz w:val="23"/>
                <w:szCs w:val="23"/>
                <w:color w:val="auto"/>
              </w:rPr>
            </w:pPr>
          </w:p>
        </w:tc>
        <w:tc>
          <w:tcPr>
            <w:tcW w:w="1960" w:type="dxa"/>
            <w:vAlign w:val="bottom"/>
            <w:gridSpan w:val="3"/>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r>
      <w:tr>
        <w:trPr>
          <w:trHeight w:val="243"/>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0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r>
      <w:tr>
        <w:trPr>
          <w:trHeight w:val="286"/>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1"/>
        </w:trPr>
        <w:tc>
          <w:tcPr>
            <w:tcW w:w="25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Beverage business</w:t>
            </w: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63,081</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30%</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46,505</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$ 119,053</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29%</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70,667</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19%</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65,652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67,114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126,901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137,447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67,611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67,223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135,682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14,606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12,929</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29,358</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65"/>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$ 210,950</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$ 193,771</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$ 410,994</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$ 370,720</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25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6"/>
        </w:trPr>
        <w:tc>
          <w:tcPr>
            <w:tcW w:w="584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 in Constant Currency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520" w:type="dxa"/>
            <w:vAlign w:val="bottom"/>
          </w:tcPr>
          <w:p>
            <w:pPr>
              <w:spacing w:after="0"/>
              <w:rPr>
                <w:sz w:val="21"/>
                <w:szCs w:val="21"/>
                <w:color w:val="auto"/>
              </w:rPr>
            </w:pP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100" w:type="dxa"/>
            <w:vAlign w:val="bottom"/>
            <w:gridSpan w:val="4"/>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r>
      <w:tr>
        <w:trPr>
          <w:trHeight w:val="270"/>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220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40" w:type="dxa"/>
            <w:vAlign w:val="bottom"/>
          </w:tcPr>
          <w:p>
            <w:pPr>
              <w:spacing w:after="0"/>
              <w:rPr>
                <w:sz w:val="23"/>
                <w:szCs w:val="23"/>
                <w:color w:val="auto"/>
              </w:rPr>
            </w:pPr>
          </w:p>
        </w:tc>
        <w:tc>
          <w:tcPr>
            <w:tcW w:w="1960" w:type="dxa"/>
            <w:vAlign w:val="bottom"/>
            <w:gridSpan w:val="3"/>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ended</w:t>
            </w:r>
          </w:p>
        </w:tc>
      </w:tr>
      <w:tr>
        <w:trPr>
          <w:trHeight w:val="243"/>
        </w:trPr>
        <w:tc>
          <w:tcPr>
            <w:tcW w:w="2520" w:type="dxa"/>
            <w:vAlign w:val="bottom"/>
          </w:tcPr>
          <w:p>
            <w:pPr>
              <w:spacing w:after="0"/>
              <w:rPr>
                <w:sz w:val="21"/>
                <w:szCs w:val="21"/>
                <w:color w:val="auto"/>
              </w:rPr>
            </w:pP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6"/>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line="220" w:lineRule="exact"/>
              <w:rPr>
                <w:sz w:val="20"/>
                <w:szCs w:val="20"/>
                <w:color w:val="auto"/>
              </w:rPr>
            </w:pPr>
            <w:r>
              <w:rPr>
                <w:rFonts w:ascii="Times New Roman" w:cs="Times New Roman" w:eastAsia="Times New Roman" w:hAnsi="Times New Roman"/>
                <w:sz w:val="22"/>
                <w:szCs w:val="22"/>
                <w:b w:val="1"/>
                <w:bCs w:val="1"/>
                <w:color w:val="auto"/>
                <w:w w:val="91"/>
              </w:rPr>
              <w:t>as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32"/>
              <w:spacing w:after="0" w:line="220" w:lineRule="exact"/>
              <w:rPr>
                <w:sz w:val="20"/>
                <w:szCs w:val="20"/>
                <w:color w:val="auto"/>
              </w:rPr>
            </w:pPr>
            <w:r>
              <w:rPr>
                <w:rFonts w:ascii="Times New Roman" w:cs="Times New Roman" w:eastAsia="Times New Roman" w:hAnsi="Times New Roman"/>
                <w:sz w:val="22"/>
                <w:szCs w:val="22"/>
                <w:b w:val="1"/>
                <w:bCs w:val="1"/>
                <w:color w:val="auto"/>
                <w:w w:val="91"/>
              </w:rPr>
              <w:t>as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line="220" w:lineRule="exact"/>
              <w:rPr>
                <w:sz w:val="20"/>
                <w:szCs w:val="20"/>
                <w:color w:val="auto"/>
              </w:rPr>
            </w:pPr>
            <w:r>
              <w:rPr>
                <w:rFonts w:ascii="Times New Roman" w:cs="Times New Roman" w:eastAsia="Times New Roman" w:hAnsi="Times New Roman"/>
                <w:sz w:val="22"/>
                <w:szCs w:val="22"/>
                <w:b w:val="1"/>
                <w:bCs w:val="1"/>
                <w:color w:val="auto"/>
                <w:w w:val="91"/>
              </w:rPr>
              <w:t>as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32"/>
              <w:spacing w:after="0" w:line="220" w:lineRule="exact"/>
              <w:rPr>
                <w:sz w:val="20"/>
                <w:szCs w:val="20"/>
                <w:color w:val="auto"/>
              </w:rPr>
            </w:pPr>
            <w:r>
              <w:rPr>
                <w:rFonts w:ascii="Times New Roman" w:cs="Times New Roman" w:eastAsia="Times New Roman" w:hAnsi="Times New Roman"/>
                <w:sz w:val="22"/>
                <w:szCs w:val="22"/>
                <w:b w:val="1"/>
                <w:bCs w:val="1"/>
                <w:color w:val="auto"/>
                <w:w w:val="91"/>
              </w:rPr>
              <w:t>as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2520" w:type="dxa"/>
            <w:vAlign w:val="bottom"/>
          </w:tcPr>
          <w:p>
            <w:pPr>
              <w:spacing w:after="0"/>
              <w:rPr>
                <w:sz w:val="21"/>
                <w:szCs w:val="21"/>
                <w:color w:val="auto"/>
              </w:rPr>
            </w:pP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1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8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0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r>
      <w:tr>
        <w:trPr>
          <w:trHeight w:val="286"/>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51"/>
        </w:trPr>
        <w:tc>
          <w:tcPr>
            <w:tcW w:w="25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Beverage business</w:t>
            </w: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63,081</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30%</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46,505</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$ 119,053</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29%</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70,667</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19%</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65,853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67,114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128,645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137,447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69,411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67,223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139,807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14,629</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12,929</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29,569</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65"/>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$ 212,974</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$ 193,771</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$ 417,074</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$ 370,720</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25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86"/>
        </w:trPr>
        <w:tc>
          <w:tcPr>
            <w:tcW w:w="47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520" w:type="dxa"/>
            <w:vAlign w:val="bottom"/>
          </w:tcPr>
          <w:p>
            <w:pPr>
              <w:spacing w:after="0"/>
              <w:rPr>
                <w:sz w:val="21"/>
                <w:szCs w:val="21"/>
                <w:color w:val="auto"/>
              </w:rPr>
            </w:pP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c>
          <w:tcPr>
            <w:tcW w:w="140" w:type="dxa"/>
            <w:vAlign w:val="bottom"/>
          </w:tcPr>
          <w:p>
            <w:pPr>
              <w:spacing w:after="0"/>
              <w:rPr>
                <w:sz w:val="21"/>
                <w:szCs w:val="21"/>
                <w:color w:val="auto"/>
              </w:rPr>
            </w:pPr>
          </w:p>
        </w:tc>
        <w:tc>
          <w:tcPr>
            <w:tcW w:w="1960" w:type="dxa"/>
            <w:vAlign w:val="bottom"/>
            <w:gridSpan w:val="3"/>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r>
      <w:tr>
        <w:trPr>
          <w:trHeight w:val="270"/>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220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c>
          <w:tcPr>
            <w:tcW w:w="140" w:type="dxa"/>
            <w:vAlign w:val="bottom"/>
          </w:tcPr>
          <w:p>
            <w:pPr>
              <w:spacing w:after="0"/>
              <w:rPr>
                <w:sz w:val="23"/>
                <w:szCs w:val="23"/>
                <w:color w:val="auto"/>
              </w:rPr>
            </w:pPr>
          </w:p>
        </w:tc>
        <w:tc>
          <w:tcPr>
            <w:tcW w:w="1960" w:type="dxa"/>
            <w:vAlign w:val="bottom"/>
            <w:gridSpan w:val="3"/>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r>
      <w:tr>
        <w:trPr>
          <w:trHeight w:val="243"/>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0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r>
      <w:tr>
        <w:trPr>
          <w:trHeight w:val="286"/>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Revenue</w:t>
            </w:r>
          </w:p>
        </w:tc>
      </w:tr>
      <w:tr>
        <w:trPr>
          <w:trHeight w:val="211"/>
        </w:trPr>
        <w:tc>
          <w:tcPr>
            <w:tcW w:w="252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Revenue from Canadian</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medical cannabis</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6,673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6,288</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12,934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Canadian</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adult-use cannabis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59,077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72,048</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116,312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wholesale</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6,593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4,289</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12,100</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international</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14,865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11,931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27,056</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(21,556)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(27,442)</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(41,501)</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(53,993)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65"/>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65,652</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67,114</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$ 126,901</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$ 137,447</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1"/>
        </w:trPr>
        <w:tc>
          <w:tcPr>
            <w:tcW w:w="25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86"/>
        </w:trPr>
        <w:tc>
          <w:tcPr>
            <w:tcW w:w="692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 in Constant Currency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520" w:type="dxa"/>
            <w:vAlign w:val="bottom"/>
          </w:tcPr>
          <w:p>
            <w:pPr>
              <w:spacing w:after="0"/>
              <w:rPr>
                <w:sz w:val="21"/>
                <w:szCs w:val="21"/>
                <w:color w:val="auto"/>
              </w:rPr>
            </w:pP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20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c>
          <w:tcPr>
            <w:tcW w:w="140" w:type="dxa"/>
            <w:vAlign w:val="bottom"/>
          </w:tcPr>
          <w:p>
            <w:pPr>
              <w:spacing w:after="0"/>
              <w:rPr>
                <w:sz w:val="21"/>
                <w:szCs w:val="21"/>
                <w:color w:val="auto"/>
              </w:rPr>
            </w:pPr>
          </w:p>
        </w:tc>
        <w:tc>
          <w:tcPr>
            <w:tcW w:w="1960" w:type="dxa"/>
            <w:vAlign w:val="bottom"/>
            <w:gridSpan w:val="3"/>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six</w:t>
            </w:r>
          </w:p>
        </w:tc>
      </w:tr>
      <w:tr>
        <w:trPr>
          <w:trHeight w:val="270"/>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40" w:type="dxa"/>
            <w:vAlign w:val="bottom"/>
          </w:tcPr>
          <w:p>
            <w:pPr>
              <w:spacing w:after="0"/>
              <w:rPr>
                <w:sz w:val="23"/>
                <w:szCs w:val="23"/>
                <w:color w:val="auto"/>
              </w:rPr>
            </w:pPr>
          </w:p>
        </w:tc>
        <w:tc>
          <w:tcPr>
            <w:tcW w:w="20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220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c>
          <w:tcPr>
            <w:tcW w:w="140" w:type="dxa"/>
            <w:vAlign w:val="bottom"/>
          </w:tcPr>
          <w:p>
            <w:pPr>
              <w:spacing w:after="0"/>
              <w:rPr>
                <w:sz w:val="23"/>
                <w:szCs w:val="23"/>
                <w:color w:val="auto"/>
              </w:rPr>
            </w:pPr>
          </w:p>
        </w:tc>
        <w:tc>
          <w:tcPr>
            <w:tcW w:w="1960" w:type="dxa"/>
            <w:vAlign w:val="bottom"/>
            <w:gridSpan w:val="3"/>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months ended</w:t>
            </w:r>
          </w:p>
        </w:tc>
      </w:tr>
      <w:tr>
        <w:trPr>
          <w:trHeight w:val="243"/>
        </w:trPr>
        <w:tc>
          <w:tcPr>
            <w:tcW w:w="2520" w:type="dxa"/>
            <w:vAlign w:val="bottom"/>
          </w:tcPr>
          <w:p>
            <w:pPr>
              <w:spacing w:after="0"/>
              <w:rPr>
                <w:sz w:val="21"/>
                <w:szCs w:val="21"/>
                <w:color w:val="auto"/>
              </w:rPr>
            </w:pP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November</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7"/>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30, 2024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30, 2023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20"/>
          </w:cols>
          <w:pgMar w:left="340" w:top="11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180" w:type="dxa"/>
            <w:vAlign w:val="bottom"/>
          </w:tcPr>
          <w:p>
            <w:pPr>
              <w:spacing w:after="0"/>
              <w:rPr>
                <w:sz w:val="22"/>
                <w:szCs w:val="2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1"/>
              </w:rPr>
              <w:t>as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of</w:t>
            </w:r>
          </w:p>
        </w:tc>
        <w:tc>
          <w:tcPr>
            <w:tcW w:w="180" w:type="dxa"/>
            <w:vAlign w:val="bottom"/>
          </w:tcPr>
          <w:p>
            <w:pPr>
              <w:spacing w:after="0"/>
              <w:rPr>
                <w:sz w:val="22"/>
                <w:szCs w:val="2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1"/>
              </w:rPr>
              <w:t>as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of</w:t>
            </w:r>
          </w:p>
        </w:tc>
        <w:tc>
          <w:tcPr>
            <w:tcW w:w="160" w:type="dxa"/>
            <w:vAlign w:val="bottom"/>
          </w:tcPr>
          <w:p>
            <w:pPr>
              <w:spacing w:after="0"/>
              <w:rPr>
                <w:sz w:val="22"/>
                <w:szCs w:val="2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1"/>
              </w:rPr>
              <w:t>as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of</w:t>
            </w:r>
          </w:p>
        </w:tc>
        <w:tc>
          <w:tcPr>
            <w:tcW w:w="160" w:type="dxa"/>
            <w:vAlign w:val="bottom"/>
          </w:tcPr>
          <w:p>
            <w:pPr>
              <w:spacing w:after="0"/>
              <w:rPr>
                <w:sz w:val="22"/>
                <w:szCs w:val="2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1"/>
              </w:rPr>
              <w:t>as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 of</w:t>
            </w: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dollars)</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120" w:type="dxa"/>
            <w:vAlign w:val="bottom"/>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Revenue</w:t>
            </w:r>
          </w:p>
        </w:tc>
        <w:tc>
          <w:tcPr>
            <w:tcW w:w="180" w:type="dxa"/>
            <w:vAlign w:val="bottom"/>
          </w:tcPr>
          <w:p>
            <w:pPr>
              <w:spacing w:after="0"/>
              <w:rPr>
                <w:sz w:val="21"/>
                <w:szCs w:val="21"/>
                <w:color w:val="auto"/>
              </w:rPr>
            </w:pPr>
          </w:p>
        </w:tc>
        <w:tc>
          <w:tcPr>
            <w:tcW w:w="94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Revenue</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Revenue from Canadian</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medical cannabis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6,288</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13,139</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12,430</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Canadian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adult-use cannabis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59,346</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72,048</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118,152</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143,243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wholesale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4,289</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12,355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9,584</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international</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14,759</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11,931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27,147</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26,183</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(21,656)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(27,442)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(42,148)</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(53,993)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65,853</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67,114</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128,645</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137,447</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Key Operating Metrics</w:t>
            </w: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160" w:type="dxa"/>
            <w:vAlign w:val="bottom"/>
          </w:tcPr>
          <w:p>
            <w:pPr>
              <w:spacing w:after="0"/>
              <w:rPr>
                <w:sz w:val="23"/>
                <w:szCs w:val="23"/>
                <w:color w:val="auto"/>
              </w:rPr>
            </w:pPr>
          </w:p>
        </w:tc>
        <w:tc>
          <w:tcPr>
            <w:tcW w:w="3220" w:type="dxa"/>
            <w:vAlign w:val="bottom"/>
            <w:gridSpan w:val="4"/>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For the six months ended</w:t>
            </w:r>
          </w:p>
        </w:tc>
        <w:tc>
          <w:tcPr>
            <w:tcW w:w="0" w:type="dxa"/>
            <w:vAlign w:val="bottom"/>
          </w:tcPr>
          <w:p>
            <w:pPr>
              <w:spacing w:after="0"/>
              <w:rPr>
                <w:sz w:val="1"/>
                <w:szCs w:val="1"/>
                <w:color w:val="auto"/>
              </w:rPr>
            </w:pPr>
          </w:p>
        </w:tc>
      </w:tr>
      <w:tr>
        <w:trPr>
          <w:trHeight w:val="287"/>
        </w:trPr>
        <w:tc>
          <w:tcPr>
            <w:tcW w:w="43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1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1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16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7"/>
              </w:rPr>
              <w:t>November 30,</w:t>
            </w:r>
          </w:p>
        </w:tc>
        <w:tc>
          <w:tcPr>
            <w:tcW w:w="0" w:type="dxa"/>
            <w:vAlign w:val="bottom"/>
          </w:tcPr>
          <w:p>
            <w:pPr>
              <w:spacing w:after="0"/>
              <w:rPr>
                <w:sz w:val="1"/>
                <w:szCs w:val="1"/>
                <w:color w:val="auto"/>
              </w:rPr>
            </w:pPr>
          </w:p>
        </w:tc>
      </w:tr>
      <w:tr>
        <w:trPr>
          <w:trHeight w:val="264"/>
        </w:trPr>
        <w:tc>
          <w:tcPr>
            <w:tcW w:w="4360" w:type="dxa"/>
            <w:vAlign w:val="bottom"/>
            <w:vMerge w:val="continue"/>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43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beverage revenue</w:t>
            </w: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63,081</w:t>
            </w:r>
          </w:p>
        </w:tc>
        <w:tc>
          <w:tcPr>
            <w:tcW w:w="100" w:type="dxa"/>
            <w:vAlign w:val="bottom"/>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46,505</w:t>
            </w:r>
          </w:p>
        </w:tc>
        <w:tc>
          <w:tcPr>
            <w:tcW w:w="100" w:type="dxa"/>
            <w:vAlign w:val="bottom"/>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119,053</w:t>
            </w:r>
          </w:p>
        </w:tc>
        <w:tc>
          <w:tcPr>
            <w:tcW w:w="100" w:type="dxa"/>
            <w:vAlign w:val="bottom"/>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70,667</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Net cannabis revenue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65,652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67,114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126,901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137,447</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revenue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67,223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135,682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136,380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Wellness revenue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14,606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29,358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26,226</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Beverage costs</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37,925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30,513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70,975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41,779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Cannabis costs</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42,475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46,472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79,529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96,989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costs</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59,207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60,147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119,345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121,615</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Wellness costs</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20,219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18,732</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profit (excluding PPA step-up)</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62,596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52,110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122,477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101,412</w:t>
            </w:r>
          </w:p>
        </w:tc>
        <w:tc>
          <w:tcPr>
            <w:tcW w:w="0" w:type="dxa"/>
            <w:vAlign w:val="bottom"/>
          </w:tcPr>
          <w:p>
            <w:pPr>
              <w:spacing w:after="0"/>
              <w:rPr>
                <w:sz w:val="1"/>
                <w:szCs w:val="1"/>
                <w:color w:val="auto"/>
              </w:rPr>
            </w:pPr>
          </w:p>
        </w:tc>
      </w:tr>
      <w:tr>
        <w:trPr>
          <w:trHeight w:val="243"/>
        </w:trPr>
        <w:tc>
          <w:tcPr>
            <w:tcW w:w="4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Beverage adjusted gross margin (excluding PPA</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step-up)</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4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Cannabis adjusted gross margin (excluding PPA</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step-up)</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gross margin</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Wellness gross margin</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9,017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10,086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18,351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20,820</w:t>
            </w:r>
          </w:p>
        </w:tc>
        <w:tc>
          <w:tcPr>
            <w:tcW w:w="0" w:type="dxa"/>
            <w:vAlign w:val="bottom"/>
          </w:tcPr>
          <w:p>
            <w:pPr>
              <w:spacing w:after="0"/>
              <w:rPr>
                <w:sz w:val="1"/>
                <w:szCs w:val="1"/>
                <w:color w:val="auto"/>
              </w:rPr>
            </w:pPr>
          </w:p>
        </w:tc>
      </w:tr>
      <w:tr>
        <w:trPr>
          <w:trHeight w:val="243"/>
        </w:trPr>
        <w:tc>
          <w:tcPr>
            <w:tcW w:w="4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and marketable securities as at the period</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ended:</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252,249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259,791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252,249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259,791</w:t>
            </w:r>
          </w:p>
        </w:tc>
        <w:tc>
          <w:tcPr>
            <w:tcW w:w="0" w:type="dxa"/>
            <w:vAlign w:val="bottom"/>
          </w:tcPr>
          <w:p>
            <w:pPr>
              <w:spacing w:after="0"/>
              <w:rPr>
                <w:sz w:val="1"/>
                <w:szCs w:val="1"/>
                <w:color w:val="auto"/>
              </w:rPr>
            </w:pPr>
          </w:p>
        </w:tc>
      </w:tr>
      <w:tr>
        <w:trPr>
          <w:trHeight w:val="282"/>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Working capital as at the period ended:</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428,815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247,041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428,815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247,041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Gross Margin and Adjusted Gross Margin</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2"/>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8"/>
              </w:rPr>
              <w:t>For the three months ended November 30, 2024</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rPr>
              <w:t>63,081</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65,652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67,611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14,606</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210,950</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37,925</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42,475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59,207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10,123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149,730</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25,156</w:t>
            </w:r>
          </w:p>
        </w:tc>
        <w:tc>
          <w:tcPr>
            <w:tcW w:w="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23,177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8,404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4,483</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61,220</w:t>
            </w: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1,376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1,376</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rPr>
              <w:t>26,532</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23,177</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8,404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4,483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62,596</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12"/>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For the three months ended November 30, 2023</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rPr>
              <w:t>46,505</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67,114</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67,223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12,929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ind w:left="140"/>
              <w:spacing w:after="0" w:line="249" w:lineRule="exact"/>
              <w:rPr>
                <w:sz w:val="20"/>
                <w:szCs w:val="20"/>
                <w:color w:val="auto"/>
              </w:rPr>
            </w:pPr>
            <w:r>
              <w:rPr>
                <w:rFonts w:ascii="Times New Roman" w:cs="Times New Roman" w:eastAsia="Times New Roman" w:hAnsi="Times New Roman"/>
                <w:sz w:val="22"/>
                <w:szCs w:val="22"/>
                <w:color w:val="auto"/>
              </w:rPr>
              <w:t>193,771</w:t>
            </w:r>
          </w:p>
        </w:tc>
        <w:tc>
          <w:tcPr>
            <w:tcW w:w="0" w:type="dxa"/>
            <w:vAlign w:val="bottom"/>
          </w:tcPr>
          <w:p>
            <w:pPr>
              <w:spacing w:after="0"/>
              <w:rPr>
                <w:sz w:val="1"/>
                <w:szCs w:val="1"/>
                <w:color w:val="auto"/>
              </w:rPr>
            </w:pPr>
          </w:p>
        </w:tc>
      </w:t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30,513</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46,472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60,147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9,230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146,362</w:t>
            </w:r>
          </w:p>
        </w:tc>
        <w:tc>
          <w:tcPr>
            <w:tcW w:w="0" w:type="dxa"/>
            <w:vAlign w:val="bottom"/>
          </w:tcPr>
          <w:p>
            <w:pPr>
              <w:spacing w:after="0"/>
              <w:rPr>
                <w:sz w:val="1"/>
                <w:szCs w:val="1"/>
                <w:color w:val="auto"/>
              </w:rPr>
            </w:pPr>
          </w:p>
        </w:tc>
      </w:tr>
    </w:tbl>
    <w:p>
      <w:pPr>
        <w:sectPr>
          <w:pgSz w:w="11900" w:h="16838" w:orient="portrait"/>
          <w:cols w:equalWidth="0" w:num="1">
            <w:col w:w="11220"/>
          </w:cols>
          <w:pgMar w:left="340" w:top="98"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15,992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20,642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7,076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3,699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47,409</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4,701</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17,755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23,580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7,076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3,699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52,110</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22"/>
                <w:szCs w:val="22"/>
                <w:b w:val="1"/>
                <w:bCs w:val="1"/>
                <w:color w:val="auto"/>
              </w:rPr>
              <w:t>For the six months ended November 30, 2024</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119,053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126,901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135,682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29,358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410,994</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70,975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79,529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119,345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20,219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290,068</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48,078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47,372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16,337</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9,139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120,926</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1,551</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49,629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47,372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16,337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9,139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122,477</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22"/>
                <w:szCs w:val="22"/>
                <w:b w:val="1"/>
                <w:bCs w:val="1"/>
                <w:color w:val="auto"/>
              </w:rPr>
              <w:t>For the six months ended November 30, 2023</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70,667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137,447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136,380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26,226</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370,720</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41,779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96,989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121,615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18,732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279,115</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28,888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40,458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14,765</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7,494</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91,605</w:t>
            </w: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9,807</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31,241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47,912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14,765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7,494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101,412</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gridSpan w:val="18"/>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Adjusted Earnings Before Interest, Taxes and Amortization</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2180" w:type="dxa"/>
            <w:vAlign w:val="bottom"/>
          </w:tcPr>
          <w:p>
            <w:pPr>
              <w:spacing w:after="0"/>
              <w:rPr>
                <w:sz w:val="21"/>
                <w:szCs w:val="21"/>
                <w:color w:val="auto"/>
              </w:rPr>
            </w:pPr>
          </w:p>
        </w:tc>
        <w:tc>
          <w:tcPr>
            <w:tcW w:w="2240" w:type="dxa"/>
            <w:vAlign w:val="bottom"/>
            <w:gridSpan w:val="6"/>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5"/>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For the six</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3"/>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months ended</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2180" w:type="dxa"/>
            <w:vAlign w:val="bottom"/>
          </w:tcPr>
          <w:p>
            <w:pPr>
              <w:spacing w:after="0"/>
              <w:rPr>
                <w:sz w:val="21"/>
                <w:szCs w:val="21"/>
                <w:color w:val="auto"/>
              </w:rPr>
            </w:pP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18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2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 Change</w:t>
            </w:r>
          </w:p>
        </w:tc>
      </w:tr>
      <w:tr>
        <w:trPr>
          <w:trHeight w:val="263"/>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080" w:type="dxa"/>
            <w:vAlign w:val="bottom"/>
            <w:tcBorders>
              <w:top w:val="single" w:sz="8" w:color="auto"/>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 vs. 2023</w:t>
            </w:r>
          </w:p>
        </w:tc>
      </w:tr>
      <w:tr>
        <w:trPr>
          <w:trHeight w:val="250"/>
        </w:trPr>
        <w:tc>
          <w:tcPr>
            <w:tcW w:w="21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loss</w:t>
            </w:r>
          </w:p>
        </w:tc>
        <w:tc>
          <w:tcPr>
            <w:tcW w:w="18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(85,275)</w:t>
            </w:r>
          </w:p>
        </w:tc>
        <w:tc>
          <w:tcPr>
            <w:tcW w:w="100" w:type="dxa"/>
            <w:vAlign w:val="bottom"/>
          </w:tcPr>
          <w:p>
            <w:pPr>
              <w:spacing w:after="0"/>
              <w:rPr>
                <w:sz w:val="21"/>
                <w:szCs w:val="21"/>
                <w:color w:val="auto"/>
              </w:rPr>
            </w:pPr>
          </w:p>
        </w:tc>
        <w:tc>
          <w:tcPr>
            <w:tcW w:w="24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5"/>
              </w:rPr>
              <w:t>(46,183)</w:t>
            </w:r>
          </w:p>
        </w:tc>
        <w:tc>
          <w:tcPr>
            <w:tcW w:w="100" w:type="dxa"/>
            <w:vAlign w:val="bottom"/>
          </w:tcPr>
          <w:p>
            <w:pPr>
              <w:spacing w:after="0"/>
              <w:rPr>
                <w:sz w:val="21"/>
                <w:szCs w:val="21"/>
                <w:color w:val="auto"/>
              </w:rPr>
            </w:pPr>
          </w:p>
        </w:tc>
        <w:tc>
          <w:tcPr>
            <w:tcW w:w="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(39,092)</w:t>
            </w:r>
          </w:p>
        </w:tc>
        <w:tc>
          <w:tcPr>
            <w:tcW w:w="10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85%</w:t>
            </w:r>
          </w:p>
        </w:tc>
        <w:tc>
          <w:tcPr>
            <w:tcW w:w="120" w:type="dxa"/>
            <w:vAlign w:val="bottom"/>
          </w:tcPr>
          <w:p>
            <w:pPr>
              <w:spacing w:after="0"/>
              <w:rPr>
                <w:sz w:val="21"/>
                <w:szCs w:val="21"/>
                <w:color w:val="auto"/>
              </w:rPr>
            </w:pPr>
          </w:p>
        </w:tc>
        <w:tc>
          <w:tcPr>
            <w:tcW w:w="1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5"/>
              </w:rPr>
              <w:t>(119,927)</w:t>
            </w:r>
          </w:p>
        </w:tc>
        <w:tc>
          <w:tcPr>
            <w:tcW w:w="120" w:type="dxa"/>
            <w:vAlign w:val="bottom"/>
          </w:tcPr>
          <w:p>
            <w:pPr>
              <w:spacing w:after="0"/>
              <w:rPr>
                <w:sz w:val="21"/>
                <w:szCs w:val="21"/>
                <w:color w:val="auto"/>
              </w:rPr>
            </w:pPr>
          </w:p>
        </w:tc>
        <w:tc>
          <w:tcPr>
            <w:tcW w:w="1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5"/>
              </w:rPr>
              <w:t>(102,046)</w:t>
            </w:r>
          </w:p>
        </w:tc>
        <w:tc>
          <w:tcPr>
            <w:tcW w:w="120" w:type="dxa"/>
            <w:vAlign w:val="bottom"/>
          </w:tcPr>
          <w:p>
            <w:pPr>
              <w:spacing w:after="0"/>
              <w:rPr>
                <w:sz w:val="21"/>
                <w:szCs w:val="21"/>
                <w:color w:val="auto"/>
              </w:rPr>
            </w:pPr>
          </w:p>
        </w:tc>
        <w:tc>
          <w:tcPr>
            <w:tcW w:w="1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(17,881)</w:t>
            </w:r>
          </w:p>
        </w:tc>
        <w:tc>
          <w:tcPr>
            <w:tcW w:w="10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(recovery), net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Non-operating income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(expense), net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34,076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17,028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Stock-based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compensation</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fair value of</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contingent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consideration</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Purchase price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accounting step-up</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Facility start-up and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closure costs</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Litigation costs, net of</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recoveries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w:t>
            </w: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Transaction costs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(income), net</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9,596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(7,638)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64"/>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9,017</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10,086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(1,069)</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18,351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20,820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(2,469)</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12"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2"/>
                <w:szCs w:val="22"/>
                <w:color w:val="auto"/>
              </w:rPr>
            </w:pPr>
          </w:p>
        </w:tc>
        <w:tc>
          <w:tcPr>
            <w:tcW w:w="2240" w:type="dxa"/>
            <w:vAlign w:val="bottom"/>
            <w:gridSpan w:val="6"/>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For the six</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3"/>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months ended</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65"/>
        </w:trPr>
        <w:tc>
          <w:tcPr>
            <w:tcW w:w="2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attributable to</w:t>
            </w:r>
          </w:p>
        </w:tc>
        <w:tc>
          <w:tcPr>
            <w:tcW w:w="18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2080" w:type="dxa"/>
            <w:vAlign w:val="bottom"/>
            <w:tcBorders>
              <w:top w:val="single" w:sz="8" w:color="auto"/>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Change</w:t>
            </w: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100" w:type="dxa"/>
            <w:vAlign w:val="bottom"/>
            <w:tcBorders>
              <w:top w:val="single" w:sz="8" w:color="auto"/>
              <w:bottom w:val="single" w:sz="8" w:color="auto"/>
            </w:tcBorders>
            <w:gridSpan w:val="3"/>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0" w:type="dxa"/>
            <w:vAlign w:val="bottom"/>
          </w:tcPr>
          <w:p>
            <w:pPr>
              <w:spacing w:after="0"/>
              <w:rPr>
                <w:sz w:val="1"/>
                <w:szCs w:val="1"/>
                <w:color w:val="auto"/>
              </w:rPr>
            </w:pPr>
          </w:p>
        </w:tc>
      </w:tr>
      <w:tr>
        <w:trPr>
          <w:trHeight w:val="209"/>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stockholders of Tilray</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Brands, Inc.</w:t>
            </w: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(85,342)</w:t>
            </w:r>
          </w:p>
        </w:tc>
        <w:tc>
          <w:tcPr>
            <w:tcW w:w="10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(49,008)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(36,334)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$(124,507)</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$(120,533)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Non-operating income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(expense), net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34,076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17,028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Stock-based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compensation</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fair value of</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contingent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consideration</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Facility start-up and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closure costs</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Litigation costs, net of</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recoveries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Transaction costs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(income)</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9,596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(7,638)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11"/>
        </w:trPr>
        <w:tc>
          <w:tcPr>
            <w:tcW w:w="218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Adjusted net income</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(2,228)</w:t>
            </w:r>
          </w:p>
        </w:tc>
        <w:tc>
          <w:tcPr>
            <w:tcW w:w="100" w:type="dxa"/>
            <w:vAlign w:val="bottom"/>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(2,685)</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457</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12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(8,310)</w:t>
            </w:r>
          </w:p>
        </w:tc>
        <w:tc>
          <w:tcPr>
            <w:tcW w:w="12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(29,818)</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21,508</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62"/>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(loss)</w:t>
            </w: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Adjusted net income</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(loss) per share - basic</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120" w:type="dxa"/>
            <w:vAlign w:val="bottom"/>
          </w:tcPr>
          <w:p>
            <w:pPr>
              <w:spacing w:after="0"/>
              <w:rPr>
                <w:sz w:val="21"/>
                <w:szCs w:val="2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01)</w:t>
            </w:r>
          </w:p>
        </w:tc>
        <w:tc>
          <w:tcPr>
            <w:tcW w:w="120" w:type="dxa"/>
            <w:vAlign w:val="bottom"/>
          </w:tcPr>
          <w:p>
            <w:pPr>
              <w:spacing w:after="0"/>
              <w:rPr>
                <w:sz w:val="21"/>
                <w:szCs w:val="2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04)</w:t>
            </w:r>
          </w:p>
        </w:tc>
        <w:tc>
          <w:tcPr>
            <w:tcW w:w="12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03</w:t>
            </w:r>
          </w:p>
        </w:tc>
        <w:tc>
          <w:tcPr>
            <w:tcW w:w="10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and diluted</w:t>
            </w:r>
          </w:p>
        </w:tc>
        <w:tc>
          <w:tcPr>
            <w:tcW w:w="18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Other Financial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Information: Free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Flow</w:t>
            </w:r>
          </w:p>
        </w:tc>
        <w:tc>
          <w:tcPr>
            <w:tcW w:w="22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For the six</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80" w:type="dxa"/>
            <w:vAlign w:val="bottom"/>
          </w:tcPr>
          <w:p>
            <w:pPr>
              <w:spacing w:after="0"/>
              <w:rPr>
                <w:sz w:val="19"/>
                <w:szCs w:val="19"/>
                <w:color w:val="auto"/>
              </w:rPr>
            </w:pPr>
          </w:p>
        </w:tc>
        <w:tc>
          <w:tcPr>
            <w:tcW w:w="224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3"/>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months ended</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November</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180" w:type="dxa"/>
            <w:vAlign w:val="bottom"/>
          </w:tcPr>
          <w:p>
            <w:pPr>
              <w:spacing w:after="0"/>
              <w:rPr>
                <w:sz w:val="24"/>
                <w:szCs w:val="24"/>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06"/>
        </w:trPr>
        <w:tc>
          <w:tcPr>
            <w:tcW w:w="21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80" w:type="dxa"/>
            <w:vAlign w:val="bottom"/>
          </w:tcPr>
          <w:p>
            <w:pPr>
              <w:spacing w:after="0"/>
              <w:rPr>
                <w:sz w:val="24"/>
                <w:szCs w:val="24"/>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4"/>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2024 vs. 2023</w:t>
            </w: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11"/>
        </w:trPr>
        <w:tc>
          <w:tcPr>
            <w:tcW w:w="218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Net cash used in</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operating 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(40,724)</w:t>
            </w:r>
          </w:p>
        </w:tc>
        <w:tc>
          <w:tcPr>
            <w:tcW w:w="10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(30,409)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(76,031)</w:t>
            </w:r>
          </w:p>
        </w:tc>
        <w:tc>
          <w:tcPr>
            <w:tcW w:w="1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(29,780)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investments in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and intangible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assets, net</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(5,836)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1,003</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(11,541)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(9,646)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(1,895)</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Free cash flow</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(45,557)</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(36,245)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(9,312)</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(87,572)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(55,897)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(31,675)</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 growth CAPEX</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(1,188)</w:t>
            </w:r>
          </w:p>
        </w:tc>
        <w:tc>
          <w:tcPr>
            <w:tcW w:w="10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(335)</w:t>
            </w:r>
          </w:p>
        </w:tc>
        <w:tc>
          <w:tcPr>
            <w:tcW w:w="10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cash income taxes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related to Aphria</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Diamond</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(14,216)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integration costs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related to HEXO</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Adjusted free cash flow</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(43,587)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(18,355)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(25,232)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(83,062)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(24,691)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(58,371)</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236%</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2025-01-10T06:10:47Z</dcterms:created>
  <dcterms:modified xsi:type="dcterms:W3CDTF">2025-01-10T06:10:47Z</dcterms:modified>
</cp:coreProperties>
</file>