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4"/>
          <w:szCs w:val="24"/>
          <w:color w:val="auto"/>
        </w:rPr>
      </w:pPr>
    </w:p>
    <w:p>
      <w:pPr>
        <w:jc w:val="right"/>
        <w:ind w:right="619"/>
        <w:spacing w:after="0"/>
        <w:rPr>
          <w:sz w:val="20"/>
          <w:szCs w:val="20"/>
          <w:color w:val="auto"/>
        </w:rPr>
      </w:pPr>
      <w:r>
        <w:rPr>
          <w:rFonts w:ascii="Times New Roman" w:cs="Times New Roman" w:eastAsia="Times New Roman" w:hAnsi="Times New Roman"/>
          <w:sz w:val="17"/>
          <w:szCs w:val="17"/>
          <w:b w:val="1"/>
          <w:bCs w:val="1"/>
          <w:color w:val="auto"/>
        </w:rPr>
        <w:t>Filed Pursuant to Rule 424(b)(7)</w:t>
      </w:r>
    </w:p>
    <w:p>
      <w:pPr>
        <w:spacing w:after="0" w:line="33" w:lineRule="exact"/>
        <w:rPr>
          <w:sz w:val="24"/>
          <w:szCs w:val="24"/>
          <w:color w:val="auto"/>
        </w:rPr>
      </w:pPr>
    </w:p>
    <w:p>
      <w:pPr>
        <w:jc w:val="right"/>
        <w:ind w:right="559"/>
        <w:spacing w:after="0"/>
        <w:rPr>
          <w:sz w:val="20"/>
          <w:szCs w:val="20"/>
          <w:color w:val="auto"/>
        </w:rPr>
      </w:pPr>
      <w:r>
        <w:rPr>
          <w:rFonts w:ascii="Times New Roman" w:cs="Times New Roman" w:eastAsia="Times New Roman" w:hAnsi="Times New Roman"/>
          <w:sz w:val="17"/>
          <w:szCs w:val="17"/>
          <w:b w:val="1"/>
          <w:bCs w:val="1"/>
          <w:color w:val="auto"/>
        </w:rPr>
        <w:t>Registration No. 333-290806</w:t>
      </w:r>
    </w:p>
    <w:p>
      <w:pPr>
        <w:spacing w:after="0" w:line="30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3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(To Prospectus dated October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2035810</wp:posOffset>
            </wp:positionH>
            <wp:positionV relativeFrom="paragraph">
              <wp:posOffset>164465</wp:posOffset>
            </wp:positionV>
            <wp:extent cx="1656715" cy="445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6715" cy="445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 </w:t>
      </w: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Tilray Brands,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398,666 Shares of Common Stock</w:t>
      </w:r>
    </w:p>
    <w:p>
      <w:pPr>
        <w:spacing w:after="0" w:line="96" w:lineRule="exact"/>
        <w:rPr>
          <w:sz w:val="24"/>
          <w:szCs w:val="24"/>
          <w:color w:val="auto"/>
        </w:rPr>
      </w:pPr>
    </w:p>
    <w:p>
      <w:pPr>
        <w:ind w:left="560" w:right="659" w:firstLine="346"/>
        <w:spacing w:after="0" w:line="258" w:lineRule="auto"/>
        <w:rPr>
          <w:sz w:val="20"/>
          <w:szCs w:val="20"/>
          <w:color w:val="auto"/>
        </w:rPr>
      </w:pPr>
      <w:r>
        <w:rPr>
          <w:rFonts w:ascii="Times New Roman" w:cs="Times New Roman" w:eastAsia="Times New Roman" w:hAnsi="Times New Roman"/>
          <w:sz w:val="17"/>
          <w:szCs w:val="17"/>
          <w:color w:val="auto"/>
        </w:rPr>
        <w:t>This prospectus supplement supplements the accompanying prospectus, and registers the resale of an aggregate of 398,666 shares of our common stock, par value $0.0001 per share (“Common Stock”), held by the selling stockholder identified herein. The selling stockholder acquired these shares of Common Stock from us as part of the consideration paid pursuant to that share purchase agreement, dated April 15, 2026, relating to the acquisition of the Lyphe Group from the selling stockholder. The selling stockholder (which term as used herein includes its donees and pledgees, transferees or other successors in interest) may sell these shares through public or private transactions at market prices prevailing at the time of sale, at prices related to such market prices, at varying prices determined at the time of sale, at fixed prices or at negotiated prices. The timing and amount of any sale is within the sole discretion of the selling stockholder, subject to certain restrictions. See “Plan of Distribution” on page S-</w:t>
      </w:r>
      <w:r>
        <w:rPr>
          <w:rFonts w:ascii="Times New Roman" w:cs="Times New Roman" w:eastAsia="Times New Roman" w:hAnsi="Times New Roman"/>
          <w:sz w:val="17"/>
          <w:szCs w:val="17"/>
          <w:u w:val="single" w:color="auto"/>
          <w:color w:val="0000EE"/>
        </w:rPr>
        <w:t>9</w:t>
      </w:r>
      <w:r>
        <w:rPr>
          <w:rFonts w:ascii="Times New Roman" w:cs="Times New Roman" w:eastAsia="Times New Roman" w:hAnsi="Times New Roman"/>
          <w:sz w:val="17"/>
          <w:szCs w:val="17"/>
          <w:color w:val="auto"/>
        </w:rPr>
        <w:t xml:space="preserve"> of this prospectus supplement. We will not receive any proceeds from the sale of the shares by the selling stockholder.</w:t>
      </w:r>
    </w:p>
    <w:p>
      <w:pPr>
        <w:spacing w:after="0" w:line="77" w:lineRule="exact"/>
        <w:rPr>
          <w:sz w:val="24"/>
          <w:szCs w:val="24"/>
          <w:color w:val="auto"/>
        </w:rPr>
      </w:pPr>
    </w:p>
    <w:p>
      <w:pPr>
        <w:ind w:left="560" w:right="739" w:firstLine="346"/>
        <w:spacing w:after="0" w:line="273"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(“Nasdaq”) and the Toronto Stock Exchange (the “TSX”) under the trading symbol “TLRY.” On April 20, 2026, the last sale price of shares of our Common Stock was $7.15 per share on Nasdaq and C$9.75 per share on the TSX.</w:t>
      </w:r>
    </w:p>
    <w:p>
      <w:pPr>
        <w:spacing w:after="0" w:line="56" w:lineRule="exact"/>
        <w:rPr>
          <w:sz w:val="24"/>
          <w:szCs w:val="24"/>
          <w:color w:val="auto"/>
        </w:rPr>
      </w:pPr>
    </w:p>
    <w:p>
      <w:pPr>
        <w:ind w:left="560" w:right="699" w:firstLine="34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Investing in our Common Stock involves risks. See “Risk Factors” on page S-</w:t>
      </w:r>
      <w:r>
        <w:rPr>
          <w:rFonts w:ascii="Times New Roman" w:cs="Times New Roman" w:eastAsia="Times New Roman" w:hAnsi="Times New Roman"/>
          <w:sz w:val="17"/>
          <w:szCs w:val="17"/>
          <w:b w:val="1"/>
          <w:bCs w:val="1"/>
          <w:i w:val="1"/>
          <w:iCs w:val="1"/>
          <w:u w:val="single" w:color="auto"/>
          <w:color w:val="0000EE"/>
        </w:rPr>
        <w:t>3</w:t>
      </w:r>
      <w:r>
        <w:rPr>
          <w:rFonts w:ascii="Times New Roman" w:cs="Times New Roman" w:eastAsia="Times New Roman" w:hAnsi="Times New Roman"/>
          <w:sz w:val="17"/>
          <w:szCs w:val="17"/>
          <w:b w:val="1"/>
          <w:bCs w:val="1"/>
          <w:i w:val="1"/>
          <w:iCs w:val="1"/>
          <w:color w:val="auto"/>
        </w:rPr>
        <w:t xml:space="preserve"> of this prospectus supplement, and on page </w:t>
      </w:r>
      <w:r>
        <w:rPr>
          <w:rFonts w:ascii="Times New Roman" w:cs="Times New Roman" w:eastAsia="Times New Roman" w:hAnsi="Times New Roman"/>
          <w:sz w:val="17"/>
          <w:szCs w:val="17"/>
          <w:b w:val="1"/>
          <w:bCs w:val="1"/>
          <w:i w:val="1"/>
          <w:iCs w:val="1"/>
          <w:u w:val="single" w:color="auto"/>
          <w:color w:val="0000EE"/>
        </w:rPr>
        <w:t>5</w:t>
      </w:r>
      <w:r>
        <w:rPr>
          <w:rFonts w:ascii="Times New Roman" w:cs="Times New Roman" w:eastAsia="Times New Roman" w:hAnsi="Times New Roman"/>
          <w:sz w:val="17"/>
          <w:szCs w:val="17"/>
          <w:b w:val="1"/>
          <w:bCs w:val="1"/>
          <w:i w:val="1"/>
          <w:iCs w:val="1"/>
          <w:color w:val="auto"/>
        </w:rPr>
        <w:t xml:space="preserve"> of the accompanying prospectus, as well as our other filings that are incorporated by reference into this prospectus supplement and the accompanying prospectus.</w:t>
      </w:r>
    </w:p>
    <w:p>
      <w:pPr>
        <w:spacing w:after="0" w:line="54" w:lineRule="exact"/>
        <w:rPr>
          <w:sz w:val="24"/>
          <w:szCs w:val="24"/>
          <w:color w:val="auto"/>
        </w:rPr>
      </w:pPr>
    </w:p>
    <w:p>
      <w:pPr>
        <w:ind w:left="560" w:right="579" w:firstLine="346"/>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9019"/>
          </w:cols>
          <w:pgMar w:left="1440" w:top="21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prospectus supplement is dated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19" w:right="1440" w:bottom="1440" w:gutter="0" w:footer="0" w:header="0"/>
          <w:type w:val="continuous"/>
        </w:sectPr>
      </w:pPr>
    </w:p>
    <w:bookmarkStart w:id="1" w:name="page2"/>
    <w:bookmarkEnd w:id="1"/>
    <w:tbl>
      <w:tblPr>
        <w:tblLayout w:type="fixed"/>
        <w:tblInd w:w="460" w:type="dxa"/>
        <w:tblCellMar>
          <w:top w:w="0" w:type="dxa"/>
          <w:left w:w="0" w:type="dxa"/>
          <w:bottom w:w="0" w:type="dxa"/>
          <w:right w:w="0" w:type="dxa"/>
        </w:tblCellMar>
      </w:tblPr>
      <w:tr>
        <w:trPr>
          <w:trHeight w:val="161"/>
        </w:trPr>
        <w:tc>
          <w:tcPr>
            <w:tcW w:w="748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0"/>
        </w:trPr>
        <w:tc>
          <w:tcPr>
            <w:tcW w:w="7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6"/>
          </w:tcPr>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 </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20" w:type="dxa"/>
            <w:vAlign w:val="bottom"/>
            <w:gridSpan w:val="5"/>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Prospectus Supplement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8"/>
        </w:trPr>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330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 SUPPLEMENT</w:t>
            </w:r>
          </w:p>
        </w:tc>
        <w:tc>
          <w:tcPr>
            <w:tcW w:w="4180" w:type="dxa"/>
            <w:vAlign w:val="bottom"/>
            <w:tcBorders>
              <w:bottom w:val="single" w:sz="8" w:color="CCEEFF"/>
            </w:tcBorders>
            <w:gridSpan w:val="4"/>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0000EE"/>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97"/>
              </w:rPr>
              <w:t>S-ii</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PROSPECTUS SUPPLEMENT SUMMARY</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5"/>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S-1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12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RISK FACTORS</w:t>
            </w:r>
          </w:p>
        </w:tc>
        <w:tc>
          <w:tcPr>
            <w:tcW w:w="6280" w:type="dxa"/>
            <w:vAlign w:val="bottom"/>
            <w:gridSpan w:val="17"/>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5"/>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S-3</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5"/>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S-4</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152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USE OF PROCEEDS</w:t>
            </w:r>
          </w:p>
        </w:tc>
        <w:tc>
          <w:tcPr>
            <w:tcW w:w="5960" w:type="dxa"/>
            <w:vAlign w:val="bottom"/>
            <w:gridSpan w:val="14"/>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5"/>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S-7</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SELLING STOCKHOLDER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5"/>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S-8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PLAN OF DISTRIBUTION</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5"/>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S-9</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1960" w:type="dxa"/>
            <w:vAlign w:val="bottom"/>
            <w:gridSpan w:val="6"/>
          </w:tcPr>
          <w:p>
            <w:pPr>
              <w:spacing w:after="0" w:line="182" w:lineRule="exact"/>
              <w:rPr>
                <w:sz w:val="20"/>
                <w:szCs w:val="20"/>
                <w:color w:val="auto"/>
              </w:rPr>
            </w:pPr>
            <w:r>
              <w:rPr>
                <w:rFonts w:ascii="Times New Roman" w:cs="Times New Roman" w:eastAsia="Times New Roman" w:hAnsi="Times New Roman"/>
                <w:sz w:val="17"/>
                <w:szCs w:val="17"/>
                <w:color w:val="0000EE"/>
              </w:rPr>
              <w:t>LEGAL MATTERS</w:t>
            </w:r>
          </w:p>
        </w:tc>
        <w:tc>
          <w:tcPr>
            <w:tcW w:w="5520" w:type="dxa"/>
            <w:vAlign w:val="bottom"/>
            <w:gridSpan w:val="13"/>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6"/>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w w:val="93"/>
              </w:rPr>
              <w:t>S-11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740" w:type="dxa"/>
            <w:vAlign w:val="bottom"/>
            <w:tcBorders>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EXPERTS</w:t>
            </w:r>
          </w:p>
        </w:tc>
        <w:tc>
          <w:tcPr>
            <w:tcW w:w="6740" w:type="dxa"/>
            <w:vAlign w:val="bottom"/>
            <w:tcBorders>
              <w:bottom w:val="single" w:sz="8" w:color="CCEEFF"/>
            </w:tcBorders>
            <w:gridSpan w:val="18"/>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EE"/>
            </w:tcBorders>
            <w:gridSpan w:val="5"/>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0000EE"/>
                <w:w w:val="93"/>
              </w:rPr>
              <w:t>S-11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280" w:type="dxa"/>
            <w:vAlign w:val="bottom"/>
          </w:tcPr>
          <w:p>
            <w:pPr>
              <w:spacing w:after="0"/>
              <w:rPr>
                <w:sz w:val="15"/>
                <w:szCs w:val="15"/>
                <w:color w:val="auto"/>
              </w:rPr>
            </w:pPr>
          </w:p>
        </w:tc>
        <w:tc>
          <w:tcPr>
            <w:tcW w:w="340" w:type="dxa"/>
            <w:vAlign w:val="bottom"/>
            <w:gridSpan w:val="6"/>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w w:val="93"/>
              </w:rPr>
              <w:t>S-11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280" w:type="dxa"/>
            <w:vAlign w:val="bottom"/>
            <w:shd w:val="clear" w:color="auto" w:fill="CCEEFF"/>
          </w:tcPr>
          <w:p>
            <w:pPr>
              <w:spacing w:after="0"/>
              <w:rPr>
                <w:sz w:val="15"/>
                <w:szCs w:val="15"/>
                <w:color w:val="auto"/>
              </w:rPr>
            </w:pPr>
          </w:p>
        </w:tc>
        <w:tc>
          <w:tcPr>
            <w:tcW w:w="340" w:type="dxa"/>
            <w:vAlign w:val="bottom"/>
            <w:gridSpan w:val="6"/>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w w:val="93"/>
              </w:rPr>
              <w:t>S-12</w:t>
            </w:r>
          </w:p>
        </w:tc>
      </w:tr>
      <w:tr>
        <w:trPr>
          <w:trHeight w:val="71"/>
        </w:trPr>
        <w:tc>
          <w:tcPr>
            <w:tcW w:w="7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3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19"/>
        </w:trPr>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gridSpan w:val="4"/>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Prospectus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2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5340" w:type="dxa"/>
            <w:vAlign w:val="bottom"/>
            <w:gridSpan w:val="10"/>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EE"/>
              </w:rPr>
              <w:t>ii</w:t>
            </w:r>
          </w:p>
        </w:tc>
      </w:tr>
      <w:tr>
        <w:trPr>
          <w:trHeight w:val="182"/>
        </w:trPr>
        <w:tc>
          <w:tcPr>
            <w:tcW w:w="2140" w:type="dxa"/>
            <w:vAlign w:val="bottom"/>
            <w:tcBorders>
              <w:top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PROSPECTUS SUMMARY</w:t>
            </w:r>
          </w:p>
        </w:tc>
        <w:tc>
          <w:tcPr>
            <w:tcW w:w="5340" w:type="dxa"/>
            <w:vAlign w:val="bottom"/>
            <w:tcBorders>
              <w:top w:val="single" w:sz="8" w:color="CCEEFF"/>
            </w:tcBorders>
            <w:gridSpan w:val="10"/>
          </w:tcPr>
          <w:p>
            <w:pPr>
              <w:spacing w:after="0"/>
              <w:rPr>
                <w:sz w:val="15"/>
                <w:szCs w:val="15"/>
                <w:color w:val="auto"/>
              </w:rPr>
            </w:pPr>
          </w:p>
        </w:tc>
        <w:tc>
          <w:tcPr>
            <w:tcW w:w="50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0000EE"/>
            </w:tcBorders>
          </w:tcPr>
          <w:p>
            <w:pPr>
              <w:jc w:val="right"/>
              <w:spacing w:after="0" w:line="182" w:lineRule="exact"/>
              <w:rPr>
                <w:sz w:val="20"/>
                <w:szCs w:val="20"/>
                <w:color w:val="auto"/>
              </w:rPr>
            </w:pPr>
            <w:r>
              <w:rPr>
                <w:rFonts w:ascii="Times New Roman" w:cs="Times New Roman" w:eastAsia="Times New Roman" w:hAnsi="Times New Roman"/>
                <w:sz w:val="17"/>
                <w:szCs w:val="17"/>
                <w:color w:val="0000EE"/>
                <w:w w:val="93"/>
              </w:rPr>
              <w:t>1</w:t>
            </w:r>
          </w:p>
        </w:tc>
        <w:tc>
          <w:tcPr>
            <w:tcW w:w="20" w:type="dxa"/>
            <w:vAlign w:val="bottom"/>
            <w:tcBorders>
              <w:top w:val="single" w:sz="8" w:color="CCEEFF"/>
            </w:tcBorders>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1200" w:type="dxa"/>
            <w:vAlign w:val="bottom"/>
            <w:tcBorders>
              <w:bottom w:val="single" w:sz="8" w:color="0000EE"/>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RISK FACTORS</w:t>
            </w:r>
          </w:p>
        </w:tc>
        <w:tc>
          <w:tcPr>
            <w:tcW w:w="6280" w:type="dxa"/>
            <w:vAlign w:val="bottom"/>
            <w:tcBorders>
              <w:bottom w:val="single" w:sz="8" w:color="CCEEFF"/>
            </w:tcBorders>
            <w:gridSpan w:val="17"/>
            <w:shd w:val="clear" w:color="auto" w:fill="CCEEFF"/>
          </w:tcPr>
          <w:p>
            <w:pPr>
              <w:spacing w:after="0"/>
              <w:rPr>
                <w:sz w:val="18"/>
                <w:szCs w:val="18"/>
                <w:color w:val="auto"/>
              </w:rPr>
            </w:pPr>
          </w:p>
        </w:tc>
        <w:tc>
          <w:tcPr>
            <w:tcW w:w="500" w:type="dxa"/>
            <w:vAlign w:val="bottom"/>
            <w:tcBorders>
              <w:bottom w:val="single" w:sz="8" w:color="CCEEFF"/>
            </w:tcBorders>
            <w:gridSpan w:val="5"/>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0000EE"/>
                <w:w w:val="93"/>
              </w:rPr>
              <w:t>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600" w:type="dxa"/>
            <w:vAlign w:val="bottom"/>
            <w:gridSpan w:val="6"/>
          </w:tcPr>
          <w:p>
            <w:pPr>
              <w:jc w:val="right"/>
              <w:spacing w:after="0" w:line="182" w:lineRule="exact"/>
              <w:rPr>
                <w:sz w:val="20"/>
                <w:szCs w:val="20"/>
                <w:color w:val="auto"/>
              </w:rPr>
            </w:pPr>
            <w:r>
              <w:rPr>
                <w:rFonts w:ascii="Times New Roman" w:cs="Times New Roman" w:eastAsia="Times New Roman" w:hAnsi="Times New Roman"/>
                <w:sz w:val="17"/>
                <w:szCs w:val="17"/>
                <w:color w:val="0000EE"/>
              </w:rPr>
              <w:t>6</w:t>
            </w:r>
          </w:p>
        </w:tc>
        <w:tc>
          <w:tcPr>
            <w:tcW w:w="20" w:type="dxa"/>
            <w:vAlign w:val="bottom"/>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2760" w:type="dxa"/>
            <w:vAlign w:val="bottom"/>
            <w:tcBorders>
              <w:bottom w:val="single" w:sz="8" w:color="0000EE"/>
            </w:tcBorders>
            <w:gridSpan w:val="1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4720" w:type="dxa"/>
            <w:vAlign w:val="bottom"/>
            <w:tcBorders>
              <w:bottom w:val="single" w:sz="8" w:color="CCEEFF"/>
            </w:tcBorders>
            <w:gridSpan w:val="7"/>
            <w:shd w:val="clear" w:color="auto" w:fill="CCEEFF"/>
          </w:tcPr>
          <w:p>
            <w:pPr>
              <w:spacing w:after="0"/>
              <w:rPr>
                <w:sz w:val="18"/>
                <w:szCs w:val="18"/>
                <w:color w:val="auto"/>
              </w:rPr>
            </w:pPr>
          </w:p>
        </w:tc>
        <w:tc>
          <w:tcPr>
            <w:tcW w:w="500" w:type="dxa"/>
            <w:vAlign w:val="bottom"/>
            <w:tcBorders>
              <w:bottom w:val="single" w:sz="8" w:color="CCEEFF"/>
            </w:tcBorders>
            <w:gridSpan w:val="5"/>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0000EE"/>
                <w:w w:val="93"/>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620" w:type="dxa"/>
            <w:vAlign w:val="bottom"/>
            <w:gridSpan w:val="7"/>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13</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238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9"/>
              </w:rPr>
              <w:t>DESCRIPTION OF WARRANTS</w:t>
            </w:r>
          </w:p>
        </w:tc>
        <w:tc>
          <w:tcPr>
            <w:tcW w:w="5100" w:type="dxa"/>
            <w:vAlign w:val="bottom"/>
            <w:gridSpan w:val="9"/>
            <w:shd w:val="clear" w:color="auto" w:fill="CCEEFF"/>
          </w:tcPr>
          <w:p>
            <w:pPr>
              <w:spacing w:after="0"/>
              <w:rPr>
                <w:sz w:val="15"/>
                <w:szCs w:val="15"/>
                <w:color w:val="auto"/>
              </w:rPr>
            </w:pPr>
          </w:p>
        </w:tc>
        <w:tc>
          <w:tcPr>
            <w:tcW w:w="620" w:type="dxa"/>
            <w:vAlign w:val="bottom"/>
            <w:gridSpan w:val="7"/>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19</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LEGAL OWNERSHIP OF SECURITIES</w:t>
            </w:r>
          </w:p>
        </w:tc>
        <w:tc>
          <w:tcPr>
            <w:tcW w:w="620" w:type="dxa"/>
            <w:vAlign w:val="bottom"/>
            <w:gridSpan w:val="7"/>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SELLING SECURITYHOLDERS</w:t>
            </w:r>
          </w:p>
        </w:tc>
        <w:tc>
          <w:tcPr>
            <w:tcW w:w="620" w:type="dxa"/>
            <w:vAlign w:val="bottom"/>
            <w:gridSpan w:val="7"/>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24</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2400" w:type="dxa"/>
            <w:vAlign w:val="bottom"/>
            <w:gridSpan w:val="11"/>
          </w:tcPr>
          <w:p>
            <w:pPr>
              <w:spacing w:after="0" w:line="182" w:lineRule="exact"/>
              <w:rPr>
                <w:sz w:val="20"/>
                <w:szCs w:val="20"/>
                <w:color w:val="auto"/>
              </w:rPr>
            </w:pPr>
            <w:r>
              <w:rPr>
                <w:rFonts w:ascii="Times New Roman" w:cs="Times New Roman" w:eastAsia="Times New Roman" w:hAnsi="Times New Roman"/>
                <w:sz w:val="17"/>
                <w:szCs w:val="17"/>
                <w:color w:val="0000EE"/>
              </w:rPr>
              <w:t>USE OF PROCEEDS</w:t>
            </w:r>
          </w:p>
        </w:tc>
        <w:tc>
          <w:tcPr>
            <w:tcW w:w="5080" w:type="dxa"/>
            <w:vAlign w:val="bottom"/>
            <w:gridSpan w:val="8"/>
          </w:tcPr>
          <w:p>
            <w:pPr>
              <w:spacing w:after="0"/>
              <w:rPr>
                <w:sz w:val="15"/>
                <w:szCs w:val="15"/>
                <w:color w:val="auto"/>
              </w:rPr>
            </w:pPr>
          </w:p>
        </w:tc>
        <w:tc>
          <w:tcPr>
            <w:tcW w:w="620" w:type="dxa"/>
            <w:vAlign w:val="bottom"/>
            <w:gridSpan w:val="7"/>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25</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PLAN OF DISTRIBUTION</w:t>
            </w:r>
          </w:p>
        </w:tc>
        <w:tc>
          <w:tcPr>
            <w:tcW w:w="620" w:type="dxa"/>
            <w:vAlign w:val="bottom"/>
            <w:gridSpan w:val="7"/>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26</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1960" w:type="dxa"/>
            <w:vAlign w:val="bottom"/>
            <w:gridSpan w:val="6"/>
          </w:tcPr>
          <w:p>
            <w:pPr>
              <w:spacing w:after="0" w:line="182" w:lineRule="exact"/>
              <w:rPr>
                <w:sz w:val="20"/>
                <w:szCs w:val="20"/>
                <w:color w:val="auto"/>
              </w:rPr>
            </w:pPr>
            <w:r>
              <w:rPr>
                <w:rFonts w:ascii="Times New Roman" w:cs="Times New Roman" w:eastAsia="Times New Roman" w:hAnsi="Times New Roman"/>
                <w:sz w:val="17"/>
                <w:szCs w:val="17"/>
                <w:color w:val="0000EE"/>
              </w:rPr>
              <w:t>LEGAL MATTERS</w:t>
            </w:r>
          </w:p>
        </w:tc>
        <w:tc>
          <w:tcPr>
            <w:tcW w:w="5520" w:type="dxa"/>
            <w:vAlign w:val="bottom"/>
            <w:gridSpan w:val="13"/>
          </w:tcPr>
          <w:p>
            <w:pPr>
              <w:spacing w:after="0"/>
              <w:rPr>
                <w:sz w:val="15"/>
                <w:szCs w:val="15"/>
                <w:color w:val="auto"/>
              </w:rPr>
            </w:pPr>
          </w:p>
        </w:tc>
        <w:tc>
          <w:tcPr>
            <w:tcW w:w="620" w:type="dxa"/>
            <w:vAlign w:val="bottom"/>
            <w:gridSpan w:val="7"/>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EXPERTS</w:t>
            </w:r>
          </w:p>
        </w:tc>
        <w:tc>
          <w:tcPr>
            <w:tcW w:w="6740" w:type="dxa"/>
            <w:vAlign w:val="bottom"/>
            <w:gridSpan w:val="18"/>
            <w:shd w:val="clear" w:color="auto" w:fill="CCEEFF"/>
          </w:tcPr>
          <w:p>
            <w:pPr>
              <w:spacing w:after="0"/>
              <w:rPr>
                <w:sz w:val="15"/>
                <w:szCs w:val="15"/>
                <w:color w:val="auto"/>
              </w:rPr>
            </w:pPr>
          </w:p>
        </w:tc>
        <w:tc>
          <w:tcPr>
            <w:tcW w:w="620" w:type="dxa"/>
            <w:vAlign w:val="bottom"/>
            <w:gridSpan w:val="7"/>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28</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748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20" w:type="dxa"/>
            <w:vAlign w:val="bottom"/>
            <w:gridSpan w:val="7"/>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620" w:type="dxa"/>
            <w:vAlign w:val="bottom"/>
            <w:gridSpan w:val="7"/>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rPr>
              <w:t>29</w:t>
            </w:r>
          </w:p>
        </w:tc>
      </w:tr>
      <w:tr>
        <w:trPr>
          <w:trHeight w:val="71"/>
        </w:trPr>
        <w:tc>
          <w:tcPr>
            <w:tcW w:w="7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3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18" w:lineRule="exact"/>
        <w:rPr>
          <w:sz w:val="20"/>
          <w:szCs w:val="20"/>
          <w:color w:val="auto"/>
        </w:rPr>
      </w:pPr>
    </w:p>
    <w:p>
      <w:pPr>
        <w:ind w:left="460" w:right="719" w:firstLine="346"/>
        <w:spacing w:after="0" w:line="267" w:lineRule="auto"/>
        <w:rPr>
          <w:sz w:val="20"/>
          <w:szCs w:val="20"/>
          <w:color w:val="auto"/>
        </w:rPr>
      </w:pPr>
      <w:r>
        <w:rPr>
          <w:rFonts w:ascii="Times New Roman" w:cs="Times New Roman" w:eastAsia="Times New Roman" w:hAnsi="Times New Roman"/>
          <w:sz w:val="17"/>
          <w:szCs w:val="17"/>
          <w:color w:val="auto"/>
        </w:rPr>
        <w:t>On October 9, 2025, we filed with the Securities and Exchange Commission (the “SEC”) a registration statement on Form S-3 (File No. 333-290806) (the “Registration Statement”) utilizing a shelf registration process relating to certain securities, including the securities described in this prospectus supplement, which Registration Statement became effective automatically upon filing.</w:t>
      </w:r>
    </w:p>
    <w:p>
      <w:pPr>
        <w:spacing w:after="0" w:line="65" w:lineRule="exact"/>
        <w:rPr>
          <w:sz w:val="20"/>
          <w:szCs w:val="20"/>
          <w:color w:val="auto"/>
        </w:rPr>
      </w:pPr>
    </w:p>
    <w:p>
      <w:pPr>
        <w:ind w:left="460" w:right="499" w:firstLine="346"/>
        <w:spacing w:after="0" w:line="264" w:lineRule="auto"/>
        <w:rPr>
          <w:sz w:val="20"/>
          <w:szCs w:val="20"/>
          <w:color w:val="auto"/>
        </w:rPr>
      </w:pPr>
      <w:r>
        <w:rPr>
          <w:rFonts w:ascii="Times New Roman" w:cs="Times New Roman" w:eastAsia="Times New Roman" w:hAnsi="Times New Roman"/>
          <w:sz w:val="17"/>
          <w:szCs w:val="17"/>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w:t>
      </w:r>
    </w:p>
    <w:p>
      <w:pPr>
        <w:spacing w:after="0" w:line="67" w:lineRule="exact"/>
        <w:rPr>
          <w:sz w:val="20"/>
          <w:szCs w:val="20"/>
          <w:color w:val="auto"/>
        </w:rPr>
      </w:pPr>
    </w:p>
    <w:p>
      <w:pPr>
        <w:ind w:left="460" w:right="799" w:firstLine="346"/>
        <w:spacing w:after="0" w:line="267"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into, this prospectus supplement and the accompanying prospectus. We have not authorized anyone to provide you with different or additional information. This prospectus supplement is an offer to sell only the securities offered hereby, but only under circumstances and in jurisdictions where it is lawful to do so.</w:t>
      </w:r>
    </w:p>
    <w:p>
      <w:pPr>
        <w:spacing w:after="0" w:line="65" w:lineRule="exact"/>
        <w:rPr>
          <w:sz w:val="20"/>
          <w:szCs w:val="20"/>
          <w:color w:val="auto"/>
        </w:rPr>
      </w:pPr>
    </w:p>
    <w:p>
      <w:pPr>
        <w:ind w:left="460" w:right="539" w:firstLine="346"/>
        <w:spacing w:after="0" w:line="267" w:lineRule="auto"/>
        <w:rPr>
          <w:sz w:val="20"/>
          <w:szCs w:val="20"/>
          <w:color w:val="auto"/>
        </w:rPr>
      </w:pPr>
      <w:r>
        <w:rPr>
          <w:rFonts w:ascii="Times New Roman" w:cs="Times New Roman" w:eastAsia="Times New Roman" w:hAnsi="Times New Roman"/>
          <w:sz w:val="17"/>
          <w:szCs w:val="17"/>
          <w:color w:val="auto"/>
        </w:rPr>
        <w:t>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65" w:lineRule="exact"/>
        <w:rPr>
          <w:sz w:val="20"/>
          <w:szCs w:val="20"/>
          <w:color w:val="auto"/>
        </w:rPr>
      </w:pPr>
    </w:p>
    <w:p>
      <w:pPr>
        <w:ind w:left="460" w:right="599" w:firstLine="346"/>
        <w:spacing w:after="0" w:line="264" w:lineRule="auto"/>
        <w:rPr>
          <w:sz w:val="20"/>
          <w:szCs w:val="20"/>
          <w:color w:val="auto"/>
        </w:rPr>
      </w:pPr>
      <w:r>
        <w:rPr>
          <w:rFonts w:ascii="Times New Roman" w:cs="Times New Roman" w:eastAsia="Times New Roman" w:hAnsi="Times New Roman"/>
          <w:sz w:val="17"/>
          <w:szCs w:val="17"/>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67" w:lineRule="exact"/>
        <w:rPr>
          <w:sz w:val="20"/>
          <w:szCs w:val="20"/>
          <w:color w:val="auto"/>
        </w:rPr>
      </w:pPr>
    </w:p>
    <w:p>
      <w:pPr>
        <w:ind w:left="460" w:right="479" w:firstLine="346"/>
        <w:spacing w:after="0" w:line="259" w:lineRule="auto"/>
        <w:rPr>
          <w:sz w:val="20"/>
          <w:szCs w:val="20"/>
          <w:color w:val="auto"/>
        </w:rPr>
      </w:pPr>
      <w:r>
        <w:rPr>
          <w:rFonts w:ascii="Times New Roman" w:cs="Times New Roman" w:eastAsia="Times New Roman" w:hAnsi="Times New Roman"/>
          <w:sz w:val="17"/>
          <w:szCs w:val="17"/>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 w:name="page4"/>
    <w:bookmarkEnd w:id="3"/>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84455</wp:posOffset>
            </wp:positionV>
            <wp:extent cx="5436235" cy="7686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36235" cy="76860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PROSPECTUS SUPPLEMENT SUMMARY</w:t>
      </w:r>
    </w:p>
    <w:p>
      <w:pPr>
        <w:spacing w:after="0" w:line="116" w:lineRule="exact"/>
        <w:rPr>
          <w:sz w:val="20"/>
          <w:szCs w:val="20"/>
          <w:color w:val="auto"/>
        </w:rPr>
      </w:pPr>
    </w:p>
    <w:p>
      <w:pPr>
        <w:ind w:left="480" w:right="679" w:firstLine="346"/>
        <w:spacing w:after="0" w:line="259"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w:t>
      </w:r>
    </w:p>
    <w:p>
      <w:pPr>
        <w:spacing w:after="0" w:line="4" w:lineRule="exact"/>
        <w:rPr>
          <w:sz w:val="20"/>
          <w:szCs w:val="20"/>
          <w:color w:val="auto"/>
        </w:rPr>
      </w:pPr>
    </w:p>
    <w:p>
      <w:pPr>
        <w:ind w:left="480" w:right="479"/>
        <w:spacing w:after="0" w:line="257" w:lineRule="auto"/>
        <w:rPr>
          <w:sz w:val="20"/>
          <w:szCs w:val="20"/>
          <w:color w:val="auto"/>
        </w:rPr>
      </w:pPr>
      <w:r>
        <w:rPr>
          <w:rFonts w:ascii="Times New Roman" w:cs="Times New Roman" w:eastAsia="Times New Roman" w:hAnsi="Times New Roman"/>
          <w:sz w:val="17"/>
          <w:szCs w:val="17"/>
          <w:i w:val="1"/>
          <w:iCs w:val="1"/>
          <w:color w:val="auto"/>
        </w:rPr>
        <w:t>“Risk Factors” section beginning on page S-</w:t>
      </w:r>
      <w:r>
        <w:rPr>
          <w:rFonts w:ascii="Times New Roman" w:cs="Times New Roman" w:eastAsia="Times New Roman" w:hAnsi="Times New Roman"/>
          <w:sz w:val="17"/>
          <w:szCs w:val="17"/>
          <w:i w:val="1"/>
          <w:iCs w:val="1"/>
          <w:u w:val="single" w:color="auto"/>
          <w:color w:val="0000EE"/>
        </w:rPr>
        <w:t>3</w:t>
      </w:r>
      <w:r>
        <w:rPr>
          <w:rFonts w:ascii="Times New Roman" w:cs="Times New Roman" w:eastAsia="Times New Roman" w:hAnsi="Times New Roman"/>
          <w:sz w:val="17"/>
          <w:szCs w:val="17"/>
          <w:i w:val="1"/>
          <w:iCs w:val="1"/>
          <w:color w:val="auto"/>
        </w:rPr>
        <w:t xml:space="preserve"> and in the documents incorporated by reference and our consolidated financial statements and the related notes incorporated by reference in this prospectus supplement and the accompanying prospectus, before deciding to invest in our Common Stock. You should also carefully read the information incorporated by reference into this prospectus supplement, including our financial statements, and the exhibits to the registration statement of which this prospectus supplement is a part. See “Special Note Regarding Forward-Looking Statements.”</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8" w:lineRule="exact"/>
        <w:rPr>
          <w:sz w:val="20"/>
          <w:szCs w:val="20"/>
          <w:color w:val="auto"/>
        </w:rPr>
      </w:pPr>
    </w:p>
    <w:p>
      <w:pPr>
        <w:ind w:left="480" w:right="539" w:firstLine="346"/>
        <w:spacing w:after="0" w:line="262" w:lineRule="auto"/>
        <w:rPr>
          <w:sz w:val="20"/>
          <w:szCs w:val="20"/>
          <w:color w:val="auto"/>
        </w:rPr>
      </w:pPr>
      <w:r>
        <w:rPr>
          <w:rFonts w:ascii="Times New Roman" w:cs="Times New Roman" w:eastAsia="Times New Roman" w:hAnsi="Times New Roman"/>
          <w:sz w:val="17"/>
          <w:szCs w:val="17"/>
          <w:color w:val="auto"/>
        </w:rPr>
        <w:t>Tilray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2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8" w:lineRule="exact"/>
        <w:rPr>
          <w:sz w:val="20"/>
          <w:szCs w:val="20"/>
          <w:color w:val="auto"/>
        </w:rPr>
      </w:pPr>
    </w:p>
    <w:p>
      <w:pPr>
        <w:ind w:left="480" w:right="479" w:firstLine="346"/>
        <w:spacing w:after="0" w:line="262" w:lineRule="auto"/>
        <w:rPr>
          <w:sz w:val="20"/>
          <w:szCs w:val="20"/>
          <w:color w:val="auto"/>
        </w:rPr>
      </w:pPr>
      <w:r>
        <w:rPr>
          <w:rFonts w:ascii="Times New Roman" w:cs="Times New Roman" w:eastAsia="Times New Roman" w:hAnsi="Times New Roman"/>
          <w:sz w:val="17"/>
          <w:szCs w:val="17"/>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69" w:lineRule="exact"/>
        <w:rPr>
          <w:sz w:val="20"/>
          <w:szCs w:val="20"/>
          <w:color w:val="auto"/>
        </w:rPr>
      </w:pPr>
    </w:p>
    <w:p>
      <w:pPr>
        <w:ind w:left="480" w:right="499" w:firstLine="346"/>
        <w:spacing w:after="0" w:line="292" w:lineRule="auto"/>
        <w:rPr>
          <w:sz w:val="20"/>
          <w:szCs w:val="20"/>
          <w:color w:val="auto"/>
        </w:rPr>
      </w:pPr>
      <w:r>
        <w:rPr>
          <w:rFonts w:ascii="Times New Roman" w:cs="Times New Roman" w:eastAsia="Times New Roman" w:hAnsi="Times New Roman"/>
          <w:sz w:val="17"/>
          <w:szCs w:val="17"/>
          <w:color w:val="auto"/>
        </w:rPr>
        <w:t>On December 12, 2019, Privateer Holdings merged with and into a wholly owned subsidiary of Tilray pursuant to the agreement and plan of merger and reorganization.</w:t>
      </w:r>
    </w:p>
    <w:p>
      <w:pPr>
        <w:spacing w:after="0" w:line="44" w:lineRule="exact"/>
        <w:rPr>
          <w:sz w:val="20"/>
          <w:szCs w:val="20"/>
          <w:color w:val="auto"/>
        </w:rPr>
      </w:pPr>
    </w:p>
    <w:p>
      <w:pPr>
        <w:ind w:left="480" w:right="479" w:firstLine="346"/>
        <w:spacing w:after="0" w:line="267" w:lineRule="auto"/>
        <w:rPr>
          <w:sz w:val="20"/>
          <w:szCs w:val="20"/>
          <w:color w:val="auto"/>
        </w:rPr>
      </w:pPr>
      <w:r>
        <w:rPr>
          <w:rFonts w:ascii="Times New Roman" w:cs="Times New Roman" w:eastAsia="Times New Roman" w:hAnsi="Times New Roman"/>
          <w:sz w:val="17"/>
          <w:szCs w:val="17"/>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65" w:lineRule="exact"/>
        <w:rPr>
          <w:sz w:val="20"/>
          <w:szCs w:val="20"/>
          <w:color w:val="auto"/>
        </w:rPr>
      </w:pPr>
    </w:p>
    <w:p>
      <w:pPr>
        <w:ind w:left="480" w:right="579" w:firstLine="346"/>
        <w:spacing w:after="0" w:line="273" w:lineRule="auto"/>
        <w:rPr>
          <w:sz w:val="20"/>
          <w:szCs w:val="20"/>
          <w:color w:val="auto"/>
        </w:rPr>
      </w:pPr>
      <w:r>
        <w:rPr>
          <w:rFonts w:ascii="Times New Roman" w:cs="Times New Roman" w:eastAsia="Times New Roman" w:hAnsi="Times New Roman"/>
          <w:sz w:val="17"/>
          <w:szCs w:val="17"/>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60" w:lineRule="exact"/>
        <w:rPr>
          <w:sz w:val="20"/>
          <w:szCs w:val="20"/>
          <w:color w:val="auto"/>
        </w:rPr>
      </w:pPr>
    </w:p>
    <w:p>
      <w:pPr>
        <w:ind w:left="480" w:right="459" w:firstLine="346"/>
        <w:spacing w:after="0" w:line="266" w:lineRule="auto"/>
        <w:rPr>
          <w:sz w:val="20"/>
          <w:szCs w:val="20"/>
          <w:color w:val="auto"/>
        </w:rPr>
      </w:pPr>
      <w:r>
        <w:rPr>
          <w:rFonts w:ascii="Times New Roman" w:cs="Times New Roman" w:eastAsia="Times New Roman" w:hAnsi="Times New Roman"/>
          <w:sz w:val="17"/>
          <w:szCs w:val="17"/>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276" w:lineRule="exact"/>
        <w:rPr>
          <w:sz w:val="20"/>
          <w:szCs w:val="20"/>
          <w:color w:val="auto"/>
        </w:rPr>
      </w:pPr>
    </w:p>
    <w:p>
      <w:pPr>
        <w:ind w:left="480" w:right="539" w:firstLine="346"/>
        <w:spacing w:after="0" w:line="262" w:lineRule="auto"/>
        <w:rPr>
          <w:sz w:val="20"/>
          <w:szCs w:val="20"/>
          <w:color w:val="auto"/>
        </w:rPr>
      </w:pPr>
      <w:r>
        <w:rPr>
          <w:rFonts w:ascii="Times New Roman" w:cs="Times New Roman" w:eastAsia="Times New Roman" w:hAnsi="Times New Roman"/>
          <w:sz w:val="17"/>
          <w:szCs w:val="17"/>
          <w:color w:val="auto"/>
        </w:rPr>
        <w:t>On April 10, 2023, Tilray entered into an arrangement agreement, as amended on June 1, 2023, with HEXO Corp.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69" w:lineRule="exact"/>
        <w:rPr>
          <w:sz w:val="20"/>
          <w:szCs w:val="20"/>
          <w:color w:val="auto"/>
        </w:rPr>
      </w:pPr>
    </w:p>
    <w:p>
      <w:pPr>
        <w:ind w:left="480" w:right="559" w:firstLine="346"/>
        <w:spacing w:after="0" w:line="292" w:lineRule="auto"/>
        <w:rPr>
          <w:sz w:val="20"/>
          <w:szCs w:val="20"/>
          <w:color w:val="auto"/>
        </w:rPr>
      </w:pPr>
      <w:r>
        <w:rPr>
          <w:rFonts w:ascii="Times New Roman" w:cs="Times New Roman" w:eastAsia="Times New Roman" w:hAnsi="Times New Roman"/>
          <w:sz w:val="17"/>
          <w:szCs w:val="17"/>
          <w:color w:val="auto"/>
        </w:rPr>
        <w:t>Effective December 1, 2025, Tilray effected a one-for-ten reverse stock split of its outstanding Common Stock (the “Reverse Stock Split”), pursuant to a certificate of amendment to its certificate of incorporation filed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84455</wp:posOffset>
            </wp:positionV>
            <wp:extent cx="5436235" cy="2320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36235" cy="23202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 w:right="499"/>
        <w:spacing w:after="0" w:line="262" w:lineRule="auto"/>
        <w:rPr>
          <w:sz w:val="20"/>
          <w:szCs w:val="20"/>
          <w:color w:val="auto"/>
        </w:rPr>
      </w:pPr>
      <w:r>
        <w:rPr>
          <w:rFonts w:ascii="Times New Roman" w:cs="Times New Roman" w:eastAsia="Times New Roman" w:hAnsi="Times New Roman"/>
          <w:sz w:val="17"/>
          <w:szCs w:val="17"/>
          <w:color w:val="auto"/>
        </w:rPr>
        <w:t>on November 26, 2025, as approved at a special meeting of stockholders on June 10, 2025 and by Tilray’s board of directors. The Common Stock began trading on Nasdaq and the TSX on a split-adjusted basis on December 2, 2025, under the existing symbol “TLRY” with a new CUSIP number of 88688T209. Fractional shares resulting from the Reverse Stock Split were rounded down to the nearest whole share, with stockholders receiving cash in lieu thereof. All outstanding securities convertible into or exercisable for Common Stock were adjusted to reflect the Reverse Stock Split in accordance with their terms.</w:t>
      </w:r>
    </w:p>
    <w:p>
      <w:pPr>
        <w:spacing w:after="0" w:line="69" w:lineRule="exact"/>
        <w:rPr>
          <w:sz w:val="20"/>
          <w:szCs w:val="20"/>
          <w:color w:val="auto"/>
        </w:rPr>
      </w:pPr>
    </w:p>
    <w:p>
      <w:pPr>
        <w:ind w:left="480" w:right="519" w:firstLine="346"/>
        <w:spacing w:after="0" w:line="267" w:lineRule="auto"/>
        <w:rPr>
          <w:sz w:val="20"/>
          <w:szCs w:val="20"/>
          <w:color w:val="auto"/>
        </w:rPr>
      </w:pPr>
      <w:r>
        <w:rPr>
          <w:rFonts w:ascii="Times New Roman" w:cs="Times New Roman" w:eastAsia="Times New Roman" w:hAnsi="Times New Roman"/>
          <w:sz w:val="17"/>
          <w:szCs w:val="17"/>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3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Nasdaq Global Select Market Listing</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“TLRY.”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8" w:lineRule="exact"/>
        <w:rPr>
          <w:sz w:val="20"/>
          <w:szCs w:val="20"/>
          <w:color w:val="auto"/>
        </w:rPr>
      </w:pPr>
    </w:p>
    <w:p>
      <w:pPr>
        <w:ind w:left="460" w:right="499" w:firstLine="346"/>
        <w:spacing w:after="0" w:line="257"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described under the section entitled “Risk Factors” contained in our most recent annual report on Form 10-K as well as any amendments thereto reflected in subsequent filings with the SEC, which are incorporated by reference into this prospectus supplement, together with other information in this prospectus supplement and the accompanying prospectus (including the documents incorporated by reference herein and therein).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8" w:lineRule="exact"/>
        <w:rPr>
          <w:sz w:val="20"/>
          <w:szCs w:val="20"/>
          <w:color w:val="auto"/>
        </w:rPr>
      </w:pPr>
    </w:p>
    <w:p>
      <w:pPr>
        <w:ind w:left="460" w:right="459" w:firstLine="346"/>
        <w:spacing w:after="0" w:line="256" w:lineRule="auto"/>
        <w:rPr>
          <w:sz w:val="20"/>
          <w:szCs w:val="20"/>
          <w:color w:val="auto"/>
        </w:rPr>
      </w:pPr>
      <w:r>
        <w:rPr>
          <w:rFonts w:ascii="Times New Roman" w:cs="Times New Roman" w:eastAsia="Times New Roman" w:hAnsi="Times New Roman"/>
          <w:sz w:val="17"/>
          <w:szCs w:val="17"/>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85" w:lineRule="exact"/>
        <w:rPr>
          <w:sz w:val="20"/>
          <w:szCs w:val="20"/>
          <w:color w:val="auto"/>
        </w:rPr>
      </w:pPr>
    </w:p>
    <w:p>
      <w:pPr>
        <w:ind w:left="460" w:right="959" w:firstLine="346"/>
        <w:spacing w:after="0" w:line="267" w:lineRule="auto"/>
        <w:rPr>
          <w:sz w:val="20"/>
          <w:szCs w:val="20"/>
          <w:color w:val="auto"/>
        </w:rPr>
      </w:pPr>
      <w:r>
        <w:rPr>
          <w:rFonts w:ascii="Times New Roman" w:cs="Times New Roman" w:eastAsia="Times New Roman" w:hAnsi="Times New Roman"/>
          <w:sz w:val="17"/>
          <w:szCs w:val="17"/>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65" w:lineRule="exact"/>
        <w:rPr>
          <w:sz w:val="20"/>
          <w:szCs w:val="20"/>
          <w:color w:val="auto"/>
        </w:rPr>
      </w:pPr>
    </w:p>
    <w:p>
      <w:pPr>
        <w:ind w:left="1140" w:right="879" w:hanging="340"/>
        <w:spacing w:after="0" w:line="292" w:lineRule="auto"/>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financial information, including in respect of expected revenues, margins, cash flow, profitability, and production of cannabis;</w:t>
      </w:r>
    </w:p>
    <w:p>
      <w:pPr>
        <w:spacing w:after="0" w:line="43" w:lineRule="exact"/>
        <w:rPr>
          <w:rFonts w:ascii="Times New Roman" w:cs="Times New Roman" w:eastAsia="Times New Roman" w:hAnsi="Times New Roman"/>
          <w:sz w:val="17"/>
          <w:szCs w:val="17"/>
          <w:color w:val="auto"/>
        </w:rPr>
      </w:pPr>
    </w:p>
    <w:p>
      <w:pPr>
        <w:ind w:left="1140" w:right="1039" w:hanging="340"/>
        <w:spacing w:after="0" w:line="292" w:lineRule="auto"/>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future costs applicable to sales, future capital expenditures, future cost reductions, and projected synergies including pre-tax synergies, cost savings and efficiencies;</w:t>
      </w:r>
    </w:p>
    <w:p>
      <w:pPr>
        <w:spacing w:after="0" w:line="43" w:lineRule="exact"/>
        <w:rPr>
          <w:rFonts w:ascii="Times New Roman" w:cs="Times New Roman" w:eastAsia="Times New Roman" w:hAnsi="Times New Roman"/>
          <w:sz w:val="17"/>
          <w:szCs w:val="17"/>
          <w:color w:val="auto"/>
        </w:rPr>
      </w:pPr>
    </w:p>
    <w:p>
      <w:pPr>
        <w:ind w:left="1140" w:right="799" w:hanging="340"/>
        <w:spacing w:after="0" w:line="292" w:lineRule="auto"/>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have scalable medical and adult-use cannabis platforms to strengthen the leadership position in Canada, internationally, and eventually in the United States;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position in the European cannabis markets, and our ability to leverage our current European platforms;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and financial benefits in connection with the Arrangement;</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legalization of cannabis in the United States and our position to compete in the United States;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growth in our market share and the European market; and</w:t>
      </w:r>
    </w:p>
    <w:p>
      <w:pPr>
        <w:spacing w:after="0" w:line="116" w:lineRule="exact"/>
        <w:rPr>
          <w:rFonts w:ascii="Times New Roman" w:cs="Times New Roman" w:eastAsia="Times New Roman" w:hAnsi="Times New Roman"/>
          <w:sz w:val="17"/>
          <w:szCs w:val="17"/>
          <w:color w:val="auto"/>
        </w:rPr>
      </w:pPr>
    </w:p>
    <w:p>
      <w:pPr>
        <w:ind w:left="1140" w:right="619" w:hanging="340"/>
        <w:spacing w:after="0" w:line="292" w:lineRule="auto"/>
        <w:tabs>
          <w:tab w:leader="none" w:pos="11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offer a diversified and branded product offering and distribution footprint, world-class cultivation, processing and manufacturing facilities.</w:t>
      </w:r>
    </w:p>
    <w:p>
      <w:pPr>
        <w:spacing w:after="0" w:line="44" w:lineRule="exact"/>
        <w:rPr>
          <w:sz w:val="20"/>
          <w:szCs w:val="20"/>
          <w:color w:val="auto"/>
        </w:rPr>
      </w:pPr>
    </w:p>
    <w:p>
      <w:pPr>
        <w:ind w:left="460" w:right="539" w:firstLine="346"/>
        <w:spacing w:after="0" w:line="267"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65" w:lineRule="exact"/>
        <w:rPr>
          <w:sz w:val="20"/>
          <w:szCs w:val="20"/>
          <w:color w:val="auto"/>
        </w:rPr>
      </w:pPr>
    </w:p>
    <w:p>
      <w:pPr>
        <w:ind w:left="1140" w:right="659" w:hanging="340"/>
        <w:spacing w:after="0" w:line="292" w:lineRule="auto"/>
        <w:tabs>
          <w:tab w:leader="none" w:pos="1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achieve the expected revenue or other benefits from the craft beer operations we acquired in the past several years;</w:t>
      </w:r>
    </w:p>
    <w:p>
      <w:pPr>
        <w:spacing w:after="0" w:line="43" w:lineRule="exact"/>
        <w:rPr>
          <w:rFonts w:ascii="Times New Roman" w:cs="Times New Roman" w:eastAsia="Times New Roman" w:hAnsi="Times New Roman"/>
          <w:sz w:val="17"/>
          <w:szCs w:val="17"/>
          <w:color w:val="auto"/>
        </w:rPr>
      </w:pPr>
    </w:p>
    <w:p>
      <w:pPr>
        <w:ind w:left="1140" w:right="1099" w:hanging="340"/>
        <w:spacing w:after="0" w:line="292" w:lineRule="auto"/>
        <w:tabs>
          <w:tab w:leader="none" w:pos="1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difficulties integrating operations and realizing the expected benefits of recent acquisitions, including the Craft brands and BrewDog acquisitions;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93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cannabis business is dependent upon regulatory approvals and licenses, ongoing compliance and reporting obligations, and timely renewals;</w:t>
      </w:r>
    </w:p>
    <w:p>
      <w:pPr>
        <w:spacing w:after="0" w:line="43" w:lineRule="exact"/>
        <w:rPr>
          <w:rFonts w:ascii="Times New Roman" w:cs="Times New Roman" w:eastAsia="Times New Roman" w:hAnsi="Times New Roman"/>
          <w:sz w:val="17"/>
          <w:szCs w:val="17"/>
          <w:color w:val="auto"/>
        </w:rPr>
      </w:pPr>
    </w:p>
    <w:p>
      <w:pPr>
        <w:ind w:left="1140" w:right="719" w:hanging="340"/>
        <w:spacing w:after="0" w:line="27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regulatory risks associated with the rescheduling of cannabis from Schedule I to Schedule III under the Controlled Substances Act in the U.S. and uncertainties in the implementation of our planned medical cannabis platform;</w:t>
      </w:r>
    </w:p>
    <w:p>
      <w:pPr>
        <w:spacing w:after="0" w:line="59" w:lineRule="exact"/>
        <w:rPr>
          <w:rFonts w:ascii="Times New Roman" w:cs="Times New Roman" w:eastAsia="Times New Roman" w:hAnsi="Times New Roman"/>
          <w:sz w:val="17"/>
          <w:szCs w:val="17"/>
          <w:color w:val="auto"/>
        </w:rPr>
      </w:pPr>
    </w:p>
    <w:p>
      <w:pPr>
        <w:ind w:left="1140" w:right="599" w:hanging="340"/>
        <w:spacing w:after="0" w:line="27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regulatory risks associated with evolving government regulations, including in November 2025, new U.S. federal regulation which was enacted and banned the production or sale of hemp-derived cannabis, including Delta-9. This restriction is scheduled to go into effect on November 12, 2026;</w:t>
      </w:r>
    </w:p>
    <w:p>
      <w:pPr>
        <w:spacing w:after="0" w:line="59" w:lineRule="exact"/>
        <w:rPr>
          <w:rFonts w:ascii="Times New Roman" w:cs="Times New Roman" w:eastAsia="Times New Roman" w:hAnsi="Times New Roman"/>
          <w:sz w:val="17"/>
          <w:szCs w:val="17"/>
          <w:color w:val="auto"/>
        </w:rPr>
      </w:pPr>
    </w:p>
    <w:p>
      <w:pPr>
        <w:ind w:left="1140" w:right="539" w:hanging="340"/>
        <w:spacing w:after="0" w:line="264"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67" w:lineRule="exact"/>
        <w:rPr>
          <w:rFonts w:ascii="Times New Roman" w:cs="Times New Roman" w:eastAsia="Times New Roman" w:hAnsi="Times New Roman"/>
          <w:sz w:val="17"/>
          <w:szCs w:val="17"/>
          <w:color w:val="auto"/>
        </w:rPr>
      </w:pPr>
    </w:p>
    <w:p>
      <w:pPr>
        <w:ind w:left="1140" w:right="75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including from the illicit cannabis market, and anticipate competition will increase, which could hurt our business;</w:t>
      </w:r>
    </w:p>
    <w:p>
      <w:pPr>
        <w:spacing w:after="0" w:line="43" w:lineRule="exact"/>
        <w:rPr>
          <w:rFonts w:ascii="Times New Roman" w:cs="Times New Roman" w:eastAsia="Times New Roman" w:hAnsi="Times New Roman"/>
          <w:sz w:val="17"/>
          <w:szCs w:val="17"/>
          <w:color w:val="auto"/>
        </w:rPr>
      </w:pPr>
    </w:p>
    <w:p>
      <w:pPr>
        <w:ind w:left="1140" w:right="57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production and processing facilities are integral to our business and adverse changes or developments affecting our facilities may have an adverse impact on our business;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constrain our ability to market and distribute our products in Canada;</w:t>
      </w:r>
    </w:p>
    <w:p>
      <w:pPr>
        <w:spacing w:after="0" w:line="116" w:lineRule="exact"/>
        <w:rPr>
          <w:rFonts w:ascii="Times New Roman" w:cs="Times New Roman" w:eastAsia="Times New Roman" w:hAnsi="Times New Roman"/>
          <w:sz w:val="17"/>
          <w:szCs w:val="17"/>
          <w:color w:val="auto"/>
        </w:rPr>
      </w:pPr>
    </w:p>
    <w:p>
      <w:pPr>
        <w:ind w:left="1140" w:right="539" w:hanging="340"/>
        <w:spacing w:after="0" w:line="27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59" w:lineRule="exact"/>
        <w:rPr>
          <w:rFonts w:ascii="Times New Roman" w:cs="Times New Roman" w:eastAsia="Times New Roman" w:hAnsi="Times New Roman"/>
          <w:sz w:val="17"/>
          <w:szCs w:val="17"/>
          <w:color w:val="auto"/>
        </w:rPr>
      </w:pPr>
    </w:p>
    <w:p>
      <w:pPr>
        <w:ind w:left="1140" w:right="47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 or public attitudes about alcohol could decrease demand for our beverage products;</w:t>
      </w:r>
    </w:p>
    <w:p>
      <w:pPr>
        <w:spacing w:after="0" w:line="43" w:lineRule="exact"/>
        <w:rPr>
          <w:rFonts w:ascii="Times New Roman" w:cs="Times New Roman" w:eastAsia="Times New Roman" w:hAnsi="Times New Roman"/>
          <w:sz w:val="17"/>
          <w:szCs w:val="17"/>
          <w:color w:val="auto"/>
        </w:rPr>
      </w:pPr>
    </w:p>
    <w:p>
      <w:pPr>
        <w:jc w:val="both"/>
        <w:ind w:left="1140" w:right="859" w:hanging="340"/>
        <w:spacing w:after="0" w:line="27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SweetWater, Breckenridge, Montauk, BrewDog and our recently-acquired craft beer brands each face substantial competition in the beer industry or the broader market for beverage products, which could impact our business and financial results;</w:t>
      </w:r>
    </w:p>
    <w:p>
      <w:pPr>
        <w:spacing w:after="0" w:line="59" w:lineRule="exact"/>
        <w:rPr>
          <w:rFonts w:ascii="Times New Roman" w:cs="Times New Roman" w:eastAsia="Times New Roman" w:hAnsi="Times New Roman"/>
          <w:sz w:val="17"/>
          <w:szCs w:val="17"/>
          <w:color w:val="auto"/>
        </w:rPr>
      </w:pPr>
    </w:p>
    <w:p>
      <w:pPr>
        <w:ind w:left="1140" w:right="65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litigation, arbitration and demands, which could result in significant liability and costs, and impact our resources and reputation;</w:t>
      </w:r>
    </w:p>
    <w:p>
      <w:pPr>
        <w:spacing w:after="0" w:line="43" w:lineRule="exact"/>
        <w:rPr>
          <w:rFonts w:ascii="Times New Roman" w:cs="Times New Roman" w:eastAsia="Times New Roman" w:hAnsi="Times New Roman"/>
          <w:sz w:val="17"/>
          <w:szCs w:val="17"/>
          <w:color w:val="auto"/>
        </w:rPr>
      </w:pPr>
    </w:p>
    <w:p>
      <w:pPr>
        <w:ind w:left="1140" w:right="69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materially adversely affected by the imposition of duties and tariffs and other trade barriers and retaliatory countermeasures implemented by the U.S. and other governments;</w:t>
      </w:r>
    </w:p>
    <w:p>
      <w:pPr>
        <w:spacing w:after="0" w:line="43" w:lineRule="exact"/>
        <w:rPr>
          <w:rFonts w:ascii="Times New Roman" w:cs="Times New Roman" w:eastAsia="Times New Roman" w:hAnsi="Times New Roman"/>
          <w:sz w:val="17"/>
          <w:szCs w:val="17"/>
          <w:color w:val="auto"/>
        </w:rPr>
      </w:pPr>
    </w:p>
    <w:p>
      <w:pPr>
        <w:ind w:left="1140" w:right="77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impairments of our goodwill and impairments of our long-lived assets could have a material adverse impact on our financial results;</w:t>
      </w:r>
    </w:p>
    <w:p>
      <w:pPr>
        <w:spacing w:after="0" w:line="43" w:lineRule="exact"/>
        <w:rPr>
          <w:rFonts w:ascii="Times New Roman" w:cs="Times New Roman" w:eastAsia="Times New Roman" w:hAnsi="Times New Roman"/>
          <w:sz w:val="17"/>
          <w:szCs w:val="17"/>
          <w:color w:val="auto"/>
        </w:rPr>
      </w:pPr>
    </w:p>
    <w:p>
      <w:pPr>
        <w:ind w:left="1140" w:right="99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and a history of net losses, and we may not achieve or maintain profitability in the future;</w:t>
      </w:r>
    </w:p>
    <w:p>
      <w:pPr>
        <w:spacing w:after="0" w:line="43" w:lineRule="exact"/>
        <w:rPr>
          <w:rFonts w:ascii="Times New Roman" w:cs="Times New Roman" w:eastAsia="Times New Roman" w:hAnsi="Times New Roman"/>
          <w:sz w:val="17"/>
          <w:szCs w:val="17"/>
          <w:color w:val="auto"/>
        </w:rPr>
      </w:pPr>
    </w:p>
    <w:p>
      <w:pPr>
        <w:ind w:left="1140" w:right="53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strategic alliances and other third-party business relationships may not achieve the intended beneficial impact and expose us to risks;</w:t>
      </w:r>
    </w:p>
    <w:p>
      <w:pPr>
        <w:spacing w:after="0" w:line="43" w:lineRule="exact"/>
        <w:rPr>
          <w:rFonts w:ascii="Times New Roman" w:cs="Times New Roman" w:eastAsia="Times New Roman" w:hAnsi="Times New Roman"/>
          <w:sz w:val="17"/>
          <w:szCs w:val="17"/>
          <w:color w:val="auto"/>
        </w:rPr>
      </w:pPr>
    </w:p>
    <w:p>
      <w:pPr>
        <w:ind w:left="1140" w:right="71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inherent in an agricultural business, including the risk of crop failure;</w:t>
      </w:r>
    </w:p>
    <w:p>
      <w:pPr>
        <w:spacing w:after="0" w:line="116" w:lineRule="exact"/>
        <w:rPr>
          <w:rFonts w:ascii="Times New Roman" w:cs="Times New Roman" w:eastAsia="Times New Roman" w:hAnsi="Times New Roman"/>
          <w:sz w:val="17"/>
          <w:szCs w:val="17"/>
          <w:color w:val="auto"/>
        </w:rPr>
      </w:pPr>
    </w:p>
    <w:p>
      <w:pPr>
        <w:ind w:left="1140" w:right="699" w:hanging="340"/>
        <w:spacing w:after="0" w:line="27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recurring customers for a substantial portion of our revenue. If we fail to retain or expand our customer relationships or these customers reduce their purchases, our revenue could decline significantly;</w:t>
      </w:r>
    </w:p>
    <w:p>
      <w:pPr>
        <w:spacing w:after="0" w:line="59" w:lineRule="exact"/>
        <w:rPr>
          <w:rFonts w:ascii="Times New Roman" w:cs="Times New Roman" w:eastAsia="Times New Roman" w:hAnsi="Times New Roman"/>
          <w:sz w:val="17"/>
          <w:szCs w:val="17"/>
          <w:color w:val="auto"/>
        </w:rPr>
      </w:pPr>
    </w:p>
    <w:p>
      <w:pPr>
        <w:ind w:left="1140" w:right="1239" w:hanging="340"/>
        <w:spacing w:after="0" w:line="292"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be subject to recalls for a variety of reasons, which could require us to expend significant management and capital resources;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1039" w:hanging="340"/>
        <w:spacing w:after="0" w:line="29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interruptions in our access to certain supply chains for key inputs such as raw materials, supplies, electricity, water and other utilities may impair our operations;</w:t>
      </w:r>
    </w:p>
    <w:p>
      <w:pPr>
        <w:spacing w:after="0" w:line="43" w:lineRule="exact"/>
        <w:rPr>
          <w:rFonts w:ascii="Times New Roman" w:cs="Times New Roman" w:eastAsia="Times New Roman" w:hAnsi="Times New Roman"/>
          <w:sz w:val="17"/>
          <w:szCs w:val="17"/>
          <w:color w:val="auto"/>
        </w:rPr>
      </w:pPr>
    </w:p>
    <w:p>
      <w:pPr>
        <w:ind w:left="1140" w:right="1039" w:hanging="340"/>
        <w:spacing w:after="0" w:line="29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may not be able to successfully establish and maintain effective internal controls over financial reporting;</w:t>
      </w:r>
    </w:p>
    <w:p>
      <w:pPr>
        <w:spacing w:after="0" w:line="43" w:lineRule="exact"/>
        <w:rPr>
          <w:rFonts w:ascii="Times New Roman" w:cs="Times New Roman" w:eastAsia="Times New Roman" w:hAnsi="Times New Roman"/>
          <w:sz w:val="17"/>
          <w:szCs w:val="17"/>
          <w:color w:val="auto"/>
        </w:rPr>
      </w:pPr>
    </w:p>
    <w:p>
      <w:pPr>
        <w:ind w:left="1140" w:right="579" w:hanging="340"/>
        <w:spacing w:after="0" w:line="29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Common Stock in public markets has experienced and may continue to experience severe volatility and fluctuations;</w:t>
      </w:r>
    </w:p>
    <w:p>
      <w:pPr>
        <w:spacing w:after="0" w:line="43" w:lineRule="exact"/>
        <w:rPr>
          <w:rFonts w:ascii="Times New Roman" w:cs="Times New Roman" w:eastAsia="Times New Roman" w:hAnsi="Times New Roman"/>
          <w:sz w:val="17"/>
          <w:szCs w:val="17"/>
          <w:color w:val="auto"/>
        </w:rPr>
      </w:pPr>
    </w:p>
    <w:p>
      <w:pPr>
        <w:ind w:left="1140" w:right="659" w:hanging="340"/>
        <w:spacing w:after="0" w:line="29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our stock and the stockholder base may hinder or prevent us from engaging in beneficial corporate initiatives;</w:t>
      </w:r>
    </w:p>
    <w:p>
      <w:pPr>
        <w:spacing w:after="0" w:line="43" w:lineRule="exact"/>
        <w:rPr>
          <w:rFonts w:ascii="Times New Roman" w:cs="Times New Roman" w:eastAsia="Times New Roman" w:hAnsi="Times New Roman"/>
          <w:sz w:val="17"/>
          <w:szCs w:val="17"/>
          <w:color w:val="auto"/>
        </w:rPr>
      </w:pPr>
    </w:p>
    <w:p>
      <w:pPr>
        <w:ind w:left="1140" w:right="599" w:hanging="340"/>
        <w:spacing w:after="0" w:line="29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the ability to raise the funds necessary to settle conversions of the convertible securities in cash or to repurchase the convertible securities upon a fundamental change;</w:t>
      </w:r>
    </w:p>
    <w:p>
      <w:pPr>
        <w:spacing w:after="0" w:line="43" w:lineRule="exact"/>
        <w:rPr>
          <w:rFonts w:ascii="Times New Roman" w:cs="Times New Roman" w:eastAsia="Times New Roman" w:hAnsi="Times New Roman"/>
          <w:sz w:val="17"/>
          <w:szCs w:val="17"/>
          <w:color w:val="auto"/>
        </w:rPr>
      </w:pPr>
    </w:p>
    <w:p>
      <w:pPr>
        <w:ind w:left="1140" w:right="739" w:hanging="340"/>
        <w:spacing w:after="0" w:line="29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cryptocurrency strategy faces high risk and uncertainty in light of market volatility and an evolving regulatory landscape;</w:t>
      </w:r>
    </w:p>
    <w:p>
      <w:pPr>
        <w:spacing w:after="0" w:line="43" w:lineRule="exact"/>
        <w:rPr>
          <w:rFonts w:ascii="Times New Roman" w:cs="Times New Roman" w:eastAsia="Times New Roman" w:hAnsi="Times New Roman"/>
          <w:sz w:val="17"/>
          <w:szCs w:val="17"/>
          <w:color w:val="auto"/>
        </w:rPr>
      </w:pPr>
    </w:p>
    <w:p>
      <w:pPr>
        <w:ind w:left="1140" w:right="619" w:hanging="340"/>
        <w:spacing w:after="0" w:line="292"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exposed to financial losses and operational risks due to our decision to self-insure certain real property assets; and</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other risks generally applicable to our industry and the conduct of our business.</w:t>
      </w:r>
    </w:p>
    <w:p>
      <w:pPr>
        <w:spacing w:after="0" w:line="116" w:lineRule="exact"/>
        <w:rPr>
          <w:sz w:val="20"/>
          <w:szCs w:val="20"/>
          <w:color w:val="auto"/>
        </w:rPr>
      </w:pPr>
    </w:p>
    <w:p>
      <w:pPr>
        <w:ind w:left="460" w:right="559" w:firstLine="346"/>
        <w:spacing w:after="0" w:line="273" w:lineRule="auto"/>
        <w:rPr>
          <w:sz w:val="20"/>
          <w:szCs w:val="20"/>
          <w:color w:val="auto"/>
        </w:rPr>
      </w:pPr>
      <w:r>
        <w:rPr>
          <w:rFonts w:ascii="Times New Roman" w:cs="Times New Roman" w:eastAsia="Times New Roman" w:hAnsi="Times New Roman"/>
          <w:sz w:val="17"/>
          <w:szCs w:val="17"/>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60" w:lineRule="exact"/>
        <w:rPr>
          <w:sz w:val="20"/>
          <w:szCs w:val="20"/>
          <w:color w:val="auto"/>
        </w:rPr>
      </w:pPr>
    </w:p>
    <w:p>
      <w:pPr>
        <w:ind w:left="460" w:right="539" w:firstLine="346"/>
        <w:spacing w:after="0" w:line="262" w:lineRule="auto"/>
        <w:rPr>
          <w:sz w:val="20"/>
          <w:szCs w:val="20"/>
          <w:color w:val="auto"/>
        </w:rPr>
      </w:pPr>
      <w:r>
        <w:rPr>
          <w:rFonts w:ascii="Times New Roman" w:cs="Times New Roman" w:eastAsia="Times New Roman" w:hAnsi="Times New Roman"/>
          <w:sz w:val="17"/>
          <w:szCs w:val="17"/>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supplement and the accompanying prospectus.</w:t>
      </w:r>
    </w:p>
    <w:p>
      <w:pPr>
        <w:spacing w:after="0" w:line="69" w:lineRule="exact"/>
        <w:rPr>
          <w:sz w:val="20"/>
          <w:szCs w:val="20"/>
          <w:color w:val="auto"/>
        </w:rPr>
      </w:pPr>
    </w:p>
    <w:p>
      <w:pPr>
        <w:ind w:left="460" w:right="479" w:firstLine="346"/>
        <w:spacing w:after="0" w:line="25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8" w:lineRule="exact"/>
        <w:rPr>
          <w:sz w:val="20"/>
          <w:szCs w:val="20"/>
          <w:color w:val="auto"/>
        </w:rPr>
      </w:pPr>
    </w:p>
    <w:p>
      <w:pPr>
        <w:ind w:left="460" w:right="559" w:firstLine="346"/>
        <w:spacing w:after="0" w:line="261" w:lineRule="auto"/>
        <w:rPr>
          <w:sz w:val="20"/>
          <w:szCs w:val="20"/>
          <w:color w:val="auto"/>
        </w:rPr>
      </w:pPr>
      <w:r>
        <w:rPr>
          <w:rFonts w:ascii="Times New Roman" w:cs="Times New Roman" w:eastAsia="Times New Roman" w:hAnsi="Times New Roman"/>
          <w:sz w:val="17"/>
          <w:szCs w:val="17"/>
          <w:color w:val="auto"/>
        </w:rPr>
        <w:t>All of the shares of Common Stock being offered hereby are being sold by the selling stockholder identified in this prospectus supplement. We will not receive any proceeds from the sale of securities by the selling stockholder. We will bear the out-of-pocket costs, expenses and fees incurred in connection with the registration of the shares to be sold by the selling stockholder, including registration, listing fees, printers and accounting fees and fees and disbursements of counsel (collectively, the “Registration Expenses”). Other than Registration Expenses, the selling stockholder will bear any selling discounts, commissions, placement agent fees or other similar expenses payable with respect to sales of shares.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 w:name="page11"/>
    <w:bookmarkEnd w:id="10"/>
    <w:p>
      <w:pPr>
        <w:ind w:left="12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STOCKHOLDER</w:t>
      </w:r>
    </w:p>
    <w:p>
      <w:pPr>
        <w:spacing w:after="0" w:line="118" w:lineRule="exact"/>
        <w:rPr>
          <w:sz w:val="20"/>
          <w:szCs w:val="20"/>
          <w:color w:val="auto"/>
        </w:rPr>
      </w:pPr>
    </w:p>
    <w:p>
      <w:pPr>
        <w:jc w:val="both"/>
        <w:ind w:left="1260" w:right="1300" w:firstLine="346"/>
        <w:spacing w:after="0" w:line="264" w:lineRule="auto"/>
        <w:rPr>
          <w:sz w:val="20"/>
          <w:szCs w:val="20"/>
          <w:color w:val="auto"/>
        </w:rPr>
      </w:pPr>
      <w:r>
        <w:rPr>
          <w:rFonts w:ascii="Times New Roman" w:cs="Times New Roman" w:eastAsia="Times New Roman" w:hAnsi="Times New Roman"/>
          <w:sz w:val="17"/>
          <w:szCs w:val="17"/>
          <w:color w:val="auto"/>
        </w:rPr>
        <w:t>Up to 398,666 shares of our Common Stock are being offered, all of which are being offered for resale for the account of the selling stockholder. The selling stockholder acquired the shares of Common Stock from us as part of the consideration paid pursuant to that share purchase agreement, dated April 15, 2026, relating to the acquisition of the Lyphe Group from the selling stockholder. The selling stockholder may from time to time offer and sell pursuant to this prospectus supplement any or all of the shares of our Common Stock being registered.</w:t>
      </w:r>
    </w:p>
    <w:p>
      <w:pPr>
        <w:spacing w:after="0" w:line="67" w:lineRule="exact"/>
        <w:rPr>
          <w:sz w:val="20"/>
          <w:szCs w:val="20"/>
          <w:color w:val="auto"/>
        </w:rPr>
      </w:pPr>
    </w:p>
    <w:p>
      <w:pPr>
        <w:ind w:left="1260" w:right="1280" w:firstLine="346"/>
        <w:spacing w:after="0" w:line="260" w:lineRule="auto"/>
        <w:rPr>
          <w:sz w:val="20"/>
          <w:szCs w:val="20"/>
          <w:color w:val="auto"/>
        </w:rPr>
      </w:pPr>
      <w:r>
        <w:rPr>
          <w:rFonts w:ascii="Times New Roman" w:cs="Times New Roman" w:eastAsia="Times New Roman" w:hAnsi="Times New Roman"/>
          <w:sz w:val="17"/>
          <w:szCs w:val="17"/>
          <w:color w:val="auto"/>
        </w:rPr>
        <w:t>The table below sets forth certain information known to us with respect to the beneficial ownership of our shares of Common Stock held by the selling stockholder. Because the selling stockholder may sell, transfer or otherwise dispose of all, some or none of the shares of our Common Stock covered by this prospectus supplement, we cannot determine the number of such shares that will be sold, transferred or otherwise disposed of by the selling stockholder, or the amount or percentage of shares of our Common Stock that will be held by the selling stockholder upon termination of any particular offering. See the section entitled “Plan of Distribution.” For purposes of the table below, we assume that the selling stockholder will sell all its shares of Common Stock covered by this prospectus supplement.</w:t>
      </w:r>
    </w:p>
    <w:p>
      <w:pPr>
        <w:spacing w:after="0" w:line="71" w:lineRule="exact"/>
        <w:rPr>
          <w:sz w:val="20"/>
          <w:szCs w:val="20"/>
          <w:color w:val="auto"/>
        </w:rPr>
      </w:pPr>
    </w:p>
    <w:p>
      <w:pPr>
        <w:ind w:left="1260" w:right="1340" w:firstLine="346"/>
        <w:spacing w:after="0" w:line="260" w:lineRule="auto"/>
        <w:rPr>
          <w:sz w:val="20"/>
          <w:szCs w:val="20"/>
          <w:color w:val="auto"/>
        </w:rPr>
      </w:pPr>
      <w:r>
        <w:rPr>
          <w:rFonts w:ascii="Times New Roman" w:cs="Times New Roman" w:eastAsia="Times New Roman" w:hAnsi="Times New Roman"/>
          <w:sz w:val="17"/>
          <w:szCs w:val="17"/>
          <w:color w:val="auto"/>
        </w:rPr>
        <w:t>In the table below, the percentage of shares beneficially owned is based on approximately 119,604,223 shares of our Common Stock outstanding as of April 21, 2026, determined in accordance with Rule 13d-3 under the Exchange Act. Under such rule, beneficial ownership includes any shares over which the selling stockholder has sole or shared voting power or investment power and also any shares that the selling stockholder has the right to acquire within 60 days of such date through the exercise of any options or other rights. Except as otherwise indicated, we believe that the selling stockholder has sole voting and investment power with respect to all shares of the Common Stock shown as beneficially owned by it. The beneficial ownership information presented in this table is not necessarily indicative of beneficial ownership for any other purpose.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Maximum Number</w:t>
            </w: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of Common Shares</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to be Sold by the</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6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Selling Stockholders</w:t>
            </w:r>
          </w:p>
        </w:tc>
        <w:tc>
          <w:tcPr>
            <w:tcW w:w="16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Shares Owned by the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Pursuant to this</w:t>
            </w:r>
          </w:p>
        </w:tc>
        <w:tc>
          <w:tcPr>
            <w:tcW w:w="16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Currently</w:t>
            </w:r>
          </w:p>
        </w:tc>
        <w:tc>
          <w:tcPr>
            <w:tcW w:w="16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Prospectus</w:t>
            </w:r>
          </w:p>
        </w:tc>
        <w:tc>
          <w:tcPr>
            <w:tcW w:w="160" w:type="dxa"/>
            <w:vAlign w:val="bottom"/>
          </w:tcPr>
          <w:p>
            <w:pPr>
              <w:spacing w:after="0"/>
              <w:rPr>
                <w:sz w:val="12"/>
                <w:szCs w:val="12"/>
                <w:color w:val="auto"/>
              </w:rPr>
            </w:pPr>
          </w:p>
        </w:tc>
        <w:tc>
          <w:tcPr>
            <w:tcW w:w="2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Selling Stockholders After Giving</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6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Supplement</w:t>
            </w:r>
          </w:p>
        </w:tc>
        <w:tc>
          <w:tcPr>
            <w:tcW w:w="160" w:type="dxa"/>
            <w:vAlign w:val="bottom"/>
          </w:tcPr>
          <w:p>
            <w:pPr>
              <w:spacing w:after="0"/>
              <w:rPr>
                <w:sz w:val="12"/>
                <w:szCs w:val="12"/>
                <w:color w:val="auto"/>
              </w:rPr>
            </w:pPr>
          </w:p>
        </w:tc>
        <w:tc>
          <w:tcPr>
            <w:tcW w:w="2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Effect to the Offering</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00" w:type="dxa"/>
            <w:vAlign w:val="bottom"/>
            <w:gridSpan w:val="2"/>
            <w:vMerge w:val="continue"/>
          </w:tcPr>
          <w:p>
            <w:pPr>
              <w:spacing w:after="0"/>
              <w:rPr>
                <w:sz w:val="15"/>
                <w:szCs w:val="15"/>
                <w:color w:val="auto"/>
              </w:rPr>
            </w:pP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36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180" w:type="dxa"/>
            <w:vAlign w:val="bottom"/>
            <w:gridSpan w:val="2"/>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260" w:type="dxa"/>
            <w:vAlign w:val="bottom"/>
          </w:tcPr>
          <w:p>
            <w:pPr>
              <w:spacing w:after="0"/>
              <w:rPr>
                <w:sz w:val="22"/>
                <w:szCs w:val="22"/>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Simon Lawley</w:t>
            </w:r>
          </w:p>
        </w:tc>
        <w:tc>
          <w:tcPr>
            <w:tcW w:w="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398,666*</w:t>
            </w:r>
          </w:p>
        </w:tc>
        <w:tc>
          <w:tcPr>
            <w:tcW w:w="136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rPr>
              <w:t>398,666*</w:t>
            </w:r>
          </w:p>
        </w:tc>
        <w:tc>
          <w:tcPr>
            <w:tcW w:w="1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than 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S-8</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640" w:top="258" w:right="65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8" w:lineRule="exact"/>
        <w:rPr>
          <w:sz w:val="20"/>
          <w:szCs w:val="20"/>
          <w:color w:val="auto"/>
        </w:rPr>
      </w:pPr>
    </w:p>
    <w:p>
      <w:pPr>
        <w:ind w:left="460" w:right="619" w:firstLine="346"/>
        <w:spacing w:after="0" w:line="273" w:lineRule="auto"/>
        <w:rPr>
          <w:sz w:val="20"/>
          <w:szCs w:val="20"/>
          <w:color w:val="auto"/>
        </w:rPr>
      </w:pPr>
      <w:r>
        <w:rPr>
          <w:rFonts w:ascii="Times New Roman" w:cs="Times New Roman" w:eastAsia="Times New Roman" w:hAnsi="Times New Roman"/>
          <w:sz w:val="17"/>
          <w:szCs w:val="17"/>
          <w:color w:val="auto"/>
        </w:rPr>
        <w:t>The selling stockholder may, from time to time, sell any or all of the shares of Common Stock beneficially owned by it and offered hereby. We will not receive any of the proceeds from the sale by the selling stockholder of the shares of Common Stock.</w:t>
      </w:r>
    </w:p>
    <w:p>
      <w:pPr>
        <w:spacing w:after="0" w:line="60" w:lineRule="exact"/>
        <w:rPr>
          <w:sz w:val="20"/>
          <w:szCs w:val="20"/>
          <w:color w:val="auto"/>
        </w:rPr>
      </w:pPr>
    </w:p>
    <w:p>
      <w:pPr>
        <w:ind w:left="460" w:right="619" w:firstLine="346"/>
        <w:spacing w:after="0" w:line="262" w:lineRule="auto"/>
        <w:rPr>
          <w:sz w:val="20"/>
          <w:szCs w:val="20"/>
          <w:color w:val="auto"/>
        </w:rPr>
      </w:pPr>
      <w:r>
        <w:rPr>
          <w:rFonts w:ascii="Times New Roman" w:cs="Times New Roman" w:eastAsia="Times New Roman" w:hAnsi="Times New Roman"/>
          <w:sz w:val="17"/>
          <w:szCs w:val="17"/>
          <w:color w:val="auto"/>
        </w:rPr>
        <w:t>The selling stockholder of the Common Stock and any of its pledgees, assignees and successors-in-interest may, from time to time, sell any or all of their securities covered hereby on the principal trading market for the Common Stock or any other stock exchange, market or trading facility on which the Common Stock is traded or in private transactions. These sales may be at market prices prevailing at the time of sale, at prices related to such market prices, at varying prices determined at the time of sale, at fixed prices or at negotiated prices. The selling stockholder may use any one or more of the following methods when selling securities:</w:t>
      </w:r>
    </w:p>
    <w:p>
      <w:pPr>
        <w:spacing w:after="0" w:line="69" w:lineRule="exact"/>
        <w:rPr>
          <w:sz w:val="20"/>
          <w:szCs w:val="20"/>
          <w:color w:val="auto"/>
        </w:rPr>
      </w:pPr>
    </w:p>
    <w:p>
      <w:pPr>
        <w:ind w:left="1140" w:hanging="340"/>
        <w:spacing w:after="0"/>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16" w:lineRule="exact"/>
        <w:rPr>
          <w:rFonts w:ascii="Times New Roman" w:cs="Times New Roman" w:eastAsia="Times New Roman" w:hAnsi="Times New Roman"/>
          <w:sz w:val="17"/>
          <w:szCs w:val="17"/>
          <w:color w:val="auto"/>
        </w:rPr>
      </w:pPr>
    </w:p>
    <w:p>
      <w:pPr>
        <w:ind w:left="1140" w:right="639" w:hanging="340"/>
        <w:spacing w:after="0" w:line="292" w:lineRule="auto"/>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Common Stock as agent but may position and resell a portion of the block as principal to facilitate the transaction;</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short sales;</w:t>
      </w:r>
    </w:p>
    <w:p>
      <w:pPr>
        <w:spacing w:after="0" w:line="116" w:lineRule="exact"/>
        <w:rPr>
          <w:rFonts w:ascii="Times New Roman" w:cs="Times New Roman" w:eastAsia="Times New Roman" w:hAnsi="Times New Roman"/>
          <w:sz w:val="17"/>
          <w:szCs w:val="17"/>
          <w:color w:val="auto"/>
        </w:rPr>
      </w:pPr>
    </w:p>
    <w:p>
      <w:pPr>
        <w:ind w:left="1140" w:right="559" w:hanging="340"/>
        <w:spacing w:after="0" w:line="292" w:lineRule="auto"/>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through broker-dealers that agree with the selling stockholder to sell a specified number of shares of such Common Stock at a stipulated price per security;</w:t>
      </w:r>
    </w:p>
    <w:p>
      <w:pPr>
        <w:spacing w:after="0" w:line="43" w:lineRule="exact"/>
        <w:rPr>
          <w:rFonts w:ascii="Times New Roman" w:cs="Times New Roman" w:eastAsia="Times New Roman" w:hAnsi="Times New Roman"/>
          <w:sz w:val="17"/>
          <w:szCs w:val="17"/>
          <w:color w:val="auto"/>
        </w:rPr>
      </w:pPr>
    </w:p>
    <w:p>
      <w:pPr>
        <w:ind w:left="1140" w:right="819" w:hanging="340"/>
        <w:spacing w:after="0" w:line="292" w:lineRule="auto"/>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or</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16" w:lineRule="exact"/>
        <w:rPr>
          <w:sz w:val="20"/>
          <w:szCs w:val="20"/>
          <w:color w:val="auto"/>
        </w:rPr>
      </w:pPr>
    </w:p>
    <w:p>
      <w:pPr>
        <w:ind w:left="460" w:right="619" w:firstLine="346"/>
        <w:spacing w:after="0" w:line="264" w:lineRule="auto"/>
        <w:rPr>
          <w:sz w:val="20"/>
          <w:szCs w:val="20"/>
          <w:color w:val="auto"/>
        </w:rPr>
      </w:pPr>
      <w:r>
        <w:rPr>
          <w:rFonts w:ascii="Times New Roman" w:cs="Times New Roman" w:eastAsia="Times New Roman" w:hAnsi="Times New Roman"/>
          <w:sz w:val="17"/>
          <w:szCs w:val="17"/>
          <w:color w:val="auto"/>
        </w:rPr>
        <w:t>In addition, the selling stockholder may elect to make a pro rata in-kind distribution of shares of our Common Stock to its members, partners or stockholders pursuant to the registration statement of which this prospectus supplement forms a part by delivering a prospectus supplement. To the extent that such members, partners or stockholders are not affiliates of ours, such members, partners or stockholders would thereby receive freely tradeable shares of our Common Stock pursuant to the distribution through a registration statement.</w:t>
      </w:r>
    </w:p>
    <w:p>
      <w:pPr>
        <w:spacing w:after="0" w:line="67" w:lineRule="exact"/>
        <w:rPr>
          <w:sz w:val="20"/>
          <w:szCs w:val="20"/>
          <w:color w:val="auto"/>
        </w:rPr>
      </w:pPr>
    </w:p>
    <w:p>
      <w:pPr>
        <w:ind w:left="460" w:right="539" w:firstLine="346"/>
        <w:spacing w:after="0" w:line="292" w:lineRule="auto"/>
        <w:rPr>
          <w:sz w:val="20"/>
          <w:szCs w:val="20"/>
          <w:color w:val="auto"/>
        </w:rPr>
      </w:pPr>
      <w:r>
        <w:rPr>
          <w:rFonts w:ascii="Times New Roman" w:cs="Times New Roman" w:eastAsia="Times New Roman" w:hAnsi="Times New Roman"/>
          <w:sz w:val="17"/>
          <w:szCs w:val="17"/>
          <w:color w:val="auto"/>
        </w:rPr>
        <w:t>The selling stockholder may also sell securities under Rule 144 or any other exemption from registration under the Securities Act, if available, rather than under this prospectus supplement.</w:t>
      </w:r>
    </w:p>
    <w:p>
      <w:pPr>
        <w:spacing w:after="0" w:line="44" w:lineRule="exact"/>
        <w:rPr>
          <w:sz w:val="20"/>
          <w:szCs w:val="20"/>
          <w:color w:val="auto"/>
        </w:rPr>
      </w:pPr>
    </w:p>
    <w:p>
      <w:pPr>
        <w:ind w:left="460" w:right="619" w:firstLine="346"/>
        <w:spacing w:after="0" w:line="262" w:lineRule="auto"/>
        <w:rPr>
          <w:sz w:val="20"/>
          <w:szCs w:val="20"/>
          <w:color w:val="auto"/>
        </w:rPr>
      </w:pPr>
      <w:r>
        <w:rPr>
          <w:rFonts w:ascii="Times New Roman" w:cs="Times New Roman" w:eastAsia="Times New Roman" w:hAnsi="Times New Roman"/>
          <w:sz w:val="17"/>
          <w:szCs w:val="17"/>
          <w:color w:val="auto"/>
        </w:rPr>
        <w:t>Broker-dealers engaged by the selling stockholder may arrange for other broker-dealers to participate in sales. Broker-dealers may receive commissions or discounts from the selling stockholder (or, if any broker-dealer acts as agent for the purchaser of Common Stock, from the purchaser) in amounts to be negotiated, but, except as set forth in a supplement to this prospectus supplement, in the case of an agency transaction not in excess of a customary brokerage commission in compliance with Financial Industry Regulatory Authority (“FINRA”) Rule 5110; and in the case of a principal transaction a markup or markdown in compliance with FINRA Rule 2121.</w:t>
      </w:r>
    </w:p>
    <w:p>
      <w:pPr>
        <w:spacing w:after="0" w:line="69" w:lineRule="exact"/>
        <w:rPr>
          <w:sz w:val="20"/>
          <w:szCs w:val="20"/>
          <w:color w:val="auto"/>
        </w:rPr>
      </w:pPr>
    </w:p>
    <w:p>
      <w:pPr>
        <w:ind w:left="460" w:right="479" w:firstLine="346"/>
        <w:spacing w:after="0" w:line="259" w:lineRule="auto"/>
        <w:rPr>
          <w:sz w:val="20"/>
          <w:szCs w:val="20"/>
          <w:color w:val="auto"/>
        </w:rPr>
      </w:pPr>
      <w:r>
        <w:rPr>
          <w:rFonts w:ascii="Times New Roman" w:cs="Times New Roman" w:eastAsia="Times New Roman" w:hAnsi="Times New Roman"/>
          <w:sz w:val="17"/>
          <w:szCs w:val="17"/>
          <w:color w:val="auto"/>
        </w:rPr>
        <w:t>In connection with the sale of the Common Stock or interests therein, the selling stockholder may enter into hedging transactions with broker-dealers or other financial institutions, which may in turn engage in short sales of the Common Stock in the course of hedging the positions it assumes. The selling stockholder may also sell Common Stock short and deliver these shares to close out their short positions, or loan or pledge the securities to broker-dealers that in turn may sell these shares.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supplement, which securities such broker-dealer or other financial institution may resell pursuant to this prospectus supplement (as supplemented or amended to reflect such transaction).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60" w:right="619" w:firstLine="346"/>
        <w:spacing w:after="0" w:line="267" w:lineRule="auto"/>
        <w:rPr>
          <w:sz w:val="20"/>
          <w:szCs w:val="20"/>
          <w:color w:val="auto"/>
        </w:rPr>
      </w:pPr>
      <w:r>
        <w:rPr>
          <w:rFonts w:ascii="Times New Roman" w:cs="Times New Roman" w:eastAsia="Times New Roman" w:hAnsi="Times New Roman"/>
          <w:sz w:val="17"/>
          <w:szCs w:val="17"/>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w:t>
      </w:r>
    </w:p>
    <w:p>
      <w:pPr>
        <w:spacing w:after="0" w:line="65" w:lineRule="exact"/>
        <w:rPr>
          <w:sz w:val="20"/>
          <w:szCs w:val="20"/>
          <w:color w:val="auto"/>
        </w:rPr>
      </w:pPr>
    </w:p>
    <w:p>
      <w:pPr>
        <w:ind w:left="460" w:right="1519" w:firstLine="346"/>
        <w:spacing w:after="0" w:line="292" w:lineRule="auto"/>
        <w:rPr>
          <w:sz w:val="20"/>
          <w:szCs w:val="20"/>
          <w:color w:val="auto"/>
        </w:rPr>
      </w:pPr>
      <w:r>
        <w:rPr>
          <w:rFonts w:ascii="Times New Roman" w:cs="Times New Roman" w:eastAsia="Times New Roman" w:hAnsi="Times New Roman"/>
          <w:sz w:val="17"/>
          <w:szCs w:val="17"/>
          <w:color w:val="auto"/>
        </w:rPr>
        <w:t>We are required to pay certain fees and expenses incurred by us incident to the registration of the Common Stock.</w:t>
      </w:r>
    </w:p>
    <w:p>
      <w:pPr>
        <w:spacing w:after="0" w:line="44" w:lineRule="exact"/>
        <w:rPr>
          <w:sz w:val="20"/>
          <w:szCs w:val="20"/>
          <w:color w:val="auto"/>
        </w:rPr>
      </w:pPr>
    </w:p>
    <w:p>
      <w:pPr>
        <w:ind w:left="460" w:right="559" w:firstLine="346"/>
        <w:spacing w:after="0" w:line="267" w:lineRule="auto"/>
        <w:rPr>
          <w:sz w:val="20"/>
          <w:szCs w:val="20"/>
          <w:color w:val="auto"/>
        </w:rPr>
      </w:pPr>
      <w:r>
        <w:rPr>
          <w:rFonts w:ascii="Times New Roman" w:cs="Times New Roman" w:eastAsia="Times New Roman" w:hAnsi="Times New Roman"/>
          <w:sz w:val="17"/>
          <w:szCs w:val="17"/>
          <w:color w:val="auto"/>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65" w:lineRule="exact"/>
        <w:rPr>
          <w:sz w:val="20"/>
          <w:szCs w:val="20"/>
          <w:color w:val="auto"/>
        </w:rPr>
      </w:pPr>
    </w:p>
    <w:p>
      <w:pPr>
        <w:ind w:left="460" w:right="599" w:firstLine="346"/>
        <w:spacing w:after="0" w:line="259" w:lineRule="auto"/>
        <w:rPr>
          <w:sz w:val="20"/>
          <w:szCs w:val="20"/>
          <w:color w:val="auto"/>
        </w:rPr>
      </w:pPr>
      <w:r>
        <w:rPr>
          <w:rFonts w:ascii="Times New Roman" w:cs="Times New Roman" w:eastAsia="Times New Roman" w:hAnsi="Times New Roman"/>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supplement and the accompanying prospectus available to the selling stockholder and have informed it of the need to deliver a copy of this prospectus supplement and the accompanying prospectus to each purchaser at or prior to the time of the sale (including by compliance with Rule 172 under the Securities Act).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8" w:lineRule="exact"/>
        <w:rPr>
          <w:sz w:val="20"/>
          <w:szCs w:val="20"/>
          <w:color w:val="auto"/>
        </w:rPr>
      </w:pPr>
    </w:p>
    <w:p>
      <w:pPr>
        <w:jc w:val="both"/>
        <w:ind w:left="460" w:right="619" w:firstLine="346"/>
        <w:spacing w:after="0" w:line="273" w:lineRule="auto"/>
        <w:rPr>
          <w:sz w:val="20"/>
          <w:szCs w:val="20"/>
          <w:color w:val="auto"/>
        </w:rPr>
      </w:pPr>
      <w:r>
        <w:rPr>
          <w:rFonts w:ascii="Times New Roman" w:cs="Times New Roman" w:eastAsia="Times New Roman" w:hAnsi="Times New Roman"/>
          <w:sz w:val="17"/>
          <w:szCs w:val="17"/>
          <w:color w:val="auto"/>
        </w:rPr>
        <w:t>The validity of the securities offered by this prospectus supplement will be passed upon for us by DLA Piper LLP (US), New York, New York. Any underwriters, dealers or agents will also be advised about the validity of the securities and other legal matters by their own counsel.</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8" w:lineRule="exact"/>
        <w:rPr>
          <w:sz w:val="20"/>
          <w:szCs w:val="20"/>
          <w:color w:val="auto"/>
        </w:rPr>
      </w:pPr>
    </w:p>
    <w:p>
      <w:pPr>
        <w:ind w:left="460" w:right="479" w:firstLine="346"/>
        <w:spacing w:after="0" w:line="259"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8" w:lineRule="exact"/>
        <w:rPr>
          <w:sz w:val="20"/>
          <w:szCs w:val="20"/>
          <w:color w:val="auto"/>
        </w:rPr>
      </w:pPr>
    </w:p>
    <w:p>
      <w:pPr>
        <w:ind w:left="460" w:right="479" w:firstLine="346"/>
        <w:spacing w:after="0" w:line="261" w:lineRule="auto"/>
        <w:rPr>
          <w:sz w:val="20"/>
          <w:szCs w:val="20"/>
          <w:color w:val="auto"/>
        </w:rPr>
      </w:pPr>
      <w:r>
        <w:rPr>
          <w:rFonts w:ascii="Times New Roman" w:cs="Times New Roman" w:eastAsia="Times New Roman" w:hAnsi="Times New Roman"/>
          <w:sz w:val="17"/>
          <w:szCs w:val="17"/>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69" w:lineRule="exact"/>
        <w:rPr>
          <w:sz w:val="20"/>
          <w:szCs w:val="20"/>
          <w:color w:val="auto"/>
        </w:rPr>
      </w:pPr>
    </w:p>
    <w:p>
      <w:pPr>
        <w:ind w:left="460" w:right="479" w:firstLine="346"/>
        <w:spacing w:after="0" w:line="262" w:lineRule="auto"/>
        <w:rPr>
          <w:sz w:val="20"/>
          <w:szCs w:val="20"/>
          <w:color w:val="auto"/>
        </w:rPr>
      </w:pPr>
      <w:r>
        <w:rPr>
          <w:rFonts w:ascii="Times New Roman" w:cs="Times New Roman" w:eastAsia="Times New Roman" w:hAnsi="Times New Roman"/>
          <w:sz w:val="17"/>
          <w:szCs w:val="17"/>
          <w:color w:val="auto"/>
        </w:rPr>
        <w:t>This prospectus supplement is part of the Registration Statement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8" w:lineRule="exact"/>
        <w:rPr>
          <w:sz w:val="20"/>
          <w:szCs w:val="20"/>
          <w:color w:val="auto"/>
        </w:rPr>
      </w:pPr>
    </w:p>
    <w:p>
      <w:pPr>
        <w:ind w:left="460" w:right="599" w:firstLine="346"/>
        <w:spacing w:after="0" w:line="262"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69" w:lineRule="exact"/>
        <w:rPr>
          <w:sz w:val="20"/>
          <w:szCs w:val="20"/>
          <w:color w:val="auto"/>
        </w:rPr>
      </w:pPr>
    </w:p>
    <w:p>
      <w:pPr>
        <w:ind w:left="1140" w:right="659" w:hanging="340"/>
        <w:spacing w:after="0" w:line="292" w:lineRule="auto"/>
        <w:tabs>
          <w:tab w:leader="none" w:pos="1140" w:val="left"/>
        </w:tabs>
        <w:numPr>
          <w:ilvl w:val="0"/>
          <w:numId w:val="6"/>
        </w:numPr>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auto"/>
          </w:rPr>
          <w:t xml:space="preserve">our Annual Report on Form 10-K for the fiscal year ended May 31, 2025, filed with the SEC on </w:t>
        </w:r>
        <w:r>
          <w:rPr>
            <w:rFonts w:ascii="Times New Roman" w:cs="Times New Roman" w:eastAsia="Times New Roman" w:hAnsi="Times New Roman"/>
            <w:sz w:val="17"/>
            <w:szCs w:val="17"/>
            <w:u w:val="single" w:color="auto"/>
            <w:color w:val="0000EE"/>
          </w:rPr>
          <w:t>July 29,</w:t>
        </w:r>
      </w:hyperlink>
      <w:r>
        <w:rPr>
          <w:rFonts w:ascii="Times New Roman" w:cs="Times New Roman" w:eastAsia="Times New Roman" w:hAnsi="Times New Roman"/>
          <w:sz w:val="17"/>
          <w:szCs w:val="17"/>
          <w:color w:val="auto"/>
        </w:rPr>
        <w:t xml:space="preserve"> </w:t>
      </w:r>
      <w:hyperlink r:id="rId24">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3" w:lineRule="exact"/>
        <w:rPr>
          <w:rFonts w:ascii="Times New Roman" w:cs="Times New Roman" w:eastAsia="Times New Roman" w:hAnsi="Times New Roman"/>
          <w:sz w:val="17"/>
          <w:szCs w:val="17"/>
          <w:color w:val="0000EE"/>
        </w:rPr>
      </w:pPr>
    </w:p>
    <w:p>
      <w:pPr>
        <w:jc w:val="both"/>
        <w:ind w:left="1140" w:right="1059" w:hanging="340"/>
        <w:spacing w:after="0" w:line="292" w:lineRule="auto"/>
        <w:tabs>
          <w:tab w:leader="none" w:pos="11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25">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1140" w:right="579" w:hanging="340"/>
        <w:spacing w:after="0" w:line="273" w:lineRule="auto"/>
        <w:tabs>
          <w:tab w:leader="none" w:pos="11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Reports on Form 10-Q for the quarter ended August 31, 2025, filed on </w:t>
      </w:r>
      <w:hyperlink r:id="rId26">
        <w:r>
          <w:rPr>
            <w:rFonts w:ascii="Times New Roman" w:cs="Times New Roman" w:eastAsia="Times New Roman" w:hAnsi="Times New Roman"/>
            <w:sz w:val="17"/>
            <w:szCs w:val="17"/>
            <w:u w:val="single" w:color="auto"/>
            <w:color w:val="0000EE"/>
          </w:rPr>
          <w:t>October 9, 2025</w:t>
        </w:r>
      </w:hyperlink>
      <w:r>
        <w:rPr>
          <w:rFonts w:ascii="Times New Roman" w:cs="Times New Roman" w:eastAsia="Times New Roman" w:hAnsi="Times New Roman"/>
          <w:sz w:val="17"/>
          <w:szCs w:val="17"/>
          <w:color w:val="auto"/>
        </w:rPr>
        <w:t xml:space="preserve">, for the quarter ended November 30, 2025, filed on </w:t>
      </w:r>
      <w:hyperlink r:id="rId27">
        <w:r>
          <w:rPr>
            <w:rFonts w:ascii="Times New Roman" w:cs="Times New Roman" w:eastAsia="Times New Roman" w:hAnsi="Times New Roman"/>
            <w:sz w:val="17"/>
            <w:szCs w:val="17"/>
            <w:u w:val="single" w:color="auto"/>
            <w:color w:val="0000EE"/>
          </w:rPr>
          <w:t>January 8, 2026</w:t>
        </w:r>
      </w:hyperlink>
      <w:r>
        <w:rPr>
          <w:rFonts w:ascii="Times New Roman" w:cs="Times New Roman" w:eastAsia="Times New Roman" w:hAnsi="Times New Roman"/>
          <w:sz w:val="17"/>
          <w:szCs w:val="17"/>
          <w:color w:val="auto"/>
        </w:rPr>
        <w:t xml:space="preserve">, and for the quarter ended February 28, 2026, filed on </w:t>
      </w:r>
      <w:hyperlink r:id="rId28">
        <w:r>
          <w:rPr>
            <w:rFonts w:ascii="Times New Roman" w:cs="Times New Roman" w:eastAsia="Times New Roman" w:hAnsi="Times New Roman"/>
            <w:sz w:val="17"/>
            <w:szCs w:val="17"/>
            <w:u w:val="single" w:color="auto"/>
            <w:color w:val="0000EE"/>
          </w:rPr>
          <w:t>April 1, 2026</w:t>
        </w:r>
      </w:hyperlink>
      <w:r>
        <w:rPr>
          <w:rFonts w:ascii="Times New Roman" w:cs="Times New Roman" w:eastAsia="Times New Roman" w:hAnsi="Times New Roman"/>
          <w:sz w:val="17"/>
          <w:szCs w:val="17"/>
          <w:color w:val="auto"/>
        </w:rPr>
        <w:t>;</w:t>
      </w:r>
    </w:p>
    <w:p>
      <w:pPr>
        <w:spacing w:after="0" w:line="59" w:lineRule="exact"/>
        <w:rPr>
          <w:rFonts w:ascii="Times New Roman" w:cs="Times New Roman" w:eastAsia="Times New Roman" w:hAnsi="Times New Roman"/>
          <w:sz w:val="17"/>
          <w:szCs w:val="17"/>
          <w:color w:val="auto"/>
        </w:rPr>
      </w:pPr>
    </w:p>
    <w:p>
      <w:pPr>
        <w:ind w:left="1140" w:right="1359" w:hanging="340"/>
        <w:spacing w:after="0" w:line="292" w:lineRule="auto"/>
        <w:tabs>
          <w:tab w:leader="none" w:pos="1140" w:val="left"/>
        </w:tabs>
        <w:numPr>
          <w:ilvl w:val="0"/>
          <w:numId w:val="6"/>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on </w:t>
      </w:r>
      <w:hyperlink r:id="rId29">
        <w:r>
          <w:rPr>
            <w:rFonts w:ascii="Times New Roman" w:cs="Times New Roman" w:eastAsia="Times New Roman" w:hAnsi="Times New Roman"/>
            <w:sz w:val="17"/>
            <w:szCs w:val="17"/>
            <w:u w:val="single" w:color="auto"/>
            <w:color w:val="0000EE"/>
          </w:rPr>
          <w:t>June 10, 2025</w:t>
        </w:r>
      </w:hyperlink>
      <w:r>
        <w:rPr>
          <w:rFonts w:ascii="Times New Roman" w:cs="Times New Roman" w:eastAsia="Times New Roman" w:hAnsi="Times New Roman"/>
          <w:sz w:val="17"/>
          <w:szCs w:val="17"/>
          <w:color w:val="auto"/>
        </w:rPr>
        <w:t xml:space="preserve">, </w:t>
      </w:r>
      <w:hyperlink r:id="rId30">
        <w:r>
          <w:rPr>
            <w:rFonts w:ascii="Times New Roman" w:cs="Times New Roman" w:eastAsia="Times New Roman" w:hAnsi="Times New Roman"/>
            <w:sz w:val="17"/>
            <w:szCs w:val="17"/>
            <w:u w:val="single" w:color="auto"/>
            <w:color w:val="0000EE"/>
          </w:rPr>
          <w:t>June 23, 2025</w:t>
        </w:r>
      </w:hyperlink>
      <w:r>
        <w:rPr>
          <w:rFonts w:ascii="Times New Roman" w:cs="Times New Roman" w:eastAsia="Times New Roman" w:hAnsi="Times New Roman"/>
          <w:sz w:val="17"/>
          <w:szCs w:val="17"/>
          <w:color w:val="auto"/>
        </w:rPr>
        <w:t xml:space="preserve">, </w:t>
      </w:r>
      <w:hyperlink r:id="rId31">
        <w:r>
          <w:rPr>
            <w:rFonts w:ascii="Times New Roman" w:cs="Times New Roman" w:eastAsia="Times New Roman" w:hAnsi="Times New Roman"/>
            <w:sz w:val="17"/>
            <w:szCs w:val="17"/>
            <w:u w:val="single" w:color="auto"/>
            <w:color w:val="0000EE"/>
          </w:rPr>
          <w:t>November 17, 2025</w:t>
        </w:r>
      </w:hyperlink>
      <w:r>
        <w:rPr>
          <w:rFonts w:ascii="Times New Roman" w:cs="Times New Roman" w:eastAsia="Times New Roman" w:hAnsi="Times New Roman"/>
          <w:sz w:val="17"/>
          <w:szCs w:val="17"/>
          <w:color w:val="auto"/>
        </w:rPr>
        <w:t xml:space="preserve">, </w:t>
      </w:r>
      <w:hyperlink r:id="rId32">
        <w:r>
          <w:rPr>
            <w:rFonts w:ascii="Times New Roman" w:cs="Times New Roman" w:eastAsia="Times New Roman" w:hAnsi="Times New Roman"/>
            <w:sz w:val="17"/>
            <w:szCs w:val="17"/>
            <w:u w:val="single" w:color="auto"/>
            <w:color w:val="0000EE"/>
          </w:rPr>
          <w:t>November 19,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3">
        <w:r>
          <w:rPr>
            <w:rFonts w:ascii="Times New Roman" w:cs="Times New Roman" w:eastAsia="Times New Roman" w:hAnsi="Times New Roman"/>
            <w:sz w:val="17"/>
            <w:szCs w:val="17"/>
            <w:u w:val="single" w:color="auto"/>
            <w:color w:val="0000EE"/>
          </w:rPr>
          <w:t>November 26,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4">
        <w:r>
          <w:rPr>
            <w:rFonts w:ascii="Times New Roman" w:cs="Times New Roman" w:eastAsia="Times New Roman" w:hAnsi="Times New Roman"/>
            <w:sz w:val="17"/>
            <w:szCs w:val="17"/>
            <w:u w:val="single" w:color="auto"/>
            <w:color w:val="0000EE"/>
          </w:rPr>
          <w:t>March 2, 2026</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5">
        <w:r>
          <w:rPr>
            <w:rFonts w:ascii="Times New Roman" w:cs="Times New Roman" w:eastAsia="Times New Roman" w:hAnsi="Times New Roman"/>
            <w:sz w:val="17"/>
            <w:szCs w:val="17"/>
            <w:u w:val="single" w:color="auto"/>
            <w:color w:val="0000EE"/>
          </w:rPr>
          <w:t xml:space="preserve">April 14, 2026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36">
        <w:r>
          <w:rPr>
            <w:rFonts w:ascii="Times New Roman" w:cs="Times New Roman" w:eastAsia="Times New Roman" w:hAnsi="Times New Roman"/>
            <w:sz w:val="17"/>
            <w:szCs w:val="17"/>
            <w:u w:val="single" w:color="auto"/>
            <w:color w:val="0000EE"/>
          </w:rPr>
          <w:t>April 15, 2026</w:t>
        </w:r>
      </w:hyperlink>
      <w:r>
        <w:rPr>
          <w:rFonts w:ascii="Times New Roman" w:cs="Times New Roman" w:eastAsia="Times New Roman" w:hAnsi="Times New Roman"/>
          <w:sz w:val="17"/>
          <w:szCs w:val="17"/>
          <w:color w:val="000000"/>
        </w:rPr>
        <w:t>;</w:t>
      </w:r>
    </w:p>
    <w:p>
      <w:pPr>
        <w:spacing w:after="0" w:line="43" w:lineRule="exact"/>
        <w:rPr>
          <w:rFonts w:ascii="Times New Roman" w:cs="Times New Roman" w:eastAsia="Times New Roman" w:hAnsi="Times New Roman"/>
          <w:sz w:val="17"/>
          <w:szCs w:val="17"/>
          <w:color w:val="0000EE"/>
        </w:rPr>
      </w:pPr>
    </w:p>
    <w:p>
      <w:pPr>
        <w:ind w:left="1140" w:right="599" w:hanging="340"/>
        <w:spacing w:after="0" w:line="266" w:lineRule="auto"/>
        <w:tabs>
          <w:tab w:leader="none" w:pos="11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as set forth in our registration statement on Form 8-A/A (File No. 001-38594), filed with the SEC on </w:t>
      </w:r>
      <w:hyperlink r:id="rId37">
        <w:r>
          <w:rPr>
            <w:rFonts w:ascii="Times New Roman" w:cs="Times New Roman" w:eastAsia="Times New Roman" w:hAnsi="Times New Roman"/>
            <w:sz w:val="17"/>
            <w:szCs w:val="17"/>
            <w:u w:val="single" w:color="auto"/>
            <w:color w:val="0000EE"/>
          </w:rPr>
          <w:t>October 1, 2020</w:t>
        </w:r>
      </w:hyperlink>
      <w:r>
        <w:rPr>
          <w:rFonts w:ascii="Times New Roman" w:cs="Times New Roman" w:eastAsia="Times New Roman" w:hAnsi="Times New Roman"/>
          <w:sz w:val="17"/>
          <w:szCs w:val="17"/>
          <w:color w:val="auto"/>
        </w:rPr>
        <w:t xml:space="preserve">, pursuant to Section 12(b) of the Exchange Act, including the description contained in </w:t>
      </w:r>
      <w:hyperlink r:id="rId38">
        <w:r>
          <w:rPr>
            <w:rFonts w:ascii="Times New Roman" w:cs="Times New Roman" w:eastAsia="Times New Roman" w:hAnsi="Times New Roman"/>
            <w:sz w:val="17"/>
            <w:szCs w:val="17"/>
            <w:u w:val="single" w:color="auto"/>
            <w:color w:val="0000EE"/>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May 31, 2025, and any subsequent amendments or reports filed for the purpose of updating such description.</w:t>
      </w:r>
    </w:p>
    <w:p>
      <w:pPr>
        <w:spacing w:after="0" w:line="276" w:lineRule="exact"/>
        <w:rPr>
          <w:rFonts w:ascii="Times New Roman" w:cs="Times New Roman" w:eastAsia="Times New Roman" w:hAnsi="Times New Roman"/>
          <w:sz w:val="17"/>
          <w:szCs w:val="17"/>
          <w:color w:val="auto"/>
        </w:rPr>
      </w:pPr>
    </w:p>
    <w:p>
      <w:pPr>
        <w:ind w:left="460" w:right="599" w:firstLine="346"/>
        <w:spacing w:after="0" w:line="262" w:lineRule="auto"/>
        <w:rPr>
          <w:sz w:val="20"/>
          <w:szCs w:val="20"/>
          <w:color w:val="auto"/>
        </w:rPr>
      </w:pPr>
      <w:r>
        <w:rPr>
          <w:rFonts w:ascii="Times New Roman" w:cs="Times New Roman" w:eastAsia="Times New Roman" w:hAnsi="Times New Roman"/>
          <w:sz w:val="17"/>
          <w:szCs w:val="17"/>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69" w:lineRule="exact"/>
        <w:rPr>
          <w:rFonts w:ascii="Times New Roman" w:cs="Times New Roman" w:eastAsia="Times New Roman" w:hAnsi="Times New Roman"/>
          <w:sz w:val="17"/>
          <w:szCs w:val="17"/>
          <w:color w:val="auto"/>
        </w:rPr>
      </w:pPr>
    </w:p>
    <w:p>
      <w:pPr>
        <w:ind w:left="460" w:right="539" w:firstLine="346"/>
        <w:spacing w:after="0" w:line="259" w:lineRule="auto"/>
        <w:rPr>
          <w:sz w:val="20"/>
          <w:szCs w:val="20"/>
          <w:color w:val="auto"/>
        </w:rPr>
      </w:pPr>
      <w:r>
        <w:rPr>
          <w:rFonts w:ascii="Times New Roman" w:cs="Times New Roman" w:eastAsia="Times New Roman" w:hAnsi="Times New Roman"/>
          <w:sz w:val="17"/>
          <w:szCs w:val="17"/>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337"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Tilray Brands, Inc.</w:t>
      </w:r>
    </w:p>
    <w:p>
      <w:pPr>
        <w:spacing w:after="0" w:line="31"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265 Talbot Street West</w:t>
      </w:r>
    </w:p>
    <w:p>
      <w:pPr>
        <w:spacing w:after="0" w:line="12"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Leamington, Ontario, Canada</w:t>
      </w:r>
    </w:p>
    <w:p>
      <w:pPr>
        <w:spacing w:after="0" w:line="12" w:lineRule="exact"/>
        <w:rPr>
          <w:rFonts w:ascii="Times New Roman" w:cs="Times New Roman" w:eastAsia="Times New Roman" w:hAnsi="Times New Roman"/>
          <w:sz w:val="17"/>
          <w:szCs w:val="17"/>
          <w:color w:val="auto"/>
        </w:rPr>
      </w:pPr>
    </w:p>
    <w:p>
      <w:pPr>
        <w:ind w:left="4340" w:right="3979" w:hanging="376"/>
        <w:spacing w:after="0" w:line="524" w:lineRule="auto"/>
        <w:tabs>
          <w:tab w:leader="none" w:pos="438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845-7291 S-12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-502285</wp:posOffset>
            </wp:positionH>
            <wp:positionV relativeFrom="paragraph">
              <wp:posOffset>-38735</wp:posOffset>
            </wp:positionV>
            <wp:extent cx="672528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 w:name="page16"/>
    <w:bookmarkEnd w:id="15"/>
    <w:p>
      <w:pPr>
        <w:ind w:left="5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Tilray Brands, Inc.</w:t>
      </w:r>
    </w:p>
    <w:p>
      <w:pPr>
        <w:spacing w:after="0" w:line="3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98" w:lineRule="exact"/>
        <w:rPr>
          <w:sz w:val="20"/>
          <w:szCs w:val="20"/>
          <w:color w:val="auto"/>
        </w:rPr>
      </w:pPr>
    </w:p>
    <w:p>
      <w:pPr>
        <w:ind w:left="560" w:right="739" w:firstLine="346"/>
        <w:spacing w:after="0" w:line="264" w:lineRule="auto"/>
        <w:rPr>
          <w:sz w:val="20"/>
          <w:szCs w:val="20"/>
          <w:color w:val="auto"/>
        </w:rPr>
      </w:pPr>
      <w:r>
        <w:rPr>
          <w:rFonts w:ascii="Times New Roman" w:cs="Times New Roman" w:eastAsia="Times New Roman" w:hAnsi="Times New Roman"/>
          <w:sz w:val="17"/>
          <w:szCs w:val="17"/>
          <w:color w:val="auto"/>
        </w:rPr>
        <w:t>From time to time, we or selling securityholders may offer and sell any combination of the securities described in this prospectus, either individually or in combination with other securities. We or selling securityholders may also offer common stock or preferred stock upon conversion of debt securities, common stock upon conversion of preferred stock, or common stock, preferred stock or debt securities upon the exercise of warrants.</w:t>
      </w:r>
    </w:p>
    <w:p>
      <w:pPr>
        <w:spacing w:after="0" w:line="67" w:lineRule="exact"/>
        <w:rPr>
          <w:sz w:val="20"/>
          <w:szCs w:val="20"/>
          <w:color w:val="auto"/>
        </w:rPr>
      </w:pPr>
    </w:p>
    <w:p>
      <w:pPr>
        <w:ind w:left="560" w:right="619" w:firstLine="346"/>
        <w:spacing w:after="0" w:line="261" w:lineRule="auto"/>
        <w:rPr>
          <w:sz w:val="20"/>
          <w:szCs w:val="20"/>
          <w:color w:val="auto"/>
        </w:rPr>
      </w:pPr>
      <w:r>
        <w:rPr>
          <w:rFonts w:ascii="Times New Roman" w:cs="Times New Roman" w:eastAsia="Times New Roman" w:hAnsi="Times New Roman"/>
          <w:sz w:val="17"/>
          <w:szCs w:val="17"/>
          <w:color w:val="auto"/>
        </w:rPr>
        <w:t>Each time we sell securities pursuant to this prospectus, we will provide the specific terms of these offerings and securities in one or more prospectus supplements and attach it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69" w:lineRule="exact"/>
        <w:rPr>
          <w:sz w:val="20"/>
          <w:szCs w:val="20"/>
          <w:color w:val="auto"/>
        </w:rPr>
      </w:pPr>
    </w:p>
    <w:p>
      <w:pPr>
        <w:ind w:left="560" w:right="599" w:firstLine="346"/>
        <w:spacing w:after="0" w:line="264"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and the Toronto Stock Exchange under the trading symbol “TLRY.” On October 8, 2025, the last sale price of our common stock was $1.72 per share on The Nasdaq Global Select Market and C$2.36 per share on the Toronto Stock Exchange. The applicable prospectus supplement will contain information, where applicable, as to other listings, if any, on The Nasdaq Global Select Market or other securities exchange of the securities covered by the applicable prospectus supplement.</w:t>
      </w:r>
    </w:p>
    <w:p>
      <w:pPr>
        <w:spacing w:after="0" w:line="63" w:lineRule="exact"/>
        <w:rPr>
          <w:sz w:val="20"/>
          <w:szCs w:val="20"/>
          <w:color w:val="auto"/>
        </w:rPr>
      </w:pPr>
    </w:p>
    <w:p>
      <w:pPr>
        <w:ind w:left="560" w:right="699" w:firstLine="346"/>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Investing in our securities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60" w:lineRule="exact"/>
        <w:rPr>
          <w:sz w:val="20"/>
          <w:szCs w:val="20"/>
          <w:color w:val="auto"/>
        </w:rPr>
      </w:pPr>
    </w:p>
    <w:p>
      <w:pPr>
        <w:jc w:val="both"/>
        <w:ind w:left="560" w:right="579" w:firstLine="346"/>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prospectus is dated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 w:name="page17"/>
    <w:bookmarkEnd w:id="16"/>
    <w:tbl>
      <w:tblPr>
        <w:tblLayout w:type="fixed"/>
        <w:tblInd w:w="460" w:type="dxa"/>
        <w:tblCellMar>
          <w:top w:w="0" w:type="dxa"/>
          <w:left w:w="0" w:type="dxa"/>
          <w:bottom w:w="0" w:type="dxa"/>
          <w:right w:w="0" w:type="dxa"/>
        </w:tblCellMar>
      </w:tblPr>
      <w:tr>
        <w:trPr>
          <w:trHeight w:val="161"/>
        </w:trPr>
        <w:tc>
          <w:tcPr>
            <w:tcW w:w="748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7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2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5340" w:type="dxa"/>
            <w:vAlign w:val="bottom"/>
            <w:gridSpan w:val="8"/>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rPr>
              <w:t>ii</w:t>
            </w:r>
          </w:p>
        </w:tc>
      </w:tr>
      <w:tr>
        <w:trPr>
          <w:trHeight w:val="182"/>
        </w:trPr>
        <w:tc>
          <w:tcPr>
            <w:tcW w:w="214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7"/>
                <w:szCs w:val="17"/>
                <w:color w:val="0000EE"/>
              </w:rPr>
              <w:t>PROSPECTUS SUMMARY</w:t>
            </w:r>
          </w:p>
        </w:tc>
        <w:tc>
          <w:tcPr>
            <w:tcW w:w="5340" w:type="dxa"/>
            <w:vAlign w:val="bottom"/>
            <w:tcBorders>
              <w:top w:val="single" w:sz="8" w:color="CCEEFF"/>
            </w:tcBorders>
            <w:gridSpan w:val="8"/>
          </w:tcPr>
          <w:p>
            <w:pPr>
              <w:spacing w:after="0"/>
              <w:rPr>
                <w:sz w:val="15"/>
                <w:szCs w:val="15"/>
                <w:color w:val="auto"/>
              </w:rPr>
            </w:pPr>
          </w:p>
        </w:tc>
        <w:tc>
          <w:tcPr>
            <w:tcW w:w="50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EE"/>
            </w:tcBorders>
          </w:tcPr>
          <w:p>
            <w:pPr>
              <w:jc w:val="center"/>
              <w:spacing w:after="0" w:line="182"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tcBorders>
              <w:top w:val="single" w:sz="8" w:color="CCEEFF"/>
            </w:tcBorders>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1200" w:type="dxa"/>
            <w:vAlign w:val="bottom"/>
            <w:tcBorders>
              <w:bottom w:val="single" w:sz="8" w:color="0000EE"/>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RISK FACTORS</w:t>
            </w:r>
          </w:p>
        </w:tc>
        <w:tc>
          <w:tcPr>
            <w:tcW w:w="6280" w:type="dxa"/>
            <w:vAlign w:val="bottom"/>
            <w:tcBorders>
              <w:bottom w:val="single" w:sz="8" w:color="CCEEFF"/>
            </w:tcBorders>
            <w:gridSpan w:val="14"/>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2"/>
        </w:trPr>
        <w:tc>
          <w:tcPr>
            <w:tcW w:w="748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600" w:type="dxa"/>
            <w:vAlign w:val="bottom"/>
            <w:gridSpan w:val="3"/>
          </w:tcPr>
          <w:p>
            <w:pPr>
              <w:jc w:val="center"/>
              <w:ind w:left="413"/>
              <w:spacing w:after="0" w:line="182" w:lineRule="exact"/>
              <w:rPr>
                <w:sz w:val="20"/>
                <w:szCs w:val="20"/>
                <w:color w:val="auto"/>
              </w:rPr>
            </w:pPr>
            <w:r>
              <w:rPr>
                <w:rFonts w:ascii="Times New Roman" w:cs="Times New Roman" w:eastAsia="Times New Roman" w:hAnsi="Times New Roman"/>
                <w:sz w:val="17"/>
                <w:szCs w:val="17"/>
                <w:color w:val="0000EE"/>
              </w:rPr>
              <w:t>6</w:t>
            </w:r>
          </w:p>
        </w:tc>
        <w:tc>
          <w:tcPr>
            <w:tcW w:w="20" w:type="dxa"/>
            <w:vAlign w:val="bottom"/>
          </w:tcPr>
          <w:p>
            <w:pPr>
              <w:spacing w:after="0"/>
              <w:rPr>
                <w:sz w:val="15"/>
                <w:szCs w:val="15"/>
                <w:color w:val="auto"/>
              </w:rPr>
            </w:pP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2760" w:type="dxa"/>
            <w:vAlign w:val="bottom"/>
            <w:tcBorders>
              <w:bottom w:val="single" w:sz="8" w:color="0000EE"/>
            </w:tcBorders>
            <w:gridSpan w:val="11"/>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4720" w:type="dxa"/>
            <w:vAlign w:val="bottom"/>
            <w:tcBorders>
              <w:bottom w:val="single" w:sz="8" w:color="CCEEFF"/>
            </w:tcBorders>
            <w:gridSpan w:val="5"/>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2"/>
        </w:trPr>
        <w:tc>
          <w:tcPr>
            <w:tcW w:w="748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620" w:type="dxa"/>
            <w:vAlign w:val="bottom"/>
            <w:gridSpan w:val="4"/>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13</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238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9"/>
              </w:rPr>
              <w:t>DESCRIPTION OF WARRANTS</w:t>
            </w:r>
          </w:p>
        </w:tc>
        <w:tc>
          <w:tcPr>
            <w:tcW w:w="5100" w:type="dxa"/>
            <w:vAlign w:val="bottom"/>
            <w:gridSpan w:val="7"/>
            <w:shd w:val="clear" w:color="auto" w:fill="CCEEFF"/>
          </w:tcPr>
          <w:p>
            <w:pPr>
              <w:spacing w:after="0"/>
              <w:rPr>
                <w:sz w:val="15"/>
                <w:szCs w:val="15"/>
                <w:color w:val="auto"/>
              </w:rPr>
            </w:pPr>
          </w:p>
        </w:tc>
        <w:tc>
          <w:tcPr>
            <w:tcW w:w="620" w:type="dxa"/>
            <w:vAlign w:val="bottom"/>
            <w:gridSpan w:val="4"/>
            <w:shd w:val="clear" w:color="auto" w:fill="CCEEFF"/>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19</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748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LEGAL OWNERSHIP OF SECURITIES</w:t>
            </w:r>
          </w:p>
        </w:tc>
        <w:tc>
          <w:tcPr>
            <w:tcW w:w="620" w:type="dxa"/>
            <w:vAlign w:val="bottom"/>
            <w:gridSpan w:val="4"/>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21</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SELLING SECURITYHOLDERS</w:t>
            </w:r>
          </w:p>
        </w:tc>
        <w:tc>
          <w:tcPr>
            <w:tcW w:w="620" w:type="dxa"/>
            <w:vAlign w:val="bottom"/>
            <w:gridSpan w:val="4"/>
            <w:shd w:val="clear" w:color="auto" w:fill="CCEEFF"/>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24</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2400" w:type="dxa"/>
            <w:vAlign w:val="bottom"/>
            <w:gridSpan w:val="10"/>
          </w:tcPr>
          <w:p>
            <w:pPr>
              <w:spacing w:after="0" w:line="182" w:lineRule="exact"/>
              <w:rPr>
                <w:sz w:val="20"/>
                <w:szCs w:val="20"/>
                <w:color w:val="auto"/>
              </w:rPr>
            </w:pPr>
            <w:r>
              <w:rPr>
                <w:rFonts w:ascii="Times New Roman" w:cs="Times New Roman" w:eastAsia="Times New Roman" w:hAnsi="Times New Roman"/>
                <w:sz w:val="17"/>
                <w:szCs w:val="17"/>
                <w:color w:val="0000EE"/>
              </w:rPr>
              <w:t>USE OF PROCEEDS</w:t>
            </w:r>
          </w:p>
        </w:tc>
        <w:tc>
          <w:tcPr>
            <w:tcW w:w="5080" w:type="dxa"/>
            <w:vAlign w:val="bottom"/>
            <w:gridSpan w:val="6"/>
          </w:tcPr>
          <w:p>
            <w:pPr>
              <w:spacing w:after="0"/>
              <w:rPr>
                <w:sz w:val="15"/>
                <w:szCs w:val="15"/>
                <w:color w:val="auto"/>
              </w:rPr>
            </w:pPr>
          </w:p>
        </w:tc>
        <w:tc>
          <w:tcPr>
            <w:tcW w:w="620" w:type="dxa"/>
            <w:vAlign w:val="bottom"/>
            <w:gridSpan w:val="4"/>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25</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PLAN OF DISTRIBUTION</w:t>
            </w:r>
          </w:p>
        </w:tc>
        <w:tc>
          <w:tcPr>
            <w:tcW w:w="620" w:type="dxa"/>
            <w:vAlign w:val="bottom"/>
            <w:gridSpan w:val="4"/>
            <w:shd w:val="clear" w:color="auto" w:fill="CCEEFF"/>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26</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1960" w:type="dxa"/>
            <w:vAlign w:val="bottom"/>
            <w:gridSpan w:val="6"/>
          </w:tcPr>
          <w:p>
            <w:pPr>
              <w:spacing w:after="0" w:line="182" w:lineRule="exact"/>
              <w:rPr>
                <w:sz w:val="20"/>
                <w:szCs w:val="20"/>
                <w:color w:val="auto"/>
              </w:rPr>
            </w:pPr>
            <w:r>
              <w:rPr>
                <w:rFonts w:ascii="Times New Roman" w:cs="Times New Roman" w:eastAsia="Times New Roman" w:hAnsi="Times New Roman"/>
                <w:sz w:val="17"/>
                <w:szCs w:val="17"/>
                <w:color w:val="0000EE"/>
              </w:rPr>
              <w:t>LEGAL MATTERS</w:t>
            </w:r>
          </w:p>
        </w:tc>
        <w:tc>
          <w:tcPr>
            <w:tcW w:w="5520" w:type="dxa"/>
            <w:vAlign w:val="bottom"/>
            <w:gridSpan w:val="10"/>
          </w:tcPr>
          <w:p>
            <w:pPr>
              <w:spacing w:after="0"/>
              <w:rPr>
                <w:sz w:val="15"/>
                <w:szCs w:val="15"/>
                <w:color w:val="auto"/>
              </w:rPr>
            </w:pPr>
          </w:p>
        </w:tc>
        <w:tc>
          <w:tcPr>
            <w:tcW w:w="620" w:type="dxa"/>
            <w:vAlign w:val="bottom"/>
            <w:gridSpan w:val="4"/>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EXPERTS</w:t>
            </w:r>
          </w:p>
        </w:tc>
        <w:tc>
          <w:tcPr>
            <w:tcW w:w="6740" w:type="dxa"/>
            <w:vAlign w:val="bottom"/>
            <w:gridSpan w:val="15"/>
            <w:shd w:val="clear" w:color="auto" w:fill="CCEEFF"/>
          </w:tcPr>
          <w:p>
            <w:pPr>
              <w:spacing w:after="0"/>
              <w:rPr>
                <w:sz w:val="15"/>
                <w:szCs w:val="15"/>
                <w:color w:val="auto"/>
              </w:rPr>
            </w:pPr>
          </w:p>
        </w:tc>
        <w:tc>
          <w:tcPr>
            <w:tcW w:w="620" w:type="dxa"/>
            <w:vAlign w:val="bottom"/>
            <w:gridSpan w:val="4"/>
            <w:shd w:val="clear" w:color="auto" w:fill="CCEEFF"/>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28</w:t>
            </w:r>
          </w:p>
        </w:tc>
      </w:tr>
      <w:tr>
        <w:trPr>
          <w:trHeight w:val="32"/>
        </w:trPr>
        <w:tc>
          <w:tcPr>
            <w:tcW w:w="7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2"/>
        </w:trPr>
        <w:tc>
          <w:tcPr>
            <w:tcW w:w="748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20" w:type="dxa"/>
            <w:vAlign w:val="bottom"/>
            <w:gridSpan w:val="4"/>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28</w:t>
            </w:r>
          </w:p>
        </w:tc>
      </w:tr>
      <w:tr>
        <w:trPr>
          <w:trHeight w:val="32"/>
        </w:trPr>
        <w:tc>
          <w:tcPr>
            <w:tcW w:w="7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748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620" w:type="dxa"/>
            <w:vAlign w:val="bottom"/>
            <w:gridSpan w:val="4"/>
            <w:shd w:val="clear" w:color="auto" w:fill="CCEEFF"/>
          </w:tcPr>
          <w:p>
            <w:pPr>
              <w:jc w:val="center"/>
              <w:ind w:left="333"/>
              <w:spacing w:after="0" w:line="182" w:lineRule="exact"/>
              <w:rPr>
                <w:sz w:val="20"/>
                <w:szCs w:val="20"/>
                <w:color w:val="auto"/>
              </w:rPr>
            </w:pPr>
            <w:r>
              <w:rPr>
                <w:rFonts w:ascii="Times New Roman" w:cs="Times New Roman" w:eastAsia="Times New Roman" w:hAnsi="Times New Roman"/>
                <w:sz w:val="17"/>
                <w:szCs w:val="17"/>
                <w:color w:val="0000EE"/>
                <w:w w:val="93"/>
              </w:rPr>
              <w:t>29</w:t>
            </w:r>
          </w:p>
        </w:tc>
      </w:tr>
      <w:tr>
        <w:trPr>
          <w:trHeight w:val="71"/>
        </w:trPr>
        <w:tc>
          <w:tcPr>
            <w:tcW w:w="7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3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8" w:lineRule="exact"/>
        <w:rPr>
          <w:sz w:val="20"/>
          <w:szCs w:val="20"/>
          <w:color w:val="auto"/>
        </w:rPr>
      </w:pPr>
    </w:p>
    <w:p>
      <w:pPr>
        <w:ind w:left="460" w:right="519" w:firstLine="346"/>
        <w:spacing w:after="0" w:line="261"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or SEC, utilizing a “shelf” registration process. Under this shelf registration process, we or selling securityholders may offer and sell shares of our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69" w:lineRule="exact"/>
        <w:rPr>
          <w:sz w:val="20"/>
          <w:szCs w:val="20"/>
          <w:color w:val="auto"/>
        </w:rPr>
      </w:pPr>
    </w:p>
    <w:p>
      <w:pPr>
        <w:ind w:left="460" w:right="479" w:firstLine="346"/>
        <w:spacing w:after="0" w:line="259" w:lineRule="auto"/>
        <w:rPr>
          <w:sz w:val="20"/>
          <w:szCs w:val="20"/>
          <w:color w:val="auto"/>
        </w:rPr>
      </w:pPr>
      <w:r>
        <w:rPr>
          <w:rFonts w:ascii="Times New Roman" w:cs="Times New Roman" w:eastAsia="Times New Roman" w:hAnsi="Times New Roman"/>
          <w:sz w:val="17"/>
          <w:szCs w:val="17"/>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72" w:lineRule="exact"/>
        <w:rPr>
          <w:sz w:val="20"/>
          <w:szCs w:val="20"/>
          <w:color w:val="auto"/>
        </w:rPr>
      </w:pPr>
    </w:p>
    <w:p>
      <w:pPr>
        <w:ind w:left="460" w:right="1099" w:firstLine="346"/>
        <w:spacing w:after="0" w:line="295" w:lineRule="auto"/>
        <w:rPr>
          <w:sz w:val="20"/>
          <w:szCs w:val="20"/>
          <w:color w:val="auto"/>
        </w:rPr>
      </w:pPr>
      <w:r>
        <w:rPr>
          <w:rFonts w:ascii="Times New Roman" w:cs="Times New Roman" w:eastAsia="Times New Roman" w:hAnsi="Times New Roman"/>
          <w:sz w:val="17"/>
          <w:szCs w:val="17"/>
          <w:b w:val="1"/>
          <w:bCs w:val="1"/>
          <w:color w:val="auto"/>
        </w:rPr>
        <w:t>This prospectus may not be used to consummate a sale of securities unless it is accompanied by a prospectus supplement.</w:t>
      </w:r>
    </w:p>
    <w:p>
      <w:pPr>
        <w:spacing w:after="0" w:line="41" w:lineRule="exact"/>
        <w:rPr>
          <w:sz w:val="20"/>
          <w:szCs w:val="20"/>
          <w:color w:val="auto"/>
        </w:rPr>
      </w:pPr>
    </w:p>
    <w:p>
      <w:pPr>
        <w:ind w:left="460" w:right="519" w:firstLine="346"/>
        <w:spacing w:after="0" w:line="264"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67" w:lineRule="exact"/>
        <w:rPr>
          <w:sz w:val="20"/>
          <w:szCs w:val="20"/>
          <w:color w:val="auto"/>
        </w:rPr>
      </w:pPr>
    </w:p>
    <w:p>
      <w:pPr>
        <w:ind w:left="460" w:right="479" w:firstLine="346"/>
        <w:spacing w:after="0" w:line="263" w:lineRule="auto"/>
        <w:rPr>
          <w:sz w:val="20"/>
          <w:szCs w:val="20"/>
          <w:color w:val="auto"/>
        </w:rPr>
      </w:pPr>
      <w:r>
        <w:rPr>
          <w:rFonts w:ascii="Times New Roman" w:cs="Times New Roman" w:eastAsia="Times New Roman" w:hAnsi="Times New Roman"/>
          <w:sz w:val="17"/>
          <w:szCs w:val="17"/>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279" w:lineRule="exact"/>
        <w:rPr>
          <w:sz w:val="20"/>
          <w:szCs w:val="20"/>
          <w:color w:val="auto"/>
        </w:rPr>
      </w:pPr>
    </w:p>
    <w:p>
      <w:pPr>
        <w:ind w:left="460" w:right="459" w:firstLine="346"/>
        <w:spacing w:after="0" w:line="262"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69" w:lineRule="exact"/>
        <w:rPr>
          <w:sz w:val="20"/>
          <w:szCs w:val="20"/>
          <w:color w:val="auto"/>
        </w:rPr>
      </w:pPr>
    </w:p>
    <w:p>
      <w:pPr>
        <w:ind w:left="460" w:right="519" w:firstLine="346"/>
        <w:spacing w:after="0" w:line="259" w:lineRule="auto"/>
        <w:rPr>
          <w:sz w:val="20"/>
          <w:szCs w:val="20"/>
          <w:color w:val="auto"/>
        </w:rPr>
      </w:pPr>
      <w:r>
        <w:rPr>
          <w:rFonts w:ascii="Times New Roman" w:cs="Times New Roman" w:eastAsia="Times New Roman" w:hAnsi="Times New Roman"/>
          <w:sz w:val="17"/>
          <w:szCs w:val="17"/>
          <w:color w:val="auto"/>
        </w:rPr>
        <w:t>Unless the context requires otherwise, references in this prospectus to “Tilray,” the “company,” “we,” “us” and “our” refer to Tilray Brands, Inc. and its wholly owned subsidiaries. 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84455</wp:posOffset>
            </wp:positionV>
            <wp:extent cx="5436235" cy="7686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5436235" cy="76860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16" w:lineRule="exact"/>
        <w:rPr>
          <w:sz w:val="20"/>
          <w:szCs w:val="20"/>
          <w:color w:val="auto"/>
        </w:rPr>
      </w:pPr>
    </w:p>
    <w:p>
      <w:pPr>
        <w:ind w:left="480" w:right="579" w:firstLine="346"/>
        <w:spacing w:after="0" w:line="260"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8" w:lineRule="exact"/>
        <w:rPr>
          <w:sz w:val="20"/>
          <w:szCs w:val="20"/>
          <w:color w:val="auto"/>
        </w:rPr>
      </w:pPr>
    </w:p>
    <w:p>
      <w:pPr>
        <w:ind w:left="480" w:right="499" w:firstLine="346"/>
        <w:spacing w:after="0" w:line="262" w:lineRule="auto"/>
        <w:rPr>
          <w:sz w:val="20"/>
          <w:szCs w:val="20"/>
          <w:color w:val="auto"/>
        </w:rPr>
      </w:pPr>
      <w:r>
        <w:rPr>
          <w:rFonts w:ascii="Times New Roman" w:cs="Times New Roman" w:eastAsia="Times New Roman" w:hAnsi="Times New Roman"/>
          <w:sz w:val="17"/>
          <w:szCs w:val="17"/>
          <w:color w:val="auto"/>
        </w:rPr>
        <w:t>Tilray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2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8" w:lineRule="exact"/>
        <w:rPr>
          <w:sz w:val="20"/>
          <w:szCs w:val="20"/>
          <w:color w:val="auto"/>
        </w:rPr>
      </w:pPr>
    </w:p>
    <w:p>
      <w:pPr>
        <w:ind w:left="480" w:right="479" w:firstLine="346"/>
        <w:spacing w:after="0" w:line="262" w:lineRule="auto"/>
        <w:rPr>
          <w:sz w:val="20"/>
          <w:szCs w:val="20"/>
          <w:color w:val="auto"/>
        </w:rPr>
      </w:pPr>
      <w:r>
        <w:rPr>
          <w:rFonts w:ascii="Times New Roman" w:cs="Times New Roman" w:eastAsia="Times New Roman" w:hAnsi="Times New Roman"/>
          <w:sz w:val="17"/>
          <w:szCs w:val="17"/>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69" w:lineRule="exact"/>
        <w:rPr>
          <w:sz w:val="20"/>
          <w:szCs w:val="20"/>
          <w:color w:val="auto"/>
        </w:rPr>
      </w:pPr>
    </w:p>
    <w:p>
      <w:pPr>
        <w:ind w:left="480" w:right="499" w:firstLine="346"/>
        <w:spacing w:after="0" w:line="292" w:lineRule="auto"/>
        <w:rPr>
          <w:sz w:val="20"/>
          <w:szCs w:val="20"/>
          <w:color w:val="auto"/>
        </w:rPr>
      </w:pPr>
      <w:r>
        <w:rPr>
          <w:rFonts w:ascii="Times New Roman" w:cs="Times New Roman" w:eastAsia="Times New Roman" w:hAnsi="Times New Roman"/>
          <w:sz w:val="17"/>
          <w:szCs w:val="17"/>
          <w:color w:val="auto"/>
        </w:rPr>
        <w:t>On December 12, 2019, Privateer Holdings merged with and into a wholly owned subsidiary of Tilray pursuant to the agreement and plan of merger and reorganization.</w:t>
      </w:r>
    </w:p>
    <w:p>
      <w:pPr>
        <w:spacing w:after="0" w:line="44" w:lineRule="exact"/>
        <w:rPr>
          <w:sz w:val="20"/>
          <w:szCs w:val="20"/>
          <w:color w:val="auto"/>
        </w:rPr>
      </w:pPr>
    </w:p>
    <w:p>
      <w:pPr>
        <w:ind w:left="480" w:right="479" w:firstLine="346"/>
        <w:spacing w:after="0" w:line="267" w:lineRule="auto"/>
        <w:rPr>
          <w:sz w:val="20"/>
          <w:szCs w:val="20"/>
          <w:color w:val="auto"/>
        </w:rPr>
      </w:pPr>
      <w:r>
        <w:rPr>
          <w:rFonts w:ascii="Times New Roman" w:cs="Times New Roman" w:eastAsia="Times New Roman" w:hAnsi="Times New Roman"/>
          <w:sz w:val="17"/>
          <w:szCs w:val="17"/>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January 10, 2022, Tilray, Inc. changed its corporate name to Tilray Brands, Inc., pursuant to a</w:t>
      </w:r>
    </w:p>
    <w:p>
      <w:pPr>
        <w:spacing w:after="0" w:line="31" w:lineRule="exact"/>
        <w:rPr>
          <w:sz w:val="20"/>
          <w:szCs w:val="20"/>
          <w:color w:val="auto"/>
        </w:rPr>
      </w:pPr>
    </w:p>
    <w:p>
      <w:pPr>
        <w:ind w:left="480" w:right="499"/>
        <w:spacing w:after="0" w:line="262" w:lineRule="auto"/>
        <w:rPr>
          <w:sz w:val="20"/>
          <w:szCs w:val="20"/>
          <w:color w:val="auto"/>
        </w:rPr>
      </w:pPr>
      <w:r>
        <w:rPr>
          <w:rFonts w:ascii="Times New Roman" w:cs="Times New Roman" w:eastAsia="Times New Roman" w:hAnsi="Times New Roman"/>
          <w:sz w:val="17"/>
          <w:szCs w:val="17"/>
          <w:color w:val="auto"/>
        </w:rPr>
        <w:t>second certificate of amendment of the amended and restated certificate of incorporation filed with the Delaware Secretary of State (the “Name Change”), and amended and restated its Bylaws on that same date to reflect the Name Change.</w:t>
      </w:r>
    </w:p>
    <w:p>
      <w:pPr>
        <w:spacing w:after="0" w:line="68" w:lineRule="exact"/>
        <w:rPr>
          <w:sz w:val="20"/>
          <w:szCs w:val="20"/>
          <w:color w:val="auto"/>
        </w:rPr>
      </w:pPr>
    </w:p>
    <w:p>
      <w:pPr>
        <w:ind w:left="480" w:right="459" w:firstLine="346"/>
        <w:spacing w:after="0" w:line="266" w:lineRule="auto"/>
        <w:rPr>
          <w:sz w:val="20"/>
          <w:szCs w:val="20"/>
          <w:color w:val="auto"/>
        </w:rPr>
      </w:pPr>
      <w:r>
        <w:rPr>
          <w:rFonts w:ascii="Times New Roman" w:cs="Times New Roman" w:eastAsia="Times New Roman" w:hAnsi="Times New Roman"/>
          <w:sz w:val="17"/>
          <w:szCs w:val="17"/>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276" w:lineRule="exact"/>
        <w:rPr>
          <w:sz w:val="20"/>
          <w:szCs w:val="20"/>
          <w:color w:val="auto"/>
        </w:rPr>
      </w:pPr>
    </w:p>
    <w:p>
      <w:pPr>
        <w:ind w:left="480" w:right="539" w:firstLine="346"/>
        <w:spacing w:after="0" w:line="262" w:lineRule="auto"/>
        <w:rPr>
          <w:sz w:val="20"/>
          <w:szCs w:val="20"/>
          <w:color w:val="auto"/>
        </w:rPr>
      </w:pPr>
      <w:r>
        <w:rPr>
          <w:rFonts w:ascii="Times New Roman" w:cs="Times New Roman" w:eastAsia="Times New Roman" w:hAnsi="Times New Roman"/>
          <w:sz w:val="17"/>
          <w:szCs w:val="17"/>
          <w:color w:val="auto"/>
        </w:rPr>
        <w:t>On April 10, 2023, Tilray entered into an arrangement agreement, as amended on June 1, 2023, with HEXO Corp.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69" w:lineRule="exact"/>
        <w:rPr>
          <w:sz w:val="20"/>
          <w:szCs w:val="20"/>
          <w:color w:val="auto"/>
        </w:rPr>
      </w:pPr>
    </w:p>
    <w:p>
      <w:pPr>
        <w:ind w:left="480" w:right="599" w:firstLine="346"/>
        <w:spacing w:after="0" w:line="267" w:lineRule="auto"/>
        <w:rPr>
          <w:sz w:val="20"/>
          <w:szCs w:val="20"/>
          <w:color w:val="auto"/>
        </w:rPr>
      </w:pPr>
      <w:r>
        <w:rPr>
          <w:rFonts w:ascii="Times New Roman" w:cs="Times New Roman" w:eastAsia="Times New Roman" w:hAnsi="Times New Roman"/>
          <w:sz w:val="17"/>
          <w:szCs w:val="17"/>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and the inclusion of the website address in this prospectus is an inactive textual reference only.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9" w:name="page20"/>
    <w:bookmarkEnd w:id="19"/>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84455</wp:posOffset>
            </wp:positionV>
            <wp:extent cx="5436235" cy="7752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5436235" cy="775208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118" w:lineRule="exact"/>
        <w:rPr>
          <w:sz w:val="20"/>
          <w:szCs w:val="20"/>
          <w:color w:val="auto"/>
        </w:rPr>
      </w:pPr>
    </w:p>
    <w:p>
      <w:pPr>
        <w:ind w:left="480" w:right="519" w:firstLine="346"/>
        <w:spacing w:after="0" w:line="260" w:lineRule="auto"/>
        <w:rPr>
          <w:sz w:val="20"/>
          <w:szCs w:val="20"/>
          <w:color w:val="auto"/>
        </w:rPr>
      </w:pPr>
      <w:r>
        <w:rPr>
          <w:rFonts w:ascii="Times New Roman" w:cs="Times New Roman" w:eastAsia="Times New Roman" w:hAnsi="Times New Roman"/>
          <w:sz w:val="17"/>
          <w:szCs w:val="17"/>
          <w:color w:val="auto"/>
        </w:rPr>
        <w:t>We or selling securityholders may offer shares of our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71" w:lineRule="exact"/>
        <w:rPr>
          <w:sz w:val="20"/>
          <w:szCs w:val="20"/>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designation or classification;</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principal amount or aggregate offering price;</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maturity date, if applicable;</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issue discount, if any;</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rates and times of payment of interest or dividends, if any;</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conversion, exercise, exchange or sinking fund terms, if any;</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ranking;</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if any;</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or other rights, if any;</w:t>
      </w:r>
    </w:p>
    <w:p>
      <w:pPr>
        <w:spacing w:after="0" w:line="116" w:lineRule="exact"/>
        <w:rPr>
          <w:rFonts w:ascii="Times New Roman" w:cs="Times New Roman" w:eastAsia="Times New Roman" w:hAnsi="Times New Roman"/>
          <w:sz w:val="17"/>
          <w:szCs w:val="17"/>
          <w:color w:val="auto"/>
        </w:rPr>
      </w:pPr>
    </w:p>
    <w:p>
      <w:pPr>
        <w:ind w:left="1160" w:right="519" w:hanging="342"/>
        <w:spacing w:after="0" w:line="273" w:lineRule="auto"/>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59"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or special U.S. federal income tax considerations, if any.</w:t>
      </w:r>
    </w:p>
    <w:p>
      <w:pPr>
        <w:spacing w:after="0" w:line="116" w:lineRule="exact"/>
        <w:rPr>
          <w:sz w:val="20"/>
          <w:szCs w:val="20"/>
          <w:color w:val="auto"/>
        </w:rPr>
      </w:pPr>
    </w:p>
    <w:p>
      <w:pPr>
        <w:ind w:left="480" w:right="859" w:firstLine="346"/>
        <w:spacing w:after="0" w:line="273" w:lineRule="auto"/>
        <w:rPr>
          <w:sz w:val="20"/>
          <w:szCs w:val="20"/>
          <w:color w:val="auto"/>
        </w:rPr>
      </w:pPr>
      <w:r>
        <w:rPr>
          <w:rFonts w:ascii="Times New Roman" w:cs="Times New Roman" w:eastAsia="Times New Roman" w:hAnsi="Times New Roman"/>
          <w:sz w:val="17"/>
          <w:szCs w:val="17"/>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60" w:lineRule="exact"/>
        <w:rPr>
          <w:sz w:val="20"/>
          <w:szCs w:val="20"/>
          <w:color w:val="auto"/>
        </w:rPr>
      </w:pPr>
    </w:p>
    <w:p>
      <w:pPr>
        <w:ind w:left="480" w:right="479" w:firstLine="346"/>
        <w:spacing w:after="0" w:line="273" w:lineRule="auto"/>
        <w:rPr>
          <w:sz w:val="20"/>
          <w:szCs w:val="20"/>
          <w:color w:val="auto"/>
        </w:rPr>
      </w:pPr>
      <w:r>
        <w:rPr>
          <w:rFonts w:ascii="Times New Roman" w:cs="Times New Roman" w:eastAsia="Times New Roman" w:hAnsi="Times New Roman"/>
          <w:sz w:val="17"/>
          <w:szCs w:val="17"/>
          <w:color w:val="auto"/>
        </w:rPr>
        <w:t>We or selling securityholders may sell the securities directly to investors or to or through agents, underwriters or dealers. If we or selling securityholders do offer securities to or through agents or underwriters, we will include in the applicable prospectus supplement:</w:t>
      </w:r>
    </w:p>
    <w:p>
      <w:pPr>
        <w:spacing w:after="0" w:line="60" w:lineRule="exact"/>
        <w:rPr>
          <w:sz w:val="20"/>
          <w:szCs w:val="20"/>
          <w:color w:val="auto"/>
        </w:rPr>
      </w:pPr>
    </w:p>
    <w:p>
      <w:pPr>
        <w:ind w:left="1160" w:hanging="342"/>
        <w:spacing w:after="0"/>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those agents or underwriters;</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fees, discounts and commissions to be paid to them;</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regarding over-allotment or other options, if any; and</w:t>
      </w:r>
    </w:p>
    <w:p>
      <w:pPr>
        <w:spacing w:after="0" w:line="116" w:lineRule="exact"/>
        <w:rPr>
          <w:rFonts w:ascii="Times New Roman" w:cs="Times New Roman" w:eastAsia="Times New Roman" w:hAnsi="Times New Roman"/>
          <w:sz w:val="17"/>
          <w:szCs w:val="17"/>
          <w:color w:val="auto"/>
        </w:rPr>
      </w:pPr>
    </w:p>
    <w:p>
      <w:pPr>
        <w:ind w:left="1160" w:hanging="342"/>
        <w:spacing w:after="0"/>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proceeds to us, if any.</w:t>
      </w:r>
    </w:p>
    <w:p>
      <w:pPr>
        <w:spacing w:after="0" w:line="114" w:lineRule="exact"/>
        <w:rPr>
          <w:sz w:val="20"/>
          <w:szCs w:val="20"/>
          <w:color w:val="auto"/>
        </w:rPr>
      </w:pPr>
    </w:p>
    <w:p>
      <w:pPr>
        <w:ind w:left="480" w:right="459" w:firstLine="346"/>
        <w:spacing w:after="0" w:line="258" w:lineRule="auto"/>
        <w:rPr>
          <w:sz w:val="20"/>
          <w:szCs w:val="20"/>
          <w:color w:val="auto"/>
        </w:rPr>
      </w:pP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We may issue shares of our common stock from time to time. Holders of our common stock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one vote for each share of common stock held by such holder. Subject to the preferences of any outstanding shares of preferred stock, the holders of common stock are entitled to receive ratably any dividends our board of directors declares out of funds legally available for the payment of dividends. If we are liquidated, dissolved or wound up, the holders of common stock are entitled to share pro rata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common stock being offered.</w:t>
      </w:r>
    </w:p>
    <w:p>
      <w:pPr>
        <w:spacing w:after="0" w:line="77" w:lineRule="exact"/>
        <w:rPr>
          <w:sz w:val="20"/>
          <w:szCs w:val="20"/>
          <w:color w:val="auto"/>
        </w:rPr>
      </w:pPr>
    </w:p>
    <w:p>
      <w:pPr>
        <w:ind w:left="480" w:right="479" w:firstLine="34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Preferred Stock. </w:t>
      </w:r>
      <w:r>
        <w:rPr>
          <w:rFonts w:ascii="Times New Roman" w:cs="Times New Roman" w:eastAsia="Times New Roman" w:hAnsi="Times New Roman"/>
          <w:sz w:val="17"/>
          <w:szCs w:val="17"/>
          <w:color w:val="auto"/>
        </w:rPr>
        <w:t>We may issue shares of our preferred stock from time to time, in one or more series. Under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and restated certificate of incorporation, our board of directors has the authority to designate up to 10,000,000 shares of preferred stock in one or more series and determine or alter the designation, rights,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0" w:name="page21"/>
    <w:bookmarkEnd w:id="20"/>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84455</wp:posOffset>
            </wp:positionV>
            <wp:extent cx="5436235" cy="7381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5436235" cy="73812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 w:right="479"/>
        <w:spacing w:after="0" w:line="257" w:lineRule="auto"/>
        <w:rPr>
          <w:sz w:val="20"/>
          <w:szCs w:val="20"/>
          <w:color w:val="auto"/>
        </w:rPr>
      </w:pPr>
      <w:r>
        <w:rPr>
          <w:rFonts w:ascii="Times New Roman" w:cs="Times New Roman" w:eastAsia="Times New Roman" w:hAnsi="Times New Roman"/>
          <w:sz w:val="17"/>
          <w:szCs w:val="17"/>
          <w:color w:val="auto"/>
        </w:rPr>
        <w:t>preferences, privileges and restrictions granted to or imposed upon any series of preferred stock, any or all of which may be greater than the rights of the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75" w:lineRule="exact"/>
        <w:rPr>
          <w:sz w:val="20"/>
          <w:szCs w:val="20"/>
          <w:color w:val="auto"/>
        </w:rPr>
      </w:pPr>
    </w:p>
    <w:p>
      <w:pPr>
        <w:ind w:left="480" w:right="559" w:firstLine="34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Debt Securities. </w:t>
      </w:r>
      <w:r>
        <w:rPr>
          <w:rFonts w:ascii="Times New Roman" w:cs="Times New Roman" w:eastAsia="Times New Roman" w:hAnsi="Times New Roman"/>
          <w:sz w:val="17"/>
          <w:szCs w:val="17"/>
          <w:color w:val="auto"/>
        </w:rPr>
        <w:t>We may issue debt securities from time to time, in one or more series, as either senior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subordinated debt or as senior or subordinated convertible debt. Convertible or exchangeable debt securities will be convertible into or exchangeable for our common stock or our other securities. Conversion or exchange may be mandatory or optional (at our option or the holders’ option) and would be at prescribed conversion or exchange prices.</w:t>
      </w:r>
    </w:p>
    <w:p>
      <w:pPr>
        <w:spacing w:after="0" w:line="69" w:lineRule="exact"/>
        <w:rPr>
          <w:sz w:val="20"/>
          <w:szCs w:val="20"/>
          <w:color w:val="auto"/>
        </w:rPr>
      </w:pPr>
    </w:p>
    <w:p>
      <w:pPr>
        <w:ind w:left="480" w:right="499" w:firstLine="346"/>
        <w:spacing w:after="0" w:line="259" w:lineRule="auto"/>
        <w:rPr>
          <w:sz w:val="20"/>
          <w:szCs w:val="20"/>
          <w:color w:val="auto"/>
        </w:rPr>
      </w:pPr>
      <w:r>
        <w:rPr>
          <w:rFonts w:ascii="Times New Roman" w:cs="Times New Roman" w:eastAsia="Times New Roman" w:hAnsi="Times New Roman"/>
          <w:sz w:val="17"/>
          <w:szCs w:val="17"/>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2" w:lineRule="exact"/>
        <w:rPr>
          <w:sz w:val="20"/>
          <w:szCs w:val="20"/>
          <w:color w:val="auto"/>
        </w:rPr>
      </w:pPr>
    </w:p>
    <w:p>
      <w:pPr>
        <w:ind w:left="480" w:right="479" w:firstLine="34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Warrants. </w:t>
      </w:r>
      <w:r>
        <w:rPr>
          <w:rFonts w:ascii="Times New Roman" w:cs="Times New Roman" w:eastAsia="Times New Roman" w:hAnsi="Times New Roman"/>
          <w:sz w:val="17"/>
          <w:szCs w:val="17"/>
          <w:color w:val="auto"/>
        </w:rPr>
        <w:t>We may issue warrants for the purchase of common stock, preferred stock and/or debt securities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one or more series. We may issue warrants independently or in combination with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76" w:lineRule="exact"/>
        <w:rPr>
          <w:sz w:val="20"/>
          <w:szCs w:val="20"/>
          <w:color w:val="auto"/>
        </w:rPr>
      </w:pPr>
    </w:p>
    <w:p>
      <w:pPr>
        <w:jc w:val="both"/>
        <w:ind w:left="480" w:right="479" w:firstLine="346"/>
        <w:spacing w:after="0" w:line="273" w:lineRule="auto"/>
        <w:rPr>
          <w:sz w:val="20"/>
          <w:szCs w:val="20"/>
          <w:color w:val="auto"/>
        </w:rPr>
      </w:pPr>
      <w:r>
        <w:rPr>
          <w:rFonts w:ascii="Times New Roman" w:cs="Times New Roman" w:eastAsia="Times New Roman" w:hAnsi="Times New Roman"/>
          <w:sz w:val="17"/>
          <w:szCs w:val="17"/>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18" w:lineRule="exact"/>
        <w:rPr>
          <w:sz w:val="20"/>
          <w:szCs w:val="20"/>
          <w:color w:val="auto"/>
        </w:rPr>
      </w:pPr>
    </w:p>
    <w:p>
      <w:pPr>
        <w:ind w:left="480" w:right="799" w:firstLine="346"/>
        <w:spacing w:after="0" w:line="273" w:lineRule="auto"/>
        <w:rPr>
          <w:sz w:val="20"/>
          <w:szCs w:val="20"/>
          <w:color w:val="auto"/>
        </w:rPr>
      </w:pPr>
      <w:r>
        <w:rPr>
          <w:rFonts w:ascii="Times New Roman" w:cs="Times New Roman" w:eastAsia="Times New Roman" w:hAnsi="Times New Roman"/>
          <w:sz w:val="17"/>
          <w:szCs w:val="17"/>
          <w:color w:val="auto"/>
        </w:rPr>
        <w:t xml:space="preserve">Selling securityholders are persons or entities that, directly or indirectly, have acquired or will from time to time acquire from us, our securities. Information about selling securityholders, if any, will be set forth in a prospectus supplement. See “Selling Securityholders” on page </w:t>
      </w:r>
      <w:r>
        <w:rPr>
          <w:rFonts w:ascii="Times New Roman" w:cs="Times New Roman" w:eastAsia="Times New Roman" w:hAnsi="Times New Roman"/>
          <w:sz w:val="17"/>
          <w:szCs w:val="17"/>
          <w:u w:val="single" w:color="auto"/>
          <w:color w:val="0000EE"/>
        </w:rPr>
        <w:t>24</w:t>
      </w:r>
      <w:r>
        <w:rPr>
          <w:rFonts w:ascii="Times New Roman" w:cs="Times New Roman" w:eastAsia="Times New Roman" w:hAnsi="Times New Roman"/>
          <w:sz w:val="17"/>
          <w:szCs w:val="17"/>
          <w:color w:val="auto"/>
        </w:rPr>
        <w:t xml:space="preserve"> of this prospectus.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84455</wp:posOffset>
            </wp:positionV>
            <wp:extent cx="5436235" cy="2056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5436235" cy="20567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8" w:lineRule="exact"/>
        <w:rPr>
          <w:sz w:val="20"/>
          <w:szCs w:val="20"/>
          <w:color w:val="auto"/>
        </w:rPr>
      </w:pPr>
    </w:p>
    <w:p>
      <w:pPr>
        <w:ind w:left="480" w:right="639" w:firstLine="346"/>
        <w:spacing w:after="0" w:line="261" w:lineRule="auto"/>
        <w:rPr>
          <w:sz w:val="20"/>
          <w:szCs w:val="20"/>
          <w:color w:val="auto"/>
        </w:rPr>
      </w:pPr>
      <w:r>
        <w:rPr>
          <w:rFonts w:ascii="Times New Roman" w:cs="Times New Roman" w:eastAsia="Times New Roman" w:hAnsi="Times New Roman"/>
          <w:sz w:val="17"/>
          <w:szCs w:val="17"/>
          <w:color w:val="auto"/>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See “Use of Proceeds” on page </w:t>
      </w:r>
      <w:r>
        <w:rPr>
          <w:rFonts w:ascii="Times New Roman" w:cs="Times New Roman" w:eastAsia="Times New Roman" w:hAnsi="Times New Roman"/>
          <w:sz w:val="17"/>
          <w:szCs w:val="17"/>
          <w:u w:val="single" w:color="auto"/>
          <w:color w:val="0000EE"/>
        </w:rPr>
        <w:t>25</w:t>
      </w:r>
      <w:r>
        <w:rPr>
          <w:rFonts w:ascii="Times New Roman" w:cs="Times New Roman" w:eastAsia="Times New Roman" w:hAnsi="Times New Roman"/>
          <w:sz w:val="17"/>
          <w:szCs w:val="17"/>
          <w:color w:val="auto"/>
        </w:rPr>
        <w:t xml:space="preserve"> of this prospectus. Unless the applicable prospectus supplement provides otherwise, we will not receive any of the proceeds from the sale of our securities by selling securityholders.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Nasdaq Global Select Market Listing</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“TLRY.”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8" w:lineRule="exact"/>
        <w:rPr>
          <w:sz w:val="20"/>
          <w:szCs w:val="20"/>
          <w:color w:val="auto"/>
        </w:rPr>
      </w:pPr>
    </w:p>
    <w:p>
      <w:pPr>
        <w:ind w:left="460" w:right="459" w:firstLine="346"/>
        <w:spacing w:after="0" w:line="257"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8" w:lineRule="exact"/>
        <w:rPr>
          <w:sz w:val="20"/>
          <w:szCs w:val="20"/>
          <w:color w:val="auto"/>
        </w:rPr>
      </w:pPr>
    </w:p>
    <w:p>
      <w:pPr>
        <w:ind w:left="460" w:right="519" w:firstLine="346"/>
        <w:spacing w:after="0" w:line="256" w:lineRule="auto"/>
        <w:rPr>
          <w:sz w:val="20"/>
          <w:szCs w:val="20"/>
          <w:color w:val="auto"/>
        </w:rPr>
      </w:pPr>
      <w:r>
        <w:rPr>
          <w:rFonts w:ascii="Times New Roman" w:cs="Times New Roman" w:eastAsia="Times New Roman" w:hAnsi="Times New Roman"/>
          <w:sz w:val="17"/>
          <w:szCs w:val="17"/>
          <w:color w:val="auto"/>
        </w:rPr>
        <w:t>Certain statements in this prospectus and any accompanying prospectus supplement,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293" w:lineRule="exact"/>
        <w:rPr>
          <w:sz w:val="20"/>
          <w:szCs w:val="20"/>
          <w:color w:val="auto"/>
        </w:rPr>
      </w:pPr>
    </w:p>
    <w:p>
      <w:pPr>
        <w:ind w:left="460" w:right="959" w:firstLine="346"/>
        <w:spacing w:after="0" w:line="267" w:lineRule="auto"/>
        <w:rPr>
          <w:sz w:val="20"/>
          <w:szCs w:val="20"/>
          <w:color w:val="auto"/>
        </w:rPr>
      </w:pPr>
      <w:r>
        <w:rPr>
          <w:rFonts w:ascii="Times New Roman" w:cs="Times New Roman" w:eastAsia="Times New Roman" w:hAnsi="Times New Roman"/>
          <w:sz w:val="17"/>
          <w:szCs w:val="17"/>
          <w:color w:val="auto"/>
        </w:rPr>
        <w:t>Any information or statements that are contained in this prospectus and any accompanying prospectus supplement, including the documents incorporated by reference herein and therein, that are not statements of historical fact may be deemed to be forward-looking statements, including, but not limited to, statements with regards to:</w:t>
      </w:r>
    </w:p>
    <w:p>
      <w:pPr>
        <w:spacing w:after="0" w:line="65" w:lineRule="exact"/>
        <w:rPr>
          <w:sz w:val="20"/>
          <w:szCs w:val="20"/>
          <w:color w:val="auto"/>
        </w:rPr>
      </w:pPr>
    </w:p>
    <w:p>
      <w:pPr>
        <w:ind w:left="1140" w:right="879" w:hanging="340"/>
        <w:spacing w:after="0" w:line="292" w:lineRule="auto"/>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financial information, including in respect of expected revenues, margins, cash flow, profitability, and production of cannabis;</w:t>
      </w:r>
    </w:p>
    <w:p>
      <w:pPr>
        <w:spacing w:after="0" w:line="43" w:lineRule="exact"/>
        <w:rPr>
          <w:rFonts w:ascii="Times New Roman" w:cs="Times New Roman" w:eastAsia="Times New Roman" w:hAnsi="Times New Roman"/>
          <w:sz w:val="17"/>
          <w:szCs w:val="17"/>
          <w:color w:val="auto"/>
        </w:rPr>
      </w:pPr>
    </w:p>
    <w:p>
      <w:pPr>
        <w:ind w:left="1140" w:right="1039" w:hanging="340"/>
        <w:spacing w:after="0" w:line="292" w:lineRule="auto"/>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future costs applicable to sales, future capital expenditures, future cost reductions, and projected synergies including pre-tax synergies, cost savings and efficiencies;</w:t>
      </w:r>
    </w:p>
    <w:p>
      <w:pPr>
        <w:spacing w:after="0" w:line="43" w:lineRule="exact"/>
        <w:rPr>
          <w:rFonts w:ascii="Times New Roman" w:cs="Times New Roman" w:eastAsia="Times New Roman" w:hAnsi="Times New Roman"/>
          <w:sz w:val="17"/>
          <w:szCs w:val="17"/>
          <w:color w:val="auto"/>
        </w:rPr>
      </w:pPr>
    </w:p>
    <w:p>
      <w:pPr>
        <w:ind w:left="1140" w:right="799" w:hanging="340"/>
        <w:spacing w:after="0" w:line="292" w:lineRule="auto"/>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have scalable medical and adult-use cannabis platforms to strengthen the leadership position in Canada, internationally, and eventually in the United States;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position in the European cannabis markets, and our ability to leverage our current European platforms;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and financial benefits in connection with the Arrangement;</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legalization of cannabis in the United States and our position to compete in the United States;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growth in our market share and the European market; and</w:t>
      </w:r>
    </w:p>
    <w:p>
      <w:pPr>
        <w:spacing w:after="0" w:line="116" w:lineRule="exact"/>
        <w:rPr>
          <w:rFonts w:ascii="Times New Roman" w:cs="Times New Roman" w:eastAsia="Times New Roman" w:hAnsi="Times New Roman"/>
          <w:sz w:val="17"/>
          <w:szCs w:val="17"/>
          <w:color w:val="auto"/>
        </w:rPr>
      </w:pPr>
    </w:p>
    <w:p>
      <w:pPr>
        <w:ind w:left="1140" w:right="619" w:hanging="340"/>
        <w:spacing w:after="0" w:line="292" w:lineRule="auto"/>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to offer a diversified and branded product offering and distribution footprint, world-class cultivation, processing and manufacturing facilities.</w:t>
      </w:r>
    </w:p>
    <w:p>
      <w:pPr>
        <w:spacing w:after="0" w:line="44" w:lineRule="exact"/>
        <w:rPr>
          <w:sz w:val="20"/>
          <w:szCs w:val="20"/>
          <w:color w:val="auto"/>
        </w:rPr>
      </w:pPr>
    </w:p>
    <w:p>
      <w:pPr>
        <w:ind w:left="460" w:right="539" w:firstLine="346"/>
        <w:spacing w:after="0" w:line="267"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and any accompanying prospectus supplement,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65" w:lineRule="exact"/>
        <w:rPr>
          <w:sz w:val="20"/>
          <w:szCs w:val="20"/>
          <w:color w:val="auto"/>
        </w:rPr>
      </w:pPr>
    </w:p>
    <w:p>
      <w:pPr>
        <w:ind w:left="1140" w:right="659" w:hanging="340"/>
        <w:spacing w:after="0" w:line="292"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achieve the expected revenue or other benefits from the craft beer operations we acquired in fiscal years 2024 and 2025;</w:t>
      </w:r>
    </w:p>
    <w:p>
      <w:pPr>
        <w:spacing w:after="0" w:line="43" w:lineRule="exact"/>
        <w:rPr>
          <w:rFonts w:ascii="Times New Roman" w:cs="Times New Roman" w:eastAsia="Times New Roman" w:hAnsi="Times New Roman"/>
          <w:sz w:val="17"/>
          <w:szCs w:val="17"/>
          <w:color w:val="auto"/>
        </w:rPr>
      </w:pPr>
    </w:p>
    <w:p>
      <w:pPr>
        <w:ind w:left="1140" w:right="1099" w:hanging="340"/>
        <w:spacing w:after="0" w:line="292"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difficulties integrating operations and realizing the expected benefits of recent acquisitions, including the Craft brands acquisitions;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93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cannabis business is dependent upon regulatory approvals and licenses, ongoing compliance and reporting obligations, and timely renewals;</w:t>
      </w:r>
    </w:p>
    <w:p>
      <w:pPr>
        <w:spacing w:after="0" w:line="43" w:lineRule="exact"/>
        <w:rPr>
          <w:rFonts w:ascii="Times New Roman" w:cs="Times New Roman" w:eastAsia="Times New Roman" w:hAnsi="Times New Roman"/>
          <w:sz w:val="17"/>
          <w:szCs w:val="17"/>
          <w:color w:val="auto"/>
        </w:rPr>
      </w:pPr>
    </w:p>
    <w:p>
      <w:pPr>
        <w:ind w:left="1140" w:right="539" w:hanging="340"/>
        <w:spacing w:after="0" w:line="260"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71" w:lineRule="exact"/>
        <w:rPr>
          <w:rFonts w:ascii="Times New Roman" w:cs="Times New Roman" w:eastAsia="Times New Roman" w:hAnsi="Times New Roman"/>
          <w:sz w:val="17"/>
          <w:szCs w:val="17"/>
          <w:color w:val="auto"/>
        </w:rPr>
      </w:pPr>
    </w:p>
    <w:p>
      <w:pPr>
        <w:ind w:left="1140" w:right="75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including from the illicit cannabis market, and anticipate competition will increase, which could hurt our business;</w:t>
      </w:r>
    </w:p>
    <w:p>
      <w:pPr>
        <w:spacing w:after="0" w:line="43" w:lineRule="exact"/>
        <w:rPr>
          <w:rFonts w:ascii="Times New Roman" w:cs="Times New Roman" w:eastAsia="Times New Roman" w:hAnsi="Times New Roman"/>
          <w:sz w:val="17"/>
          <w:szCs w:val="17"/>
          <w:color w:val="auto"/>
        </w:rPr>
      </w:pPr>
    </w:p>
    <w:p>
      <w:pPr>
        <w:ind w:left="1140" w:right="57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production and processing facilities are integral to our business and adverse changes or developments affecting our facilities may have an adverse impact on our business;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constrain our ability to market and distribute our products in Canada;</w:t>
      </w:r>
    </w:p>
    <w:p>
      <w:pPr>
        <w:spacing w:after="0" w:line="116" w:lineRule="exact"/>
        <w:rPr>
          <w:rFonts w:ascii="Times New Roman" w:cs="Times New Roman" w:eastAsia="Times New Roman" w:hAnsi="Times New Roman"/>
          <w:sz w:val="17"/>
          <w:szCs w:val="17"/>
          <w:color w:val="auto"/>
        </w:rPr>
      </w:pPr>
    </w:p>
    <w:p>
      <w:pPr>
        <w:ind w:left="1140" w:right="539" w:hanging="340"/>
        <w:spacing w:after="0" w:line="273"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59" w:lineRule="exact"/>
        <w:rPr>
          <w:rFonts w:ascii="Times New Roman" w:cs="Times New Roman" w:eastAsia="Times New Roman" w:hAnsi="Times New Roman"/>
          <w:sz w:val="17"/>
          <w:szCs w:val="17"/>
          <w:color w:val="auto"/>
        </w:rPr>
      </w:pPr>
    </w:p>
    <w:p>
      <w:pPr>
        <w:ind w:left="1140" w:right="47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 or public attitudes about alcohol could decrease demand for our beverage products;</w:t>
      </w:r>
    </w:p>
    <w:p>
      <w:pPr>
        <w:spacing w:after="0" w:line="43" w:lineRule="exact"/>
        <w:rPr>
          <w:rFonts w:ascii="Times New Roman" w:cs="Times New Roman" w:eastAsia="Times New Roman" w:hAnsi="Times New Roman"/>
          <w:sz w:val="17"/>
          <w:szCs w:val="17"/>
          <w:color w:val="auto"/>
        </w:rPr>
      </w:pPr>
    </w:p>
    <w:p>
      <w:pPr>
        <w:jc w:val="both"/>
        <w:ind w:left="1140" w:right="819" w:hanging="340"/>
        <w:spacing w:after="0" w:line="273"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59" w:lineRule="exact"/>
        <w:rPr>
          <w:rFonts w:ascii="Times New Roman" w:cs="Times New Roman" w:eastAsia="Times New Roman" w:hAnsi="Times New Roman"/>
          <w:sz w:val="17"/>
          <w:szCs w:val="17"/>
          <w:color w:val="auto"/>
        </w:rPr>
      </w:pPr>
    </w:p>
    <w:p>
      <w:pPr>
        <w:ind w:left="1140" w:right="65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litigation, arbitration and demands, which could result in significant liability and costs, and impact our resources and reputation;</w:t>
      </w:r>
    </w:p>
    <w:p>
      <w:pPr>
        <w:spacing w:after="0" w:line="43" w:lineRule="exact"/>
        <w:rPr>
          <w:rFonts w:ascii="Times New Roman" w:cs="Times New Roman" w:eastAsia="Times New Roman" w:hAnsi="Times New Roman"/>
          <w:sz w:val="17"/>
          <w:szCs w:val="17"/>
          <w:color w:val="auto"/>
        </w:rPr>
      </w:pPr>
    </w:p>
    <w:p>
      <w:pPr>
        <w:ind w:left="1140" w:right="69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materially adversely affected by the imposition of duties and tariffs and other trade barriers and retaliatory countermeasures implemented by the U.S. and other governments;</w:t>
      </w:r>
    </w:p>
    <w:p>
      <w:pPr>
        <w:spacing w:after="0" w:line="43" w:lineRule="exact"/>
        <w:rPr>
          <w:rFonts w:ascii="Times New Roman" w:cs="Times New Roman" w:eastAsia="Times New Roman" w:hAnsi="Times New Roman"/>
          <w:sz w:val="17"/>
          <w:szCs w:val="17"/>
          <w:color w:val="auto"/>
        </w:rPr>
      </w:pPr>
    </w:p>
    <w:p>
      <w:pPr>
        <w:ind w:left="1140" w:right="779" w:hanging="340"/>
        <w:spacing w:after="0" w:line="273"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59" w:lineRule="exact"/>
        <w:rPr>
          <w:rFonts w:ascii="Times New Roman" w:cs="Times New Roman" w:eastAsia="Times New Roman" w:hAnsi="Times New Roman"/>
          <w:sz w:val="17"/>
          <w:szCs w:val="17"/>
          <w:color w:val="auto"/>
        </w:rPr>
      </w:pPr>
    </w:p>
    <w:p>
      <w:pPr>
        <w:ind w:left="1140" w:right="99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and a history of net losses, and we may not achieve or maintain profitability in the future;</w:t>
      </w:r>
    </w:p>
    <w:p>
      <w:pPr>
        <w:spacing w:after="0" w:line="43" w:lineRule="exact"/>
        <w:rPr>
          <w:rFonts w:ascii="Times New Roman" w:cs="Times New Roman" w:eastAsia="Times New Roman" w:hAnsi="Times New Roman"/>
          <w:sz w:val="17"/>
          <w:szCs w:val="17"/>
          <w:color w:val="auto"/>
        </w:rPr>
      </w:pPr>
    </w:p>
    <w:p>
      <w:pPr>
        <w:ind w:left="1140" w:right="53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strategic alliances and other third-party business relationships may not achieve the intended beneficial impact and expose us to risks;</w:t>
      </w:r>
    </w:p>
    <w:p>
      <w:pPr>
        <w:spacing w:after="0" w:line="43" w:lineRule="exact"/>
        <w:rPr>
          <w:rFonts w:ascii="Times New Roman" w:cs="Times New Roman" w:eastAsia="Times New Roman" w:hAnsi="Times New Roman"/>
          <w:sz w:val="17"/>
          <w:szCs w:val="17"/>
          <w:color w:val="auto"/>
        </w:rPr>
      </w:pPr>
    </w:p>
    <w:p>
      <w:pPr>
        <w:ind w:left="1140" w:right="71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inherent in an agricultural business, including the risk of crop failure;</w:t>
      </w:r>
    </w:p>
    <w:p>
      <w:pPr>
        <w:spacing w:after="0" w:line="116" w:lineRule="exact"/>
        <w:rPr>
          <w:rFonts w:ascii="Times New Roman" w:cs="Times New Roman" w:eastAsia="Times New Roman" w:hAnsi="Times New Roman"/>
          <w:sz w:val="17"/>
          <w:szCs w:val="17"/>
          <w:color w:val="auto"/>
        </w:rPr>
      </w:pPr>
    </w:p>
    <w:p>
      <w:pPr>
        <w:ind w:left="1140" w:right="699" w:hanging="340"/>
        <w:spacing w:after="0" w:line="273"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recurring customers for a substantial portion of our revenue. If we fail to retain or expand our customer relationships or these customers reduce their purchases, our revenue could decline significantly;</w:t>
      </w:r>
    </w:p>
    <w:p>
      <w:pPr>
        <w:spacing w:after="0" w:line="59" w:lineRule="exact"/>
        <w:rPr>
          <w:rFonts w:ascii="Times New Roman" w:cs="Times New Roman" w:eastAsia="Times New Roman" w:hAnsi="Times New Roman"/>
          <w:sz w:val="17"/>
          <w:szCs w:val="17"/>
          <w:color w:val="auto"/>
        </w:rPr>
      </w:pPr>
    </w:p>
    <w:p>
      <w:pPr>
        <w:ind w:left="1140" w:right="123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be subject to recalls for a variety of reasons, which could require us to expend significant management and capital resources;</w:t>
      </w:r>
    </w:p>
    <w:p>
      <w:pPr>
        <w:spacing w:after="0" w:line="43" w:lineRule="exact"/>
        <w:rPr>
          <w:rFonts w:ascii="Times New Roman" w:cs="Times New Roman" w:eastAsia="Times New Roman" w:hAnsi="Times New Roman"/>
          <w:sz w:val="17"/>
          <w:szCs w:val="17"/>
          <w:color w:val="auto"/>
        </w:rPr>
      </w:pPr>
    </w:p>
    <w:p>
      <w:pPr>
        <w:ind w:left="1140" w:right="103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interruptions in our access to certain supply chains for key inputs such as raw materials, supplies, electricity, water and other utilities may impair our operations;</w:t>
      </w:r>
    </w:p>
    <w:p>
      <w:pPr>
        <w:spacing w:after="0" w:line="43" w:lineRule="exact"/>
        <w:rPr>
          <w:rFonts w:ascii="Times New Roman" w:cs="Times New Roman" w:eastAsia="Times New Roman" w:hAnsi="Times New Roman"/>
          <w:sz w:val="17"/>
          <w:szCs w:val="17"/>
          <w:color w:val="auto"/>
        </w:rPr>
      </w:pPr>
    </w:p>
    <w:p>
      <w:pPr>
        <w:ind w:left="1140" w:right="1039" w:hanging="340"/>
        <w:spacing w:after="0" w:line="29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may not be able to successfully establish and maintain effective internal controls over financial reporting;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579" w:hanging="340"/>
        <w:spacing w:after="0" w:line="29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meet the continued listing requirements of Nasdaq could result in a delisting of our publicly traded securities;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uncertainty regarding the impact of our implementation of a reverse stock split;</w:t>
      </w:r>
    </w:p>
    <w:p>
      <w:pPr>
        <w:spacing w:after="0" w:line="116" w:lineRule="exact"/>
        <w:rPr>
          <w:rFonts w:ascii="Times New Roman" w:cs="Times New Roman" w:eastAsia="Times New Roman" w:hAnsi="Times New Roman"/>
          <w:sz w:val="17"/>
          <w:szCs w:val="17"/>
          <w:color w:val="auto"/>
        </w:rPr>
      </w:pPr>
    </w:p>
    <w:p>
      <w:pPr>
        <w:ind w:left="1140" w:right="639" w:hanging="340"/>
        <w:spacing w:after="0" w:line="29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common stock in public markets has experienced and may continue to experience severe volatility and fluctuations;</w:t>
      </w:r>
    </w:p>
    <w:p>
      <w:pPr>
        <w:spacing w:after="0" w:line="43" w:lineRule="exact"/>
        <w:rPr>
          <w:rFonts w:ascii="Times New Roman" w:cs="Times New Roman" w:eastAsia="Times New Roman" w:hAnsi="Times New Roman"/>
          <w:sz w:val="17"/>
          <w:szCs w:val="17"/>
          <w:color w:val="auto"/>
        </w:rPr>
      </w:pPr>
    </w:p>
    <w:p>
      <w:pPr>
        <w:ind w:left="1140" w:right="659" w:hanging="340"/>
        <w:spacing w:after="0" w:line="29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our stock and the stockholder base may hinder or prevent us from engaging in beneficial corporate initiatives;</w:t>
      </w:r>
    </w:p>
    <w:p>
      <w:pPr>
        <w:spacing w:after="0" w:line="43" w:lineRule="exact"/>
        <w:rPr>
          <w:rFonts w:ascii="Times New Roman" w:cs="Times New Roman" w:eastAsia="Times New Roman" w:hAnsi="Times New Roman"/>
          <w:sz w:val="17"/>
          <w:szCs w:val="17"/>
          <w:color w:val="auto"/>
        </w:rPr>
      </w:pPr>
    </w:p>
    <w:p>
      <w:pPr>
        <w:ind w:left="1140" w:right="859" w:hanging="340"/>
        <w:spacing w:after="0" w:line="273"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59" w:lineRule="exact"/>
        <w:rPr>
          <w:rFonts w:ascii="Times New Roman" w:cs="Times New Roman" w:eastAsia="Times New Roman" w:hAnsi="Times New Roman"/>
          <w:sz w:val="17"/>
          <w:szCs w:val="17"/>
          <w:color w:val="auto"/>
        </w:rPr>
      </w:pPr>
    </w:p>
    <w:p>
      <w:pPr>
        <w:ind w:left="1140" w:right="599" w:hanging="340"/>
        <w:spacing w:after="0" w:line="29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the ability to raise the funds necessary to settle conversions of the convertible securities in cash or to repurchase the convertible securities upon a fundamental change;</w:t>
      </w:r>
    </w:p>
    <w:p>
      <w:pPr>
        <w:spacing w:after="0" w:line="43" w:lineRule="exact"/>
        <w:rPr>
          <w:rFonts w:ascii="Times New Roman" w:cs="Times New Roman" w:eastAsia="Times New Roman" w:hAnsi="Times New Roman"/>
          <w:sz w:val="17"/>
          <w:szCs w:val="17"/>
          <w:color w:val="auto"/>
        </w:rPr>
      </w:pPr>
    </w:p>
    <w:p>
      <w:pPr>
        <w:ind w:left="1140" w:right="799" w:hanging="340"/>
        <w:spacing w:after="0" w:line="29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planned cryptocurrency strategy faces high risk and uncertainty in light of market volatility and an evolving regulatory landscape; and</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other risks generally applicable to our industry and the conduct of our business.</w:t>
      </w:r>
    </w:p>
    <w:p>
      <w:pPr>
        <w:spacing w:after="0" w:line="116" w:lineRule="exact"/>
        <w:rPr>
          <w:sz w:val="20"/>
          <w:szCs w:val="20"/>
          <w:color w:val="auto"/>
        </w:rPr>
      </w:pPr>
    </w:p>
    <w:p>
      <w:pPr>
        <w:ind w:left="460" w:right="559" w:firstLine="346"/>
        <w:spacing w:after="0" w:line="273" w:lineRule="auto"/>
        <w:rPr>
          <w:sz w:val="20"/>
          <w:szCs w:val="20"/>
          <w:color w:val="auto"/>
        </w:rPr>
      </w:pPr>
      <w:r>
        <w:rPr>
          <w:rFonts w:ascii="Times New Roman" w:cs="Times New Roman" w:eastAsia="Times New Roman" w:hAnsi="Times New Roman"/>
          <w:sz w:val="17"/>
          <w:szCs w:val="17"/>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60" w:lineRule="exact"/>
        <w:rPr>
          <w:sz w:val="20"/>
          <w:szCs w:val="20"/>
          <w:color w:val="auto"/>
        </w:rPr>
      </w:pPr>
    </w:p>
    <w:p>
      <w:pPr>
        <w:ind w:left="460" w:right="539" w:firstLine="346"/>
        <w:spacing w:after="0" w:line="262" w:lineRule="auto"/>
        <w:rPr>
          <w:sz w:val="20"/>
          <w:szCs w:val="20"/>
          <w:color w:val="auto"/>
        </w:rPr>
      </w:pPr>
      <w:r>
        <w:rPr>
          <w:rFonts w:ascii="Times New Roman" w:cs="Times New Roman" w:eastAsia="Times New Roman" w:hAnsi="Times New Roman"/>
          <w:sz w:val="17"/>
          <w:szCs w:val="17"/>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and any accompanying prospectus supplement.</w:t>
      </w:r>
    </w:p>
    <w:p>
      <w:pPr>
        <w:spacing w:after="0" w:line="69" w:lineRule="exact"/>
        <w:rPr>
          <w:sz w:val="20"/>
          <w:szCs w:val="20"/>
          <w:color w:val="auto"/>
        </w:rPr>
      </w:pPr>
    </w:p>
    <w:p>
      <w:pPr>
        <w:ind w:left="460" w:right="479" w:firstLine="346"/>
        <w:spacing w:after="0" w:line="25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and any accompanying prospectus supplement,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and any accompany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18" w:lineRule="exact"/>
        <w:rPr>
          <w:sz w:val="20"/>
          <w:szCs w:val="20"/>
          <w:color w:val="auto"/>
        </w:rPr>
      </w:pPr>
    </w:p>
    <w:p>
      <w:pPr>
        <w:ind w:left="460" w:right="679" w:firstLine="346"/>
        <w:spacing w:after="0" w:line="267" w:lineRule="auto"/>
        <w:rPr>
          <w:sz w:val="20"/>
          <w:szCs w:val="20"/>
          <w:color w:val="auto"/>
        </w:rPr>
      </w:pPr>
      <w:r>
        <w:rPr>
          <w:rFonts w:ascii="Times New Roman" w:cs="Times New Roman" w:eastAsia="Times New Roman" w:hAnsi="Times New Roman"/>
          <w:sz w:val="17"/>
          <w:szCs w:val="17"/>
          <w:color w:val="auto"/>
        </w:rPr>
        <w:t>The following is a summary of some of the terms of our capital stock and certain provisions of our amended and restated certificate of incorporation and amended and restated bylaws, and is qualified by reference to these documents. Copies of these documents have been filed with the SEC as exhibits to our periodic reports, which are incorporated by reference in this prospectus.</w:t>
      </w:r>
    </w:p>
    <w:p>
      <w:pPr>
        <w:spacing w:after="0" w:line="65" w:lineRule="exact"/>
        <w:rPr>
          <w:sz w:val="20"/>
          <w:szCs w:val="20"/>
          <w:color w:val="auto"/>
        </w:rPr>
      </w:pPr>
    </w:p>
    <w:p>
      <w:pPr>
        <w:ind w:left="460" w:right="539" w:firstLine="346"/>
        <w:spacing w:after="0" w:line="273" w:lineRule="auto"/>
        <w:rPr>
          <w:sz w:val="20"/>
          <w:szCs w:val="20"/>
          <w:color w:val="auto"/>
        </w:rPr>
      </w:pPr>
      <w:r>
        <w:rPr>
          <w:rFonts w:ascii="Times New Roman" w:cs="Times New Roman" w:eastAsia="Times New Roman" w:hAnsi="Times New Roman"/>
          <w:sz w:val="17"/>
          <w:szCs w:val="17"/>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Our authorized capital stock is divided into:</w:t>
      </w:r>
    </w:p>
    <w:p>
      <w:pPr>
        <w:spacing w:after="0" w:line="116" w:lineRule="exact"/>
        <w:rPr>
          <w:sz w:val="20"/>
          <w:szCs w:val="20"/>
          <w:color w:val="auto"/>
        </w:rPr>
      </w:pPr>
    </w:p>
    <w:p>
      <w:pPr>
        <w:ind w:left="1140" w:hanging="340"/>
        <w:spacing w:after="0"/>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1,416,000,000 shares of common stock with a par value of $0.0001 per share; and</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10,000,000 undesignated shares of preferred stock with a par value of $0.0001 per share.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As of October 9, 2025, 1,131,480,234 shares of common stock were outstanding.</w:t>
      </w:r>
    </w:p>
    <w:p>
      <w:pPr>
        <w:spacing w:after="0" w:line="116" w:lineRule="exact"/>
        <w:rPr>
          <w:sz w:val="20"/>
          <w:szCs w:val="20"/>
          <w:color w:val="auto"/>
        </w:rPr>
      </w:pPr>
    </w:p>
    <w:p>
      <w:pPr>
        <w:ind w:left="460" w:right="719" w:firstLine="346"/>
        <w:spacing w:after="0" w:line="264" w:lineRule="auto"/>
        <w:rPr>
          <w:sz w:val="20"/>
          <w:szCs w:val="20"/>
          <w:color w:val="auto"/>
        </w:rPr>
      </w:pPr>
      <w:r>
        <w:rPr>
          <w:rFonts w:ascii="Times New Roman" w:cs="Times New Roman" w:eastAsia="Times New Roman" w:hAnsi="Times New Roman"/>
          <w:sz w:val="17"/>
          <w:szCs w:val="17"/>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67" w:lineRule="exact"/>
        <w:rPr>
          <w:sz w:val="20"/>
          <w:szCs w:val="20"/>
          <w:color w:val="auto"/>
        </w:rPr>
      </w:pPr>
    </w:p>
    <w:p>
      <w:pPr>
        <w:ind w:left="460" w:right="519" w:firstLine="346"/>
        <w:spacing w:after="0" w:line="273" w:lineRule="auto"/>
        <w:rPr>
          <w:sz w:val="20"/>
          <w:szCs w:val="20"/>
          <w:color w:val="auto"/>
        </w:rPr>
      </w:pPr>
      <w:r>
        <w:rPr>
          <w:rFonts w:ascii="Times New Roman" w:cs="Times New Roman" w:eastAsia="Times New Roman" w:hAnsi="Times New Roman"/>
          <w:sz w:val="17"/>
          <w:szCs w:val="17"/>
          <w:color w:val="auto"/>
        </w:rPr>
        <w:t>The rights and restrictions to which the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Each holder of common stock is entitled to one vote for each share of common stock held by such holder.</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Dividends and Distributions</w:t>
      </w:r>
    </w:p>
    <w:p>
      <w:pPr>
        <w:spacing w:after="0" w:line="120" w:lineRule="exact"/>
        <w:rPr>
          <w:sz w:val="20"/>
          <w:szCs w:val="20"/>
          <w:color w:val="auto"/>
        </w:rPr>
      </w:pPr>
    </w:p>
    <w:p>
      <w:pPr>
        <w:ind w:left="460" w:right="599" w:firstLine="346"/>
        <w:spacing w:after="0" w:line="267" w:lineRule="auto"/>
        <w:rPr>
          <w:sz w:val="20"/>
          <w:szCs w:val="20"/>
          <w:color w:val="auto"/>
        </w:rPr>
      </w:pPr>
      <w:r>
        <w:rPr>
          <w:rFonts w:ascii="Times New Roman" w:cs="Times New Roman" w:eastAsia="Times New Roman" w:hAnsi="Times New Roman"/>
          <w:sz w:val="17"/>
          <w:szCs w:val="17"/>
          <w:color w:val="auto"/>
        </w:rPr>
        <w:t>Subject to preferences that may apply to any shares of preferred stock outstanding at the time, the holders of outstanding shares of common stock are entitled to receive dividends out of funds legally available at the times and in the amounts that our board of directors may determine. We do not anticipate paying any cash dividends in the foreseeable future.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Liquidation Rights</w:t>
      </w:r>
    </w:p>
    <w:p>
      <w:pPr>
        <w:spacing w:after="0" w:line="120" w:lineRule="exact"/>
        <w:rPr>
          <w:sz w:val="20"/>
          <w:szCs w:val="20"/>
          <w:color w:val="auto"/>
        </w:rPr>
      </w:pPr>
    </w:p>
    <w:p>
      <w:pPr>
        <w:ind w:left="460" w:right="479" w:firstLine="346"/>
        <w:spacing w:after="0" w:line="267" w:lineRule="auto"/>
        <w:rPr>
          <w:sz w:val="20"/>
          <w:szCs w:val="20"/>
          <w:color w:val="auto"/>
        </w:rPr>
      </w:pPr>
      <w:r>
        <w:rPr>
          <w:rFonts w:ascii="Times New Roman" w:cs="Times New Roman" w:eastAsia="Times New Roman" w:hAnsi="Times New Roman"/>
          <w:sz w:val="17"/>
          <w:szCs w:val="17"/>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65" w:lineRule="exact"/>
        <w:rPr>
          <w:sz w:val="20"/>
          <w:szCs w:val="20"/>
          <w:color w:val="auto"/>
        </w:rPr>
      </w:pPr>
    </w:p>
    <w:p>
      <w:pPr>
        <w:ind w:left="460" w:right="479" w:firstLine="346"/>
        <w:spacing w:after="0" w:line="292" w:lineRule="auto"/>
        <w:rPr>
          <w:sz w:val="20"/>
          <w:szCs w:val="20"/>
          <w:color w:val="auto"/>
        </w:rPr>
      </w:pPr>
      <w:r>
        <w:rPr>
          <w:rFonts w:ascii="Times New Roman" w:cs="Times New Roman" w:eastAsia="Times New Roman" w:hAnsi="Times New Roman"/>
          <w:sz w:val="17"/>
          <w:szCs w:val="17"/>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Rights of Repurchase</w:t>
      </w:r>
    </w:p>
    <w:p>
      <w:pPr>
        <w:spacing w:after="0" w:line="120" w:lineRule="exact"/>
        <w:rPr>
          <w:sz w:val="20"/>
          <w:szCs w:val="20"/>
          <w:color w:val="auto"/>
        </w:rPr>
      </w:pPr>
    </w:p>
    <w:p>
      <w:pPr>
        <w:ind w:left="460" w:right="719" w:firstLine="346"/>
        <w:spacing w:after="0" w:line="292" w:lineRule="auto"/>
        <w:rPr>
          <w:sz w:val="20"/>
          <w:szCs w:val="20"/>
          <w:color w:val="auto"/>
        </w:rPr>
      </w:pPr>
      <w:r>
        <w:rPr>
          <w:rFonts w:ascii="Times New Roman" w:cs="Times New Roman" w:eastAsia="Times New Roman" w:hAnsi="Times New Roman"/>
          <w:sz w:val="17"/>
          <w:szCs w:val="17"/>
          <w:color w:val="auto"/>
        </w:rPr>
        <w:t>We currently have no rights to repurchase shares of our common stock, except as described in “-Options and Restricted Stock Units” below.</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Preemptive or Similar Rights</w:t>
      </w:r>
    </w:p>
    <w:p>
      <w:pPr>
        <w:spacing w:after="0" w:line="1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Our common stock is not entitled to preemptive rights and is not subject to redemption.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18" w:lineRule="exact"/>
        <w:rPr>
          <w:sz w:val="20"/>
          <w:szCs w:val="20"/>
          <w:color w:val="auto"/>
        </w:rPr>
      </w:pPr>
    </w:p>
    <w:p>
      <w:pPr>
        <w:ind w:left="460" w:right="519" w:firstLine="346"/>
        <w:spacing w:after="0" w:line="264" w:lineRule="auto"/>
        <w:rPr>
          <w:sz w:val="20"/>
          <w:szCs w:val="20"/>
          <w:color w:val="auto"/>
        </w:rPr>
      </w:pPr>
      <w:r>
        <w:rPr>
          <w:rFonts w:ascii="Times New Roman" w:cs="Times New Roman" w:eastAsia="Times New Roman" w:hAnsi="Times New Roman"/>
          <w:sz w:val="17"/>
          <w:szCs w:val="17"/>
          <w:color w:val="auto"/>
        </w:rPr>
        <w:t>As of September 30, 2025, 3,031,595 shares of common stock were issuable upon the exercise of outstanding stock options and 59,850,673 shares of common stock were issuable upon vesting of RSUs. Pursuant to the terms of our standard option agreement, we have a right to repurchase shares of our common stock issued upon the exercise of options granted under the Amended and Restated 2018 Equity Incentive Plan if the holder of such shares ceases providing services for us for any reason.</w:t>
      </w:r>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8" w:lineRule="exact"/>
        <w:rPr>
          <w:sz w:val="20"/>
          <w:szCs w:val="20"/>
          <w:color w:val="auto"/>
        </w:rPr>
      </w:pPr>
    </w:p>
    <w:p>
      <w:pPr>
        <w:ind w:left="460" w:right="459" w:firstLine="346"/>
        <w:spacing w:after="0" w:line="258" w:lineRule="auto"/>
        <w:rPr>
          <w:sz w:val="20"/>
          <w:szCs w:val="20"/>
          <w:color w:val="auto"/>
        </w:rPr>
      </w:pPr>
      <w:r>
        <w:rPr>
          <w:rFonts w:ascii="Times New Roman" w:cs="Times New Roman" w:eastAsia="Times New Roman" w:hAnsi="Times New Roman"/>
          <w:sz w:val="17"/>
          <w:szCs w:val="17"/>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common stock. Our board of directors, without stockholder approval, may issue preferred stock with voting, conversion or other rights that are superior to the voting and other rights of the holders of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spacing w:after="0" w:line="77" w:lineRule="exact"/>
        <w:rPr>
          <w:sz w:val="20"/>
          <w:szCs w:val="20"/>
          <w:color w:val="auto"/>
        </w:rPr>
      </w:pPr>
    </w:p>
    <w:p>
      <w:pPr>
        <w:ind w:left="460" w:right="459" w:firstLine="346"/>
        <w:spacing w:after="0" w:line="262" w:lineRule="auto"/>
        <w:rPr>
          <w:sz w:val="20"/>
          <w:szCs w:val="20"/>
          <w:color w:val="auto"/>
        </w:rPr>
      </w:pPr>
      <w:r>
        <w:rPr>
          <w:rFonts w:ascii="Times New Roman" w:cs="Times New Roman" w:eastAsia="Times New Roman" w:hAnsi="Times New Roman"/>
          <w:sz w:val="17"/>
          <w:szCs w:val="17"/>
          <w:color w:val="auto"/>
        </w:rPr>
        <w:t>Our board of directors will determine the rights, preferences, privileges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spacing w:after="0" w:line="69" w:lineRule="exact"/>
        <w:rPr>
          <w:sz w:val="20"/>
          <w:szCs w:val="20"/>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stated value;</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we are offering;</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liquidation preference per share;</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per share;</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per share, dividend period and payment dates and method of calculation for dividends;</w:t>
      </w:r>
    </w:p>
    <w:p>
      <w:pPr>
        <w:spacing w:after="0" w:line="116" w:lineRule="exact"/>
        <w:rPr>
          <w:rFonts w:ascii="Times New Roman" w:cs="Times New Roman" w:eastAsia="Times New Roman" w:hAnsi="Times New Roman"/>
          <w:sz w:val="17"/>
          <w:szCs w:val="17"/>
          <w:color w:val="auto"/>
        </w:rPr>
      </w:pPr>
    </w:p>
    <w:p>
      <w:pPr>
        <w:ind w:left="1140" w:right="479" w:hanging="340"/>
        <w:spacing w:after="0" w:line="29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will be cumulative or non-cumulative and, if cumulative, the date from which dividends will accumulate;</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dividends and the maximum length of any such deferral period;</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for any auction and remarketing, if any;</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a sinking fund, if any;</w:t>
      </w:r>
    </w:p>
    <w:p>
      <w:pPr>
        <w:spacing w:after="0" w:line="116" w:lineRule="exact"/>
        <w:rPr>
          <w:rFonts w:ascii="Times New Roman" w:cs="Times New Roman" w:eastAsia="Times New Roman" w:hAnsi="Times New Roman"/>
          <w:sz w:val="17"/>
          <w:szCs w:val="17"/>
          <w:color w:val="auto"/>
        </w:rPr>
      </w:pPr>
    </w:p>
    <w:p>
      <w:pPr>
        <w:ind w:left="1140" w:right="699" w:hanging="340"/>
        <w:spacing w:after="0" w:line="29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redemption or repurchase, if applicable, and any restrictions on our ability to exercise those redemption and repurchase rights;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of the preferred stock on any securities exchange or market;</w:t>
      </w:r>
    </w:p>
    <w:p>
      <w:pPr>
        <w:spacing w:after="0" w:line="116" w:lineRule="exact"/>
        <w:rPr>
          <w:rFonts w:ascii="Times New Roman" w:cs="Times New Roman" w:eastAsia="Times New Roman" w:hAnsi="Times New Roman"/>
          <w:sz w:val="17"/>
          <w:szCs w:val="17"/>
          <w:color w:val="auto"/>
        </w:rPr>
      </w:pPr>
    </w:p>
    <w:p>
      <w:pPr>
        <w:ind w:left="1140" w:right="999" w:hanging="340"/>
        <w:spacing w:after="0" w:line="273"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convertible into our common stock or other securities of ours, including warrants, and, if applicable, the conversion period, the conversion price, or how it will be calculated, and under what circumstances it may be adjusted;</w:t>
      </w:r>
    </w:p>
    <w:p>
      <w:pPr>
        <w:spacing w:after="0" w:line="59" w:lineRule="exact"/>
        <w:rPr>
          <w:rFonts w:ascii="Times New Roman" w:cs="Times New Roman" w:eastAsia="Times New Roman" w:hAnsi="Times New Roman"/>
          <w:sz w:val="17"/>
          <w:szCs w:val="17"/>
          <w:color w:val="auto"/>
        </w:rPr>
      </w:pPr>
    </w:p>
    <w:p>
      <w:pPr>
        <w:ind w:left="1140" w:right="559" w:hanging="340"/>
        <w:spacing w:after="0" w:line="29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for debt securities, and, if applicable, the exchange period, the exchange price, or how it will be calculated, and under what circumstances it may be adjusted;</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if any, of the preferred stock;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hanging="340"/>
        <w:spacing w:after="0"/>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preemption rights, if any;</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transfer, sale or other assignment, if any;</w:t>
      </w:r>
    </w:p>
    <w:p>
      <w:pPr>
        <w:spacing w:after="0" w:line="116" w:lineRule="exact"/>
        <w:rPr>
          <w:rFonts w:ascii="Times New Roman" w:cs="Times New Roman" w:eastAsia="Times New Roman" w:hAnsi="Times New Roman"/>
          <w:sz w:val="17"/>
          <w:szCs w:val="17"/>
          <w:color w:val="auto"/>
        </w:rPr>
      </w:pPr>
    </w:p>
    <w:p>
      <w:pPr>
        <w:ind w:left="1140" w:right="659" w:hanging="340"/>
        <w:spacing w:after="0" w:line="292"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or special U.S. federal income tax considerations applicable to the preferred stock;</w:t>
      </w:r>
    </w:p>
    <w:p>
      <w:pPr>
        <w:spacing w:after="0" w:line="43" w:lineRule="exact"/>
        <w:rPr>
          <w:rFonts w:ascii="Times New Roman" w:cs="Times New Roman" w:eastAsia="Times New Roman" w:hAnsi="Times New Roman"/>
          <w:sz w:val="17"/>
          <w:szCs w:val="17"/>
          <w:color w:val="auto"/>
        </w:rPr>
      </w:pPr>
    </w:p>
    <w:p>
      <w:pPr>
        <w:ind w:left="1140" w:right="599" w:hanging="340"/>
        <w:spacing w:after="0" w:line="292"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ranking and preferences of the preferred stock as to dividend rights and rights if we liquidate, dissolve or wind up our affairs;</w:t>
      </w:r>
    </w:p>
    <w:p>
      <w:pPr>
        <w:spacing w:after="0" w:line="43" w:lineRule="exact"/>
        <w:rPr>
          <w:rFonts w:ascii="Times New Roman" w:cs="Times New Roman" w:eastAsia="Times New Roman" w:hAnsi="Times New Roman"/>
          <w:sz w:val="17"/>
          <w:szCs w:val="17"/>
          <w:color w:val="auto"/>
        </w:rPr>
      </w:pPr>
    </w:p>
    <w:p>
      <w:pPr>
        <w:jc w:val="both"/>
        <w:ind w:left="1140" w:right="599" w:hanging="340"/>
        <w:spacing w:after="0" w:line="273"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9" w:lineRule="exact"/>
        <w:rPr>
          <w:rFonts w:ascii="Times New Roman" w:cs="Times New Roman" w:eastAsia="Times New Roman" w:hAnsi="Times New Roman"/>
          <w:sz w:val="17"/>
          <w:szCs w:val="17"/>
          <w:color w:val="auto"/>
        </w:rPr>
      </w:pPr>
    </w:p>
    <w:p>
      <w:pPr>
        <w:ind w:left="800" w:right="499"/>
        <w:spacing w:after="0" w:line="382" w:lineRule="auto"/>
        <w:tabs>
          <w:tab w:leader="none" w:pos="113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rights, preferences, privileges, qualifications or restrictions of the preferred stock. When we issue shares of preferred stock under this prospectus, the shares will be fully paid and nonassessable.</w:t>
      </w:r>
    </w:p>
    <w:p>
      <w:pPr>
        <w:spacing w:after="0" w:line="1" w:lineRule="exact"/>
        <w:rPr>
          <w:sz w:val="20"/>
          <w:szCs w:val="20"/>
          <w:color w:val="auto"/>
        </w:rPr>
      </w:pPr>
    </w:p>
    <w:p>
      <w:pPr>
        <w:ind w:left="460" w:right="999" w:firstLine="346"/>
        <w:spacing w:after="0" w:line="292" w:lineRule="auto"/>
        <w:rPr>
          <w:sz w:val="20"/>
          <w:szCs w:val="20"/>
          <w:color w:val="auto"/>
        </w:rPr>
      </w:pPr>
      <w:r>
        <w:rPr>
          <w:rFonts w:ascii="Times New Roman" w:cs="Times New Roman" w:eastAsia="Times New Roman" w:hAnsi="Times New Roman"/>
          <w:sz w:val="17"/>
          <w:szCs w:val="17"/>
          <w:color w:val="auto"/>
        </w:rPr>
        <w:t>Unless we specify otherwise in the applicable prospectus supplement, the preferred stock will rank, with respect to dividends and upon our liquidation, dissolution or winding up:</w:t>
      </w:r>
    </w:p>
    <w:p>
      <w:pPr>
        <w:spacing w:after="0" w:line="44" w:lineRule="exact"/>
        <w:rPr>
          <w:sz w:val="20"/>
          <w:szCs w:val="20"/>
          <w:color w:val="auto"/>
        </w:rPr>
      </w:pPr>
    </w:p>
    <w:p>
      <w:pPr>
        <w:ind w:left="1140" w:right="619" w:hanging="340"/>
        <w:spacing w:after="0" w:line="292"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to all classes or series of our common stock and to all of our equity securities ranking junior to the preferred stock;</w:t>
      </w:r>
    </w:p>
    <w:p>
      <w:pPr>
        <w:spacing w:after="0" w:line="43" w:lineRule="exact"/>
        <w:rPr>
          <w:rFonts w:ascii="Times New Roman" w:cs="Times New Roman" w:eastAsia="Times New Roman" w:hAnsi="Times New Roman"/>
          <w:sz w:val="17"/>
          <w:szCs w:val="17"/>
          <w:color w:val="auto"/>
        </w:rPr>
      </w:pPr>
    </w:p>
    <w:p>
      <w:pPr>
        <w:ind w:left="1140" w:right="1159" w:hanging="340"/>
        <w:spacing w:after="0" w:line="292"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parity with all of our equity securities the terms of which specifically provide that the equity securities rank on a parity with the preferred stock; and</w:t>
      </w:r>
    </w:p>
    <w:p>
      <w:pPr>
        <w:spacing w:after="0" w:line="43" w:lineRule="exact"/>
        <w:rPr>
          <w:rFonts w:ascii="Times New Roman" w:cs="Times New Roman" w:eastAsia="Times New Roman" w:hAnsi="Times New Roman"/>
          <w:sz w:val="17"/>
          <w:szCs w:val="17"/>
          <w:color w:val="auto"/>
        </w:rPr>
      </w:pPr>
    </w:p>
    <w:p>
      <w:pPr>
        <w:ind w:left="1140" w:right="619" w:hanging="340"/>
        <w:spacing w:after="0" w:line="292"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junior to all of our equity securities the terms of which specifically provide that the equity securities rank senior to the preferred stock.</w:t>
      </w:r>
    </w:p>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term “equity securities” does not include convertible debt securities.</w:t>
      </w:r>
    </w:p>
    <w:p>
      <w:pPr>
        <w:spacing w:after="0" w:line="116" w:lineRule="exact"/>
        <w:rPr>
          <w:sz w:val="20"/>
          <w:szCs w:val="20"/>
          <w:color w:val="auto"/>
        </w:rPr>
      </w:pPr>
    </w:p>
    <w:p>
      <w:pPr>
        <w:jc w:val="both"/>
        <w:ind w:left="460" w:right="519" w:firstLine="346"/>
        <w:spacing w:after="0" w:line="267" w:lineRule="auto"/>
        <w:rPr>
          <w:sz w:val="20"/>
          <w:szCs w:val="20"/>
          <w:color w:val="auto"/>
        </w:rPr>
      </w:pPr>
      <w:r>
        <w:rPr>
          <w:rFonts w:ascii="Times New Roman" w:cs="Times New Roman" w:eastAsia="Times New Roman" w:hAnsi="Times New Roman"/>
          <w:sz w:val="17"/>
          <w:szCs w:val="17"/>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Certificate of Incorporation and Amended and Restated Bylaws</w:t>
      </w:r>
    </w:p>
    <w:p>
      <w:pPr>
        <w:spacing w:after="0" w:line="1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Among other things, our amended and restated certificate of incorporation and amended and restated bylaws:</w:t>
      </w:r>
    </w:p>
    <w:p>
      <w:pPr>
        <w:spacing w:after="0" w:line="116" w:lineRule="exact"/>
        <w:rPr>
          <w:sz w:val="20"/>
          <w:szCs w:val="20"/>
          <w:color w:val="auto"/>
        </w:rPr>
      </w:pPr>
    </w:p>
    <w:p>
      <w:pPr>
        <w:ind w:left="1140" w:right="759" w:hanging="340"/>
        <w:spacing w:after="0" w:line="273"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59" w:lineRule="exact"/>
        <w:rPr>
          <w:rFonts w:ascii="Times New Roman" w:cs="Times New Roman" w:eastAsia="Times New Roman" w:hAnsi="Times New Roman"/>
          <w:sz w:val="17"/>
          <w:szCs w:val="17"/>
          <w:color w:val="auto"/>
        </w:rPr>
      </w:pPr>
    </w:p>
    <w:p>
      <w:pPr>
        <w:ind w:left="1140" w:right="999" w:hanging="340"/>
        <w:spacing w:after="0" w:line="292"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the authorized number of directors may be changed only by resolution of our board of directors;</w:t>
      </w:r>
    </w:p>
    <w:p>
      <w:pPr>
        <w:spacing w:after="0" w:line="43" w:lineRule="exact"/>
        <w:rPr>
          <w:rFonts w:ascii="Times New Roman" w:cs="Times New Roman" w:eastAsia="Times New Roman" w:hAnsi="Times New Roman"/>
          <w:sz w:val="17"/>
          <w:szCs w:val="17"/>
          <w:color w:val="auto"/>
        </w:rPr>
      </w:pPr>
    </w:p>
    <w:p>
      <w:pPr>
        <w:ind w:left="1140" w:right="499" w:hanging="340"/>
        <w:spacing w:after="0" w:line="267"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spacing w:after="0" w:line="64" w:lineRule="exact"/>
        <w:rPr>
          <w:rFonts w:ascii="Times New Roman" w:cs="Times New Roman" w:eastAsia="Times New Roman" w:hAnsi="Times New Roman"/>
          <w:sz w:val="17"/>
          <w:szCs w:val="17"/>
          <w:color w:val="auto"/>
        </w:rPr>
      </w:pPr>
    </w:p>
    <w:p>
      <w:pPr>
        <w:jc w:val="both"/>
        <w:ind w:left="1140" w:right="679" w:hanging="340"/>
        <w:spacing w:after="0" w:line="292"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all vacancies, including newly created directorships, may, except as otherwise required by law, be filled by the affirmative vote of a majority of directors then in office, even if less than a quorum;</w:t>
      </w:r>
    </w:p>
    <w:p>
      <w:pPr>
        <w:spacing w:after="0" w:line="43" w:lineRule="exact"/>
        <w:rPr>
          <w:rFonts w:ascii="Times New Roman" w:cs="Times New Roman" w:eastAsia="Times New Roman" w:hAnsi="Times New Roman"/>
          <w:sz w:val="17"/>
          <w:szCs w:val="17"/>
          <w:color w:val="auto"/>
        </w:rPr>
      </w:pPr>
    </w:p>
    <w:p>
      <w:pPr>
        <w:jc w:val="both"/>
        <w:ind w:left="1140" w:right="699" w:hanging="340"/>
        <w:spacing w:after="0" w:line="273"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jc w:val="both"/>
        <w:ind w:left="1140" w:right="959" w:hanging="340"/>
        <w:spacing w:after="0" w:line="27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spacing w:after="0" w:line="59" w:lineRule="exact"/>
        <w:rPr>
          <w:rFonts w:ascii="Times New Roman" w:cs="Times New Roman" w:eastAsia="Times New Roman" w:hAnsi="Times New Roman"/>
          <w:sz w:val="17"/>
          <w:szCs w:val="17"/>
          <w:color w:val="auto"/>
        </w:rPr>
      </w:pPr>
    </w:p>
    <w:p>
      <w:pPr>
        <w:jc w:val="both"/>
        <w:ind w:left="1140" w:right="559" w:hanging="340"/>
        <w:spacing w:after="0" w:line="27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59" w:lineRule="exact"/>
        <w:rPr>
          <w:rFonts w:ascii="Times New Roman" w:cs="Times New Roman" w:eastAsia="Times New Roman" w:hAnsi="Times New Roman"/>
          <w:sz w:val="17"/>
          <w:szCs w:val="17"/>
          <w:color w:val="auto"/>
        </w:rPr>
      </w:pPr>
    </w:p>
    <w:p>
      <w:pPr>
        <w:ind w:left="1140" w:right="539" w:hanging="340"/>
        <w:spacing w:after="0" w:line="264"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spacing w:after="0" w:line="67" w:lineRule="exact"/>
        <w:rPr>
          <w:sz w:val="20"/>
          <w:szCs w:val="20"/>
          <w:color w:val="auto"/>
        </w:rPr>
      </w:pPr>
    </w:p>
    <w:p>
      <w:pPr>
        <w:jc w:val="both"/>
        <w:ind w:left="460" w:right="639" w:firstLine="346"/>
        <w:spacing w:after="0" w:line="262"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69" w:lineRule="exact"/>
        <w:rPr>
          <w:sz w:val="20"/>
          <w:szCs w:val="20"/>
          <w:color w:val="auto"/>
        </w:rPr>
      </w:pPr>
    </w:p>
    <w:p>
      <w:pPr>
        <w:ind w:left="460" w:right="619" w:firstLine="346"/>
        <w:spacing w:after="0" w:line="262"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3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Choice of Forum</w:t>
      </w:r>
    </w:p>
    <w:p>
      <w:pPr>
        <w:spacing w:after="0" w:line="118" w:lineRule="exact"/>
        <w:rPr>
          <w:sz w:val="20"/>
          <w:szCs w:val="20"/>
          <w:color w:val="auto"/>
        </w:rPr>
      </w:pPr>
    </w:p>
    <w:p>
      <w:pPr>
        <w:ind w:left="460" w:right="479" w:firstLine="346"/>
        <w:spacing w:after="0" w:line="259"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If a court were to find the exclusive-forum provision in our amended and restated certificate of incorporation to be inapplicable or unenforceable in an action, we may incur additional costs associated with resolving the dispute in other jurisdictions.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8" w:lineRule="exact"/>
        <w:rPr>
          <w:sz w:val="20"/>
          <w:szCs w:val="20"/>
          <w:color w:val="auto"/>
        </w:rPr>
      </w:pPr>
    </w:p>
    <w:p>
      <w:pPr>
        <w:jc w:val="both"/>
        <w:ind w:left="460" w:right="679" w:firstLine="346"/>
        <w:spacing w:after="0" w:line="273" w:lineRule="auto"/>
        <w:rPr>
          <w:sz w:val="20"/>
          <w:szCs w:val="20"/>
          <w:color w:val="auto"/>
        </w:rPr>
      </w:pPr>
      <w:r>
        <w:rPr>
          <w:rFonts w:ascii="Times New Roman" w:cs="Times New Roman" w:eastAsia="Times New Roman" w:hAnsi="Times New Roman"/>
          <w:sz w:val="17"/>
          <w:szCs w:val="17"/>
          <w:color w:val="auto"/>
        </w:rPr>
        <w:t>The transfer agent and registrar for our common stock is Pacific Stock Transfer Company. The transfer agent and registrar’s address is 6725 Via Austi Parkway, Ste. 300, Las Vegas, NV, 89119 and its phone number is (800) 785-7782.</w:t>
      </w: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“TLRY.”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18" w:lineRule="exact"/>
        <w:rPr>
          <w:sz w:val="20"/>
          <w:szCs w:val="20"/>
          <w:color w:val="auto"/>
        </w:rPr>
      </w:pPr>
    </w:p>
    <w:p>
      <w:pPr>
        <w:ind w:left="460" w:right="479" w:firstLine="346"/>
        <w:spacing w:after="0" w:line="261" w:lineRule="auto"/>
        <w:rPr>
          <w:sz w:val="20"/>
          <w:szCs w:val="20"/>
          <w:color w:val="auto"/>
        </w:rPr>
      </w:pPr>
      <w:r>
        <w:rPr>
          <w:rFonts w:ascii="Times New Roman" w:cs="Times New Roman" w:eastAsia="Times New Roman" w:hAnsi="Times New Roman"/>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or selling securityholders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69" w:lineRule="exact"/>
        <w:rPr>
          <w:sz w:val="20"/>
          <w:szCs w:val="20"/>
          <w:color w:val="auto"/>
        </w:rPr>
      </w:pPr>
    </w:p>
    <w:p>
      <w:pPr>
        <w:ind w:left="460" w:right="499" w:firstLine="346"/>
        <w:spacing w:after="0" w:line="262" w:lineRule="auto"/>
        <w:rPr>
          <w:sz w:val="20"/>
          <w:szCs w:val="20"/>
          <w:color w:val="auto"/>
        </w:rPr>
      </w:pPr>
      <w:r>
        <w:rPr>
          <w:rFonts w:ascii="Times New Roman" w:cs="Times New Roman" w:eastAsia="Times New Roman" w:hAnsi="Times New Roman"/>
          <w:sz w:val="17"/>
          <w:szCs w:val="17"/>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69" w:lineRule="exact"/>
        <w:rPr>
          <w:sz w:val="20"/>
          <w:szCs w:val="20"/>
          <w:color w:val="auto"/>
        </w:rPr>
      </w:pPr>
    </w:p>
    <w:p>
      <w:pPr>
        <w:ind w:left="460" w:right="579" w:firstLine="346"/>
        <w:spacing w:after="0" w:line="264" w:lineRule="auto"/>
        <w:rPr>
          <w:sz w:val="20"/>
          <w:szCs w:val="20"/>
          <w:color w:val="auto"/>
        </w:rPr>
      </w:pPr>
      <w:r>
        <w:rPr>
          <w:rFonts w:ascii="Times New Roman" w:cs="Times New Roman" w:eastAsia="Times New Roman" w:hAnsi="Times New Roman"/>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8" w:lineRule="exact"/>
        <w:rPr>
          <w:sz w:val="20"/>
          <w:szCs w:val="20"/>
          <w:color w:val="auto"/>
        </w:rPr>
      </w:pPr>
    </w:p>
    <w:p>
      <w:pPr>
        <w:ind w:left="460" w:right="479" w:firstLine="346"/>
        <w:spacing w:after="0" w:line="262"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69" w:lineRule="exact"/>
        <w:rPr>
          <w:sz w:val="20"/>
          <w:szCs w:val="20"/>
          <w:color w:val="auto"/>
        </w:rPr>
      </w:pPr>
    </w:p>
    <w:p>
      <w:pPr>
        <w:ind w:left="460" w:right="459" w:firstLine="346"/>
        <w:spacing w:after="0" w:line="262" w:lineRule="auto"/>
        <w:rPr>
          <w:sz w:val="20"/>
          <w:szCs w:val="20"/>
          <w:color w:val="auto"/>
        </w:rPr>
      </w:pPr>
      <w:r>
        <w:rPr>
          <w:rFonts w:ascii="Times New Roman" w:cs="Times New Roman" w:eastAsia="Times New Roman" w:hAnsi="Times New Roman"/>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69" w:lineRule="exact"/>
        <w:rPr>
          <w:sz w:val="20"/>
          <w:szCs w:val="20"/>
          <w:color w:val="auto"/>
        </w:rPr>
      </w:pPr>
    </w:p>
    <w:p>
      <w:pPr>
        <w:ind w:left="460" w:right="1039" w:firstLine="346"/>
        <w:spacing w:after="0" w:line="292"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debt securities being offered, including:</w:t>
      </w:r>
    </w:p>
    <w:p>
      <w:pPr>
        <w:spacing w:after="0" w:line="18" w:lineRule="exact"/>
        <w:rPr>
          <w:sz w:val="20"/>
          <w:szCs w:val="20"/>
          <w:color w:val="auto"/>
        </w:rPr>
      </w:pPr>
    </w:p>
    <w:p>
      <w:pPr>
        <w:ind w:left="1140" w:hanging="340"/>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debt securities;</w:t>
      </w:r>
    </w:p>
    <w:p>
      <w:pPr>
        <w:spacing w:after="0" w:line="10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upon the aggregate principal amount that may be issued;</w:t>
      </w:r>
    </w:p>
    <w:p>
      <w:pPr>
        <w:spacing w:after="0" w:line="10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 or dates;</w:t>
      </w:r>
    </w:p>
    <w:p>
      <w:pPr>
        <w:spacing w:after="0" w:line="90"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the debt securities of the series;</w:t>
      </w:r>
    </w:p>
    <w:p>
      <w:pPr>
        <w:spacing w:after="0" w:line="10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applicability of any guarantees;</w:t>
      </w:r>
    </w:p>
    <w:p>
      <w:pPr>
        <w:spacing w:after="0" w:line="10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debt securities will be secured or unsecured, and the terms of any secured debt;</w:t>
      </w:r>
    </w:p>
    <w:p>
      <w:pPr>
        <w:spacing w:after="0" w:line="90" w:lineRule="exact"/>
        <w:rPr>
          <w:rFonts w:ascii="Times New Roman" w:cs="Times New Roman" w:eastAsia="Times New Roman" w:hAnsi="Times New Roman"/>
          <w:sz w:val="17"/>
          <w:szCs w:val="17"/>
          <w:color w:val="auto"/>
        </w:rPr>
      </w:pPr>
    </w:p>
    <w:p>
      <w:pPr>
        <w:ind w:left="1140" w:right="1099" w:hanging="340"/>
        <w:spacing w:after="0" w:line="292"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rank as senior debt, senior subordinated debt, subordinated debt or any combination thereof, and the terms of any subordination;</w:t>
      </w:r>
    </w:p>
    <w:p>
      <w:pPr>
        <w:spacing w:after="0" w:line="30" w:lineRule="exact"/>
        <w:rPr>
          <w:rFonts w:ascii="Times New Roman" w:cs="Times New Roman" w:eastAsia="Times New Roman" w:hAnsi="Times New Roman"/>
          <w:sz w:val="17"/>
          <w:szCs w:val="17"/>
          <w:color w:val="auto"/>
        </w:rPr>
      </w:pPr>
    </w:p>
    <w:p>
      <w:pPr>
        <w:ind w:left="1140" w:right="879" w:hanging="340"/>
        <w:spacing w:after="0" w:line="264"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519" w:hanging="340"/>
        <w:spacing w:after="0" w:line="273"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interest and the maximum length of any such deferral period;</w:t>
      </w:r>
    </w:p>
    <w:p>
      <w:pPr>
        <w:spacing w:after="0" w:line="103" w:lineRule="exact"/>
        <w:rPr>
          <w:rFonts w:ascii="Times New Roman" w:cs="Times New Roman" w:eastAsia="Times New Roman" w:hAnsi="Times New Roman"/>
          <w:sz w:val="17"/>
          <w:szCs w:val="17"/>
          <w:color w:val="auto"/>
        </w:rPr>
      </w:pPr>
    </w:p>
    <w:p>
      <w:pPr>
        <w:ind w:left="1140" w:right="519" w:hanging="340"/>
        <w:spacing w:after="0" w:line="273"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33" w:lineRule="exact"/>
        <w:rPr>
          <w:rFonts w:ascii="Times New Roman" w:cs="Times New Roman" w:eastAsia="Times New Roman" w:hAnsi="Times New Roman"/>
          <w:sz w:val="17"/>
          <w:szCs w:val="17"/>
          <w:color w:val="auto"/>
        </w:rPr>
      </w:pPr>
    </w:p>
    <w:p>
      <w:pPr>
        <w:ind w:left="1140" w:right="579" w:hanging="340"/>
        <w:spacing w:after="0" w:line="267"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51" w:lineRule="exact"/>
        <w:rPr>
          <w:rFonts w:ascii="Times New Roman" w:cs="Times New Roman" w:eastAsia="Times New Roman" w:hAnsi="Times New Roman"/>
          <w:sz w:val="17"/>
          <w:szCs w:val="17"/>
          <w:color w:val="auto"/>
        </w:rPr>
      </w:pPr>
    </w:p>
    <w:p>
      <w:pPr>
        <w:ind w:left="1140" w:right="919" w:hanging="340"/>
        <w:spacing w:after="0" w:line="29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we will issue the series of debt securities, if other than denominations of $1,000 and any integral multiple thereof;</w:t>
      </w:r>
    </w:p>
    <w:p>
      <w:pPr>
        <w:spacing w:after="0" w:line="30" w:lineRule="exact"/>
        <w:rPr>
          <w:rFonts w:ascii="Times New Roman" w:cs="Times New Roman" w:eastAsia="Times New Roman" w:hAnsi="Times New Roman"/>
          <w:sz w:val="17"/>
          <w:szCs w:val="17"/>
          <w:color w:val="auto"/>
        </w:rPr>
      </w:pPr>
    </w:p>
    <w:p>
      <w:pPr>
        <w:ind w:left="1140" w:right="539" w:hanging="340"/>
        <w:spacing w:after="0" w:line="273"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33" w:lineRule="exact"/>
        <w:rPr>
          <w:rFonts w:ascii="Times New Roman" w:cs="Times New Roman" w:eastAsia="Times New Roman" w:hAnsi="Times New Roman"/>
          <w:sz w:val="17"/>
          <w:szCs w:val="17"/>
          <w:color w:val="auto"/>
        </w:rPr>
      </w:pPr>
    </w:p>
    <w:p>
      <w:pPr>
        <w:ind w:left="1140" w:right="519" w:hanging="340"/>
        <w:spacing w:after="0" w:line="270"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261" w:lineRule="exact"/>
        <w:rPr>
          <w:rFonts w:ascii="Times New Roman" w:cs="Times New Roman" w:eastAsia="Times New Roman" w:hAnsi="Times New Roman"/>
          <w:sz w:val="17"/>
          <w:szCs w:val="17"/>
          <w:color w:val="auto"/>
        </w:rPr>
      </w:pPr>
    </w:p>
    <w:p>
      <w:pPr>
        <w:ind w:left="1140" w:right="479" w:hanging="340"/>
        <w:spacing w:after="0" w:line="264"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54" w:lineRule="exact"/>
        <w:rPr>
          <w:rFonts w:ascii="Times New Roman" w:cs="Times New Roman" w:eastAsia="Times New Roman" w:hAnsi="Times New Roman"/>
          <w:sz w:val="17"/>
          <w:szCs w:val="17"/>
          <w:color w:val="auto"/>
        </w:rPr>
      </w:pPr>
    </w:p>
    <w:p>
      <w:pPr>
        <w:ind w:left="1140" w:right="579" w:hanging="340"/>
        <w:spacing w:after="0" w:line="29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17" w:lineRule="exact"/>
        <w:rPr>
          <w:rFonts w:ascii="Times New Roman" w:cs="Times New Roman" w:eastAsia="Times New Roman" w:hAnsi="Times New Roman"/>
          <w:sz w:val="17"/>
          <w:szCs w:val="17"/>
          <w:color w:val="auto"/>
        </w:rPr>
      </w:pPr>
    </w:p>
    <w:p>
      <w:pPr>
        <w:ind w:left="1140" w:right="499" w:hanging="340"/>
        <w:spacing w:after="0" w:line="29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covenants applicable to the particular debt securities being issued, including, among others, the consolidation, merger or sale covenant;</w:t>
      </w:r>
    </w:p>
    <w:p>
      <w:pPr>
        <w:spacing w:after="0" w:line="30" w:lineRule="exact"/>
        <w:rPr>
          <w:rFonts w:ascii="Times New Roman" w:cs="Times New Roman" w:eastAsia="Times New Roman" w:hAnsi="Times New Roman"/>
          <w:sz w:val="17"/>
          <w:szCs w:val="17"/>
          <w:color w:val="auto"/>
        </w:rPr>
      </w:pPr>
    </w:p>
    <w:p>
      <w:pPr>
        <w:jc w:val="both"/>
        <w:ind w:left="1140" w:right="519" w:hanging="340"/>
        <w:spacing w:after="0" w:line="273"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46" w:lineRule="exact"/>
        <w:rPr>
          <w:rFonts w:ascii="Times New Roman" w:cs="Times New Roman" w:eastAsia="Times New Roman" w:hAnsi="Times New Roman"/>
          <w:sz w:val="17"/>
          <w:szCs w:val="17"/>
          <w:color w:val="auto"/>
        </w:rPr>
      </w:pPr>
    </w:p>
    <w:p>
      <w:pPr>
        <w:ind w:left="1140" w:right="1159" w:hanging="340"/>
        <w:spacing w:after="0" w:line="29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or deletions of the provisions relating to covenant defeasance and legal defeasance;</w:t>
      </w:r>
    </w:p>
    <w:p>
      <w:pPr>
        <w:spacing w:after="0" w:line="17"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satisfaction and discharge of the indenture;</w:t>
      </w:r>
    </w:p>
    <w:p>
      <w:pPr>
        <w:spacing w:after="0" w:line="103" w:lineRule="exact"/>
        <w:rPr>
          <w:rFonts w:ascii="Times New Roman" w:cs="Times New Roman" w:eastAsia="Times New Roman" w:hAnsi="Times New Roman"/>
          <w:sz w:val="17"/>
          <w:szCs w:val="17"/>
          <w:color w:val="auto"/>
        </w:rPr>
      </w:pPr>
    </w:p>
    <w:p>
      <w:pPr>
        <w:ind w:left="1140" w:right="1019" w:hanging="340"/>
        <w:spacing w:after="0" w:line="29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the modification of the indenture both with and without the consent of holders of debt securities issued under the indenture;</w:t>
      </w:r>
    </w:p>
    <w:p>
      <w:pPr>
        <w:spacing w:after="0" w:line="30" w:lineRule="exact"/>
        <w:rPr>
          <w:rFonts w:ascii="Times New Roman" w:cs="Times New Roman" w:eastAsia="Times New Roman" w:hAnsi="Times New Roman"/>
          <w:sz w:val="17"/>
          <w:szCs w:val="17"/>
          <w:color w:val="auto"/>
        </w:rPr>
      </w:pPr>
    </w:p>
    <w:p>
      <w:pPr>
        <w:ind w:left="1140" w:right="779" w:hanging="340"/>
        <w:spacing w:after="0" w:line="29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payment of debt securities if other than U.S. dollars and the manner of determining the equivalent amount in U.S. dollars;</w:t>
      </w:r>
    </w:p>
    <w:p>
      <w:pPr>
        <w:spacing w:after="0" w:line="17" w:lineRule="exact"/>
        <w:rPr>
          <w:rFonts w:ascii="Times New Roman" w:cs="Times New Roman" w:eastAsia="Times New Roman" w:hAnsi="Times New Roman"/>
          <w:sz w:val="17"/>
          <w:szCs w:val="17"/>
          <w:color w:val="auto"/>
        </w:rPr>
      </w:pPr>
    </w:p>
    <w:p>
      <w:pPr>
        <w:ind w:left="1140" w:right="659" w:hanging="340"/>
        <w:spacing w:after="0" w:line="29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interest will be payable in cash or additional debt securities at our or the holders’ option and the terms and conditions upon which the election may be made;</w:t>
      </w:r>
    </w:p>
    <w:p>
      <w:pPr>
        <w:spacing w:after="0" w:line="30" w:lineRule="exact"/>
        <w:rPr>
          <w:rFonts w:ascii="Times New Roman" w:cs="Times New Roman" w:eastAsia="Times New Roman" w:hAnsi="Times New Roman"/>
          <w:sz w:val="17"/>
          <w:szCs w:val="17"/>
          <w:color w:val="auto"/>
        </w:rPr>
      </w:pPr>
    </w:p>
    <w:p>
      <w:pPr>
        <w:jc w:val="both"/>
        <w:ind w:left="1140" w:right="1039" w:hanging="340"/>
        <w:spacing w:after="0" w:line="273"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3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transfer, sale or assignment of the debt securities of the series; and</w:t>
      </w:r>
    </w:p>
    <w:p>
      <w:pPr>
        <w:spacing w:after="0" w:line="103" w:lineRule="exact"/>
        <w:rPr>
          <w:rFonts w:ascii="Times New Roman" w:cs="Times New Roman" w:eastAsia="Times New Roman" w:hAnsi="Times New Roman"/>
          <w:sz w:val="17"/>
          <w:szCs w:val="17"/>
          <w:color w:val="auto"/>
        </w:rPr>
      </w:pPr>
    </w:p>
    <w:p>
      <w:pPr>
        <w:ind w:left="1140" w:right="599" w:hanging="340"/>
        <w:spacing w:after="0" w:line="273"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Conversion or Exchange Rights</w:t>
      </w:r>
    </w:p>
    <w:p>
      <w:pPr>
        <w:spacing w:after="0" w:line="118" w:lineRule="exact"/>
        <w:rPr>
          <w:sz w:val="20"/>
          <w:szCs w:val="20"/>
          <w:color w:val="auto"/>
        </w:rPr>
      </w:pPr>
    </w:p>
    <w:p>
      <w:pPr>
        <w:ind w:left="460" w:right="559" w:firstLine="346"/>
        <w:spacing w:after="0" w:line="264" w:lineRule="auto"/>
        <w:rPr>
          <w:sz w:val="20"/>
          <w:szCs w:val="20"/>
          <w:color w:val="auto"/>
        </w:rPr>
      </w:pPr>
      <w:r>
        <w:rPr>
          <w:rFonts w:ascii="Times New Roman" w:cs="Times New Roman" w:eastAsia="Times New Roman" w:hAnsi="Times New Roman"/>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Consolidation, Merger or Sale</w:t>
      </w:r>
    </w:p>
    <w:p>
      <w:pPr>
        <w:spacing w:after="0" w:line="118" w:lineRule="exact"/>
        <w:rPr>
          <w:sz w:val="20"/>
          <w:szCs w:val="20"/>
          <w:color w:val="auto"/>
        </w:rPr>
      </w:pPr>
    </w:p>
    <w:p>
      <w:pPr>
        <w:ind w:left="460" w:right="479" w:firstLine="346"/>
        <w:spacing w:after="0" w:line="264" w:lineRule="auto"/>
        <w:rPr>
          <w:sz w:val="20"/>
          <w:szCs w:val="20"/>
          <w:color w:val="auto"/>
        </w:rPr>
      </w:pPr>
      <w:r>
        <w:rPr>
          <w:rFonts w:ascii="Times New Roman" w:cs="Times New Roman" w:eastAsia="Times New Roman" w:hAnsi="Times New Roman"/>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Events of Default under the Indenture</w:t>
      </w:r>
    </w:p>
    <w:p>
      <w:pPr>
        <w:spacing w:after="0" w:line="118" w:lineRule="exact"/>
        <w:rPr>
          <w:sz w:val="20"/>
          <w:szCs w:val="20"/>
          <w:color w:val="auto"/>
        </w:rPr>
      </w:pPr>
    </w:p>
    <w:p>
      <w:pPr>
        <w:ind w:left="460" w:right="699" w:firstLine="346"/>
        <w:spacing w:after="0" w:line="273" w:lineRule="auto"/>
        <w:rPr>
          <w:sz w:val="20"/>
          <w:szCs w:val="20"/>
          <w:color w:val="auto"/>
        </w:rPr>
      </w:pPr>
      <w:r>
        <w:rPr>
          <w:rFonts w:ascii="Times New Roman" w:cs="Times New Roman" w:eastAsia="Times New Roman" w:hAnsi="Times New Roman"/>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0" w:lineRule="exact"/>
        <w:rPr>
          <w:sz w:val="20"/>
          <w:szCs w:val="20"/>
          <w:color w:val="auto"/>
        </w:rPr>
      </w:pPr>
    </w:p>
    <w:p>
      <w:pPr>
        <w:ind w:left="1140" w:right="779" w:hanging="340"/>
        <w:spacing w:after="0" w:line="267"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4" w:lineRule="exact"/>
        <w:rPr>
          <w:rFonts w:ascii="Times New Roman" w:cs="Times New Roman" w:eastAsia="Times New Roman" w:hAnsi="Times New Roman"/>
          <w:sz w:val="17"/>
          <w:szCs w:val="17"/>
          <w:color w:val="auto"/>
        </w:rPr>
      </w:pPr>
    </w:p>
    <w:p>
      <w:pPr>
        <w:ind w:left="1140" w:right="479" w:hanging="340"/>
        <w:spacing w:after="0" w:line="263"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278" w:lineRule="exact"/>
        <w:rPr>
          <w:rFonts w:ascii="Times New Roman" w:cs="Times New Roman" w:eastAsia="Times New Roman" w:hAnsi="Times New Roman"/>
          <w:sz w:val="17"/>
          <w:szCs w:val="17"/>
          <w:color w:val="auto"/>
        </w:rPr>
      </w:pPr>
    </w:p>
    <w:p>
      <w:pPr>
        <w:ind w:left="1140" w:right="739" w:hanging="340"/>
        <w:spacing w:after="0" w:line="264"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7"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specified events of bankruptcy, insolvency or reorganization occur.</w:t>
      </w:r>
    </w:p>
    <w:p>
      <w:pPr>
        <w:spacing w:after="0" w:line="116" w:lineRule="exact"/>
        <w:rPr>
          <w:sz w:val="20"/>
          <w:szCs w:val="20"/>
          <w:color w:val="auto"/>
        </w:rPr>
      </w:pPr>
    </w:p>
    <w:p>
      <w:pPr>
        <w:ind w:left="460" w:right="499" w:firstLine="346"/>
        <w:spacing w:after="0" w:line="261"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69" w:lineRule="exact"/>
        <w:rPr>
          <w:sz w:val="20"/>
          <w:szCs w:val="20"/>
          <w:color w:val="auto"/>
        </w:rPr>
      </w:pPr>
    </w:p>
    <w:p>
      <w:pPr>
        <w:ind w:left="460" w:right="499" w:firstLine="346"/>
        <w:spacing w:after="0" w:line="267" w:lineRule="auto"/>
        <w:rPr>
          <w:sz w:val="20"/>
          <w:szCs w:val="20"/>
          <w:color w:val="auto"/>
        </w:rPr>
      </w:pPr>
      <w:r>
        <w:rPr>
          <w:rFonts w:ascii="Times New Roman" w:cs="Times New Roman" w:eastAsia="Times New Roman" w:hAnsi="Times New Roman"/>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65" w:lineRule="exact"/>
        <w:rPr>
          <w:sz w:val="20"/>
          <w:szCs w:val="20"/>
          <w:color w:val="auto"/>
        </w:rPr>
      </w:pPr>
    </w:p>
    <w:p>
      <w:pPr>
        <w:jc w:val="both"/>
        <w:ind w:left="460" w:right="639" w:firstLine="346"/>
        <w:spacing w:after="0" w:line="273" w:lineRule="auto"/>
        <w:rPr>
          <w:sz w:val="20"/>
          <w:szCs w:val="20"/>
          <w:color w:val="auto"/>
        </w:rPr>
      </w:pPr>
      <w:r>
        <w:rPr>
          <w:rFonts w:ascii="Times New Roman" w:cs="Times New Roman" w:eastAsia="Times New Roman" w:hAnsi="Times New Roman"/>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60" w:right="519"/>
        <w:spacing w:after="0" w:line="267" w:lineRule="auto"/>
        <w:rPr>
          <w:sz w:val="20"/>
          <w:szCs w:val="20"/>
          <w:color w:val="auto"/>
        </w:rPr>
      </w:pPr>
      <w:r>
        <w:rPr>
          <w:rFonts w:ascii="Times New Roman" w:cs="Times New Roman" w:eastAsia="Times New Roman" w:hAnsi="Times New Roman"/>
          <w:sz w:val="17"/>
          <w:szCs w:val="17"/>
          <w:color w:val="auto"/>
        </w:rPr>
        <w:t>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5" w:lineRule="exact"/>
        <w:rPr>
          <w:sz w:val="20"/>
          <w:szCs w:val="20"/>
          <w:color w:val="auto"/>
        </w:rPr>
      </w:pPr>
    </w:p>
    <w:p>
      <w:pPr>
        <w:ind w:left="1140" w:hanging="340"/>
        <w:spacing w:after="0"/>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direction so given by the holder is not in conflict with any law or the applicable indenture; and</w:t>
      </w:r>
    </w:p>
    <w:p>
      <w:pPr>
        <w:spacing w:after="0" w:line="116" w:lineRule="exact"/>
        <w:rPr>
          <w:rFonts w:ascii="Times New Roman" w:cs="Times New Roman" w:eastAsia="Times New Roman" w:hAnsi="Times New Roman"/>
          <w:sz w:val="17"/>
          <w:szCs w:val="17"/>
          <w:color w:val="auto"/>
        </w:rPr>
      </w:pPr>
    </w:p>
    <w:p>
      <w:pPr>
        <w:ind w:left="1140" w:right="479" w:hanging="340"/>
        <w:spacing w:after="0" w:line="292" w:lineRule="auto"/>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44" w:lineRule="exact"/>
        <w:rPr>
          <w:sz w:val="20"/>
          <w:szCs w:val="20"/>
          <w:color w:val="auto"/>
        </w:rPr>
      </w:pPr>
    </w:p>
    <w:p>
      <w:pPr>
        <w:ind w:left="460" w:right="619" w:firstLine="346"/>
        <w:spacing w:after="0" w:line="292" w:lineRule="auto"/>
        <w:rPr>
          <w:sz w:val="20"/>
          <w:szCs w:val="20"/>
          <w:color w:val="auto"/>
        </w:rPr>
      </w:pPr>
      <w:r>
        <w:rPr>
          <w:rFonts w:ascii="Times New Roman" w:cs="Times New Roman" w:eastAsia="Times New Roman" w:hAnsi="Times New Roman"/>
          <w:sz w:val="17"/>
          <w:szCs w:val="17"/>
          <w:color w:val="auto"/>
        </w:rPr>
        <w:t>A holder of the debt securities of any series will have the right to institute a proceeding under the indenture or to appoint a receiver or trustee, or to seek other remedies only if:</w:t>
      </w:r>
    </w:p>
    <w:p>
      <w:pPr>
        <w:spacing w:after="0" w:line="44" w:lineRule="exact"/>
        <w:rPr>
          <w:sz w:val="20"/>
          <w:szCs w:val="20"/>
          <w:color w:val="auto"/>
        </w:rPr>
      </w:pPr>
    </w:p>
    <w:p>
      <w:pPr>
        <w:ind w:left="1140" w:hanging="340"/>
        <w:spacing w:after="0"/>
        <w:tabs>
          <w:tab w:leader="none" w:pos="11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has given written notice to the trustee of a continuing event of default with respect to that series;</w:t>
      </w:r>
    </w:p>
    <w:p>
      <w:pPr>
        <w:spacing w:after="0" w:line="116" w:lineRule="exact"/>
        <w:rPr>
          <w:rFonts w:ascii="Times New Roman" w:cs="Times New Roman" w:eastAsia="Times New Roman" w:hAnsi="Times New Roman"/>
          <w:sz w:val="17"/>
          <w:szCs w:val="17"/>
          <w:color w:val="auto"/>
        </w:rPr>
      </w:pPr>
    </w:p>
    <w:p>
      <w:pPr>
        <w:ind w:left="1140" w:right="559" w:hanging="340"/>
        <w:spacing w:after="0" w:line="273" w:lineRule="auto"/>
        <w:tabs>
          <w:tab w:leader="none" w:pos="11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aggregate principal amount of the outstanding debt securities of that series have made written request, such holders have offered to the trustee indemnity satisfactory to it against the costs, expenses and liabilities to be incurred by the trustee in compliance with the request; and</w:t>
      </w:r>
    </w:p>
    <w:p>
      <w:pPr>
        <w:spacing w:after="0" w:line="59" w:lineRule="exact"/>
        <w:rPr>
          <w:rFonts w:ascii="Times New Roman" w:cs="Times New Roman" w:eastAsia="Times New Roman" w:hAnsi="Times New Roman"/>
          <w:sz w:val="17"/>
          <w:szCs w:val="17"/>
          <w:color w:val="auto"/>
        </w:rPr>
      </w:pPr>
    </w:p>
    <w:p>
      <w:pPr>
        <w:ind w:left="1140" w:right="819" w:hanging="340"/>
        <w:spacing w:after="0" w:line="273" w:lineRule="auto"/>
        <w:tabs>
          <w:tab w:leader="none" w:pos="11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60" w:lineRule="exact"/>
        <w:rPr>
          <w:sz w:val="20"/>
          <w:szCs w:val="20"/>
          <w:color w:val="auto"/>
        </w:rPr>
      </w:pPr>
    </w:p>
    <w:p>
      <w:pPr>
        <w:ind w:left="460" w:right="619" w:firstLine="346"/>
        <w:spacing w:after="0" w:line="292" w:lineRule="auto"/>
        <w:rPr>
          <w:sz w:val="20"/>
          <w:szCs w:val="20"/>
          <w:color w:val="auto"/>
        </w:rPr>
      </w:pPr>
      <w:r>
        <w:rPr>
          <w:rFonts w:ascii="Times New Roman" w:cs="Times New Roman" w:eastAsia="Times New Roman" w:hAnsi="Times New Roman"/>
          <w:sz w:val="17"/>
          <w:szCs w:val="17"/>
          <w:color w:val="auto"/>
        </w:rPr>
        <w:t>These limitations do not apply to a suit instituted by a holder of debt securities if we default in the payment of the principal, premium, if any, or interest on, the debt securities.</w:t>
      </w:r>
    </w:p>
    <w:p>
      <w:pPr>
        <w:spacing w:after="0" w:line="44" w:lineRule="exact"/>
        <w:rPr>
          <w:sz w:val="20"/>
          <w:szCs w:val="20"/>
          <w:color w:val="auto"/>
        </w:rPr>
      </w:pPr>
    </w:p>
    <w:p>
      <w:pPr>
        <w:ind w:left="460" w:right="639" w:firstLine="346"/>
        <w:spacing w:after="0" w:line="292" w:lineRule="auto"/>
        <w:rPr>
          <w:sz w:val="20"/>
          <w:szCs w:val="20"/>
          <w:color w:val="auto"/>
        </w:rPr>
      </w:pPr>
      <w:r>
        <w:rPr>
          <w:rFonts w:ascii="Times New Roman" w:cs="Times New Roman" w:eastAsia="Times New Roman" w:hAnsi="Times New Roman"/>
          <w:sz w:val="17"/>
          <w:szCs w:val="17"/>
          <w:color w:val="auto"/>
        </w:rPr>
        <w:t>We will periodically file statements with the trustee regarding our compliance with specified covenants in the indenture.</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Modification of Indenture; Waiver</w:t>
      </w:r>
    </w:p>
    <w:p>
      <w:pPr>
        <w:spacing w:after="0" w:line="1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We and the trustee may change an indenture without the consent of any holders with respect to specific matters:</w:t>
      </w:r>
    </w:p>
    <w:p>
      <w:pPr>
        <w:spacing w:after="0" w:line="116" w:lineRule="exact"/>
        <w:rPr>
          <w:sz w:val="20"/>
          <w:szCs w:val="20"/>
          <w:color w:val="auto"/>
        </w:rPr>
      </w:pPr>
    </w:p>
    <w:p>
      <w:pPr>
        <w:ind w:left="1140" w:hanging="340"/>
        <w:spacing w:after="0"/>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in the indenture or in the debt securities of any series;</w:t>
      </w:r>
    </w:p>
    <w:p>
      <w:pPr>
        <w:spacing w:after="0" w:line="116" w:lineRule="exact"/>
        <w:rPr>
          <w:rFonts w:ascii="Times New Roman" w:cs="Times New Roman" w:eastAsia="Times New Roman" w:hAnsi="Times New Roman"/>
          <w:sz w:val="17"/>
          <w:szCs w:val="17"/>
          <w:color w:val="auto"/>
        </w:rPr>
      </w:pPr>
    </w:p>
    <w:p>
      <w:pPr>
        <w:ind w:left="1140" w:right="979" w:hanging="340"/>
        <w:spacing w:after="0" w:line="292"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provisions described above under the heading “Description of Debt Securities— Consolidation, Merger or Sale;”</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debt securities in addition to or in place of certificated debt securities;</w:t>
      </w:r>
    </w:p>
    <w:p>
      <w:pPr>
        <w:spacing w:after="0" w:line="116" w:lineRule="exact"/>
        <w:rPr>
          <w:rFonts w:ascii="Times New Roman" w:cs="Times New Roman" w:eastAsia="Times New Roman" w:hAnsi="Times New Roman"/>
          <w:sz w:val="17"/>
          <w:szCs w:val="17"/>
          <w:color w:val="auto"/>
        </w:rPr>
      </w:pPr>
    </w:p>
    <w:p>
      <w:pPr>
        <w:ind w:left="1140" w:right="479" w:hanging="340"/>
        <w:spacing w:after="0" w:line="267"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4" w:lineRule="exact"/>
        <w:rPr>
          <w:rFonts w:ascii="Times New Roman" w:cs="Times New Roman" w:eastAsia="Times New Roman" w:hAnsi="Times New Roman"/>
          <w:sz w:val="17"/>
          <w:szCs w:val="17"/>
          <w:color w:val="auto"/>
        </w:rPr>
      </w:pPr>
    </w:p>
    <w:p>
      <w:pPr>
        <w:ind w:left="1140" w:right="819" w:hanging="340"/>
        <w:spacing w:after="0" w:line="292"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43" w:lineRule="exact"/>
        <w:rPr>
          <w:rFonts w:ascii="Times New Roman" w:cs="Times New Roman" w:eastAsia="Times New Roman" w:hAnsi="Times New Roman"/>
          <w:sz w:val="17"/>
          <w:szCs w:val="17"/>
          <w:color w:val="auto"/>
        </w:rPr>
      </w:pPr>
    </w:p>
    <w:p>
      <w:pPr>
        <w:ind w:left="1140" w:right="899" w:hanging="340"/>
        <w:spacing w:after="0" w:line="292"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interests of any holder of debt securities of any series in any material respect;</w:t>
      </w:r>
    </w:p>
    <w:p>
      <w:pPr>
        <w:spacing w:after="0" w:line="43" w:lineRule="exact"/>
        <w:rPr>
          <w:rFonts w:ascii="Times New Roman" w:cs="Times New Roman" w:eastAsia="Times New Roman" w:hAnsi="Times New Roman"/>
          <w:sz w:val="17"/>
          <w:szCs w:val="17"/>
          <w:color w:val="auto"/>
        </w:rPr>
      </w:pPr>
    </w:p>
    <w:p>
      <w:pPr>
        <w:ind w:left="1140" w:right="539" w:hanging="340"/>
        <w:spacing w:after="0" w:line="267"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4"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under any indenture by a successor trustee; or</w:t>
      </w:r>
    </w:p>
    <w:p>
      <w:pPr>
        <w:spacing w:after="0" w:line="116" w:lineRule="exact"/>
        <w:rPr>
          <w:rFonts w:ascii="Times New Roman" w:cs="Times New Roman" w:eastAsia="Times New Roman" w:hAnsi="Times New Roman"/>
          <w:sz w:val="17"/>
          <w:szCs w:val="17"/>
          <w:color w:val="auto"/>
        </w:rPr>
      </w:pPr>
    </w:p>
    <w:p>
      <w:pPr>
        <w:ind w:left="1140" w:right="679" w:hanging="340"/>
        <w:spacing w:after="0" w:line="292"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any requirements of the SEC in connection with the qualification of any indenture under the Trust Indenture Act.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60" w:right="679" w:firstLine="346"/>
        <w:spacing w:after="0" w:line="264" w:lineRule="auto"/>
        <w:rPr>
          <w:sz w:val="20"/>
          <w:szCs w:val="20"/>
          <w:color w:val="auto"/>
        </w:rPr>
      </w:pPr>
      <w:r>
        <w:rPr>
          <w:rFonts w:ascii="Times New Roman" w:cs="Times New Roman" w:eastAsia="Times New Roman" w:hAnsi="Times New Roman"/>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7" w:lineRule="exact"/>
        <w:rPr>
          <w:sz w:val="20"/>
          <w:szCs w:val="20"/>
          <w:color w:val="auto"/>
        </w:rPr>
      </w:pPr>
    </w:p>
    <w:p>
      <w:pPr>
        <w:ind w:left="1140" w:hanging="340"/>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extending the fixed maturity of any debt securities of any series;</w:t>
      </w:r>
    </w:p>
    <w:p>
      <w:pPr>
        <w:spacing w:after="0" w:line="116" w:lineRule="exact"/>
        <w:rPr>
          <w:rFonts w:ascii="Times New Roman" w:cs="Times New Roman" w:eastAsia="Times New Roman" w:hAnsi="Times New Roman"/>
          <w:sz w:val="17"/>
          <w:szCs w:val="17"/>
          <w:color w:val="auto"/>
        </w:rPr>
      </w:pPr>
    </w:p>
    <w:p>
      <w:pPr>
        <w:ind w:left="1140" w:right="1059" w:hanging="340"/>
        <w:spacing w:after="0" w:line="292"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principal amount, reducing the rate of or extending the time of payment of interest, or reducing any premium payable upon the redemption of any series of any debt securities; or</w:t>
      </w:r>
    </w:p>
    <w:p>
      <w:pPr>
        <w:spacing w:after="0" w:line="43" w:lineRule="exact"/>
        <w:rPr>
          <w:rFonts w:ascii="Times New Roman" w:cs="Times New Roman" w:eastAsia="Times New Roman" w:hAnsi="Times New Roman"/>
          <w:sz w:val="17"/>
          <w:szCs w:val="17"/>
          <w:color w:val="auto"/>
        </w:rPr>
      </w:pPr>
    </w:p>
    <w:p>
      <w:pPr>
        <w:ind w:left="1140" w:right="519" w:hanging="340"/>
        <w:spacing w:after="0" w:line="292"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percentage of debt securities, the holders of which are required to consent to any amendment, supplement, modification or waiver.</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Discharge</w:t>
      </w:r>
    </w:p>
    <w:p>
      <w:pPr>
        <w:spacing w:after="0" w:line="118" w:lineRule="exact"/>
        <w:rPr>
          <w:sz w:val="20"/>
          <w:szCs w:val="20"/>
          <w:color w:val="auto"/>
        </w:rPr>
      </w:pPr>
    </w:p>
    <w:p>
      <w:pPr>
        <w:ind w:left="460" w:right="759" w:firstLine="346"/>
        <w:spacing w:after="0" w:line="292" w:lineRule="auto"/>
        <w:rPr>
          <w:sz w:val="20"/>
          <w:szCs w:val="20"/>
          <w:color w:val="auto"/>
        </w:rPr>
      </w:pPr>
      <w:r>
        <w:rPr>
          <w:rFonts w:ascii="Times New Roman" w:cs="Times New Roman" w:eastAsia="Times New Roman" w:hAnsi="Times New Roman"/>
          <w:sz w:val="17"/>
          <w:szCs w:val="17"/>
          <w:color w:val="auto"/>
        </w:rPr>
        <w:t>Each indenture provides that we can elect to be discharged from our obligations with respect to one or more series of debt securities, except for specified obligations, including obligations to:</w:t>
      </w:r>
    </w:p>
    <w:p>
      <w:pPr>
        <w:spacing w:after="0" w:line="44" w:lineRule="exact"/>
        <w:rPr>
          <w:sz w:val="20"/>
          <w:szCs w:val="20"/>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payment;</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or exchange of debt securities of the series;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 stolen, lost or mutilated debt securities of the series;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principal of and premium and interest on any debt securities of the series;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paying agencies;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monies for payment in trust;</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 excess money held by the trustee;</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compensate and indemnify the trustee; and</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any successor trustee.</w:t>
      </w:r>
    </w:p>
    <w:p>
      <w:pPr>
        <w:spacing w:after="0" w:line="116" w:lineRule="exact"/>
        <w:rPr>
          <w:sz w:val="20"/>
          <w:szCs w:val="20"/>
          <w:color w:val="auto"/>
        </w:rPr>
      </w:pPr>
    </w:p>
    <w:p>
      <w:pPr>
        <w:ind w:left="460" w:right="519" w:firstLine="346"/>
        <w:spacing w:after="0" w:line="273" w:lineRule="auto"/>
        <w:rPr>
          <w:sz w:val="20"/>
          <w:szCs w:val="20"/>
          <w:color w:val="auto"/>
        </w:rPr>
      </w:pPr>
      <w:r>
        <w:rPr>
          <w:rFonts w:ascii="Times New Roman" w:cs="Times New Roman" w:eastAsia="Times New Roman" w:hAnsi="Times New Roman"/>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Form, Exchange and Transfer</w:t>
      </w:r>
    </w:p>
    <w:p>
      <w:pPr>
        <w:spacing w:after="0" w:line="118" w:lineRule="exact"/>
        <w:rPr>
          <w:sz w:val="20"/>
          <w:szCs w:val="20"/>
          <w:color w:val="auto"/>
        </w:rPr>
      </w:pPr>
    </w:p>
    <w:p>
      <w:pPr>
        <w:ind w:left="460" w:right="479" w:firstLine="346"/>
        <w:spacing w:after="0" w:line="261" w:lineRule="auto"/>
        <w:rPr>
          <w:sz w:val="20"/>
          <w:szCs w:val="20"/>
          <w:color w:val="auto"/>
        </w:rPr>
      </w:pPr>
      <w:r>
        <w:rPr>
          <w:rFonts w:ascii="Times New Roman" w:cs="Times New Roman" w:eastAsia="Times New Roman" w:hAnsi="Times New Roman"/>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69" w:lineRule="exact"/>
        <w:rPr>
          <w:sz w:val="20"/>
          <w:szCs w:val="20"/>
          <w:color w:val="auto"/>
        </w:rPr>
      </w:pPr>
    </w:p>
    <w:p>
      <w:pPr>
        <w:ind w:left="460" w:right="599" w:firstLine="346"/>
        <w:spacing w:after="0" w:line="267" w:lineRule="auto"/>
        <w:rPr>
          <w:sz w:val="20"/>
          <w:szCs w:val="20"/>
          <w:color w:val="auto"/>
        </w:rPr>
      </w:pPr>
      <w:r>
        <w:rPr>
          <w:rFonts w:ascii="Times New Roman" w:cs="Times New Roman" w:eastAsia="Times New Roman" w:hAnsi="Times New Roman"/>
          <w:sz w:val="17"/>
          <w:szCs w:val="17"/>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65" w:lineRule="exact"/>
        <w:rPr>
          <w:sz w:val="20"/>
          <w:szCs w:val="20"/>
          <w:color w:val="auto"/>
        </w:rPr>
      </w:pPr>
    </w:p>
    <w:p>
      <w:pPr>
        <w:ind w:left="460" w:right="479" w:firstLine="346"/>
        <w:spacing w:after="0" w:line="261" w:lineRule="auto"/>
        <w:rPr>
          <w:sz w:val="20"/>
          <w:szCs w:val="20"/>
          <w:color w:val="auto"/>
        </w:rPr>
      </w:pPr>
      <w:r>
        <w:rPr>
          <w:rFonts w:ascii="Times New Roman" w:cs="Times New Roman" w:eastAsia="Times New Roman" w:hAnsi="Times New Roman"/>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69" w:lineRule="exact"/>
        <w:rPr>
          <w:sz w:val="20"/>
          <w:szCs w:val="20"/>
          <w:color w:val="auto"/>
        </w:rPr>
      </w:pPr>
    </w:p>
    <w:p>
      <w:pPr>
        <w:ind w:left="460" w:right="579" w:firstLine="346"/>
        <w:spacing w:after="0" w:line="292" w:lineRule="auto"/>
        <w:rPr>
          <w:sz w:val="20"/>
          <w:szCs w:val="20"/>
          <w:color w:val="auto"/>
        </w:rPr>
      </w:pPr>
      <w:r>
        <w:rPr>
          <w:rFonts w:ascii="Times New Roman" w:cs="Times New Roman" w:eastAsia="Times New Roman" w:hAnsi="Times New Roman"/>
          <w:sz w:val="17"/>
          <w:szCs w:val="17"/>
          <w:color w:val="auto"/>
        </w:rPr>
        <w:t>We will name in the applicable prospectus supplement the security registrar, and any transfer agent in addition to the security registrar, that we initially designate for any debt securities. We may at any time designate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jc w:val="both"/>
        <w:ind w:left="460" w:right="619"/>
        <w:spacing w:after="0" w:line="273" w:lineRule="auto"/>
        <w:rPr>
          <w:sz w:val="20"/>
          <w:szCs w:val="20"/>
          <w:color w:val="auto"/>
        </w:rPr>
      </w:pPr>
      <w:r>
        <w:rPr>
          <w:rFonts w:ascii="Times New Roman" w:cs="Times New Roman" w:eastAsia="Times New Roman" w:hAnsi="Times New Roman"/>
          <w:sz w:val="17"/>
          <w:szCs w:val="17"/>
          <w:color w:val="auto"/>
        </w:rPr>
        <w:t>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If we elect to redeem the debt securities of any series, we will not be required to:</w:t>
      </w:r>
    </w:p>
    <w:p>
      <w:pPr>
        <w:spacing w:after="0" w:line="116" w:lineRule="exact"/>
        <w:rPr>
          <w:sz w:val="20"/>
          <w:szCs w:val="20"/>
          <w:color w:val="auto"/>
        </w:rPr>
      </w:pPr>
    </w:p>
    <w:p>
      <w:pPr>
        <w:jc w:val="both"/>
        <w:ind w:left="1140" w:right="479" w:hanging="340"/>
        <w:spacing w:after="0" w:line="273"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59" w:lineRule="exact"/>
        <w:rPr>
          <w:rFonts w:ascii="Times New Roman" w:cs="Times New Roman" w:eastAsia="Times New Roman" w:hAnsi="Times New Roman"/>
          <w:sz w:val="17"/>
          <w:szCs w:val="17"/>
          <w:color w:val="auto"/>
        </w:rPr>
      </w:pPr>
    </w:p>
    <w:p>
      <w:pPr>
        <w:ind w:left="1140" w:right="859" w:hanging="340"/>
        <w:spacing w:after="0" w:line="292"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of or exchange any debt securities so selected for redemption, in whole or in part, except the unredeemed portion of any debt securities we are redeeming in part.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Information Concerning the Trustee</w:t>
      </w:r>
    </w:p>
    <w:p>
      <w:pPr>
        <w:spacing w:after="0" w:line="118" w:lineRule="exact"/>
        <w:rPr>
          <w:sz w:val="20"/>
          <w:szCs w:val="20"/>
          <w:color w:val="auto"/>
        </w:rPr>
      </w:pPr>
    </w:p>
    <w:p>
      <w:pPr>
        <w:ind w:left="460" w:right="499" w:firstLine="346"/>
        <w:spacing w:after="0" w:line="262" w:lineRule="auto"/>
        <w:rPr>
          <w:sz w:val="20"/>
          <w:szCs w:val="20"/>
          <w:color w:val="auto"/>
        </w:rPr>
      </w:pPr>
      <w:r>
        <w:rPr>
          <w:rFonts w:ascii="Times New Roman" w:cs="Times New Roman" w:eastAsia="Times New Roman" w:hAnsi="Times New Roman"/>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Payment and Paying Agents</w:t>
      </w:r>
    </w:p>
    <w:p>
      <w:pPr>
        <w:spacing w:after="0" w:line="118" w:lineRule="exact"/>
        <w:rPr>
          <w:sz w:val="20"/>
          <w:szCs w:val="20"/>
          <w:color w:val="auto"/>
        </w:rPr>
      </w:pPr>
    </w:p>
    <w:p>
      <w:pPr>
        <w:ind w:left="460" w:right="519" w:firstLine="346"/>
        <w:spacing w:after="0" w:line="273" w:lineRule="auto"/>
        <w:rPr>
          <w:sz w:val="20"/>
          <w:szCs w:val="20"/>
          <w:color w:val="auto"/>
        </w:rPr>
      </w:pPr>
      <w:r>
        <w:rPr>
          <w:rFonts w:ascii="Times New Roman" w:cs="Times New Roman" w:eastAsia="Times New Roman" w:hAnsi="Times New Roman"/>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0" w:lineRule="exact"/>
        <w:rPr>
          <w:sz w:val="20"/>
          <w:szCs w:val="20"/>
          <w:color w:val="auto"/>
        </w:rPr>
      </w:pPr>
    </w:p>
    <w:p>
      <w:pPr>
        <w:ind w:left="460" w:right="519" w:firstLine="346"/>
        <w:spacing w:after="0" w:line="260" w:lineRule="auto"/>
        <w:rPr>
          <w:sz w:val="20"/>
          <w:szCs w:val="20"/>
          <w:color w:val="auto"/>
        </w:rPr>
      </w:pPr>
      <w:r>
        <w:rPr>
          <w:rFonts w:ascii="Times New Roman" w:cs="Times New Roman" w:eastAsia="Times New Roman" w:hAnsi="Times New Roman"/>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71" w:lineRule="exact"/>
        <w:rPr>
          <w:sz w:val="20"/>
          <w:szCs w:val="20"/>
          <w:color w:val="auto"/>
        </w:rPr>
      </w:pPr>
    </w:p>
    <w:p>
      <w:pPr>
        <w:ind w:left="460" w:right="459" w:firstLine="346"/>
        <w:spacing w:after="0" w:line="267" w:lineRule="auto"/>
        <w:rPr>
          <w:sz w:val="20"/>
          <w:szCs w:val="20"/>
          <w:color w:val="auto"/>
        </w:rPr>
      </w:pPr>
      <w:r>
        <w:rPr>
          <w:rFonts w:ascii="Times New Roman" w:cs="Times New Roman" w:eastAsia="Times New Roman" w:hAnsi="Times New Roman"/>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8" w:lineRule="exact"/>
        <w:rPr>
          <w:sz w:val="20"/>
          <w:szCs w:val="20"/>
          <w:color w:val="auto"/>
        </w:rPr>
      </w:pPr>
    </w:p>
    <w:p>
      <w:pPr>
        <w:ind w:left="460" w:right="519" w:firstLine="346"/>
        <w:spacing w:after="0" w:line="292" w:lineRule="auto"/>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internal laws of the State of New York, except to the extent that the Trust Indenture Act is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18" w:lineRule="exact"/>
        <w:rPr>
          <w:sz w:val="20"/>
          <w:szCs w:val="20"/>
          <w:color w:val="auto"/>
        </w:rPr>
      </w:pPr>
    </w:p>
    <w:p>
      <w:pPr>
        <w:ind w:left="460" w:right="479" w:firstLine="346"/>
        <w:spacing w:after="0" w:line="259"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71" w:lineRule="exact"/>
        <w:rPr>
          <w:sz w:val="20"/>
          <w:szCs w:val="20"/>
          <w:color w:val="auto"/>
        </w:rPr>
      </w:pPr>
    </w:p>
    <w:p>
      <w:pPr>
        <w:ind w:left="460" w:right="479" w:firstLine="346"/>
        <w:spacing w:after="0" w:line="258" w:lineRule="auto"/>
        <w:rPr>
          <w:sz w:val="20"/>
          <w:szCs w:val="20"/>
          <w:color w:val="auto"/>
        </w:rPr>
      </w:pPr>
      <w:r>
        <w:rPr>
          <w:rFonts w:ascii="Times New Roman" w:cs="Times New Roman" w:eastAsia="Times New Roman" w:hAnsi="Times New Roman"/>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8" w:lineRule="exact"/>
        <w:rPr>
          <w:sz w:val="20"/>
          <w:szCs w:val="20"/>
          <w:color w:val="auto"/>
        </w:rPr>
      </w:pPr>
    </w:p>
    <w:p>
      <w:pPr>
        <w:ind w:left="460" w:right="859" w:firstLine="346"/>
        <w:spacing w:after="0" w:line="292"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warrants being offered, including:</w:t>
      </w:r>
    </w:p>
    <w:p>
      <w:pPr>
        <w:spacing w:after="0" w:line="18" w:lineRule="exact"/>
        <w:rPr>
          <w:sz w:val="20"/>
          <w:szCs w:val="20"/>
          <w:color w:val="auto"/>
        </w:rPr>
      </w:pPr>
    </w:p>
    <w:p>
      <w:pPr>
        <w:ind w:left="1140" w:hanging="340"/>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price and aggregate number of warrants offered;</w:t>
      </w:r>
    </w:p>
    <w:p>
      <w:pPr>
        <w:spacing w:after="0" w:line="10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for which the warrants may be purchased;</w:t>
      </w:r>
    </w:p>
    <w:p>
      <w:pPr>
        <w:spacing w:after="0" w:line="103" w:lineRule="exact"/>
        <w:rPr>
          <w:rFonts w:ascii="Times New Roman" w:cs="Times New Roman" w:eastAsia="Times New Roman" w:hAnsi="Times New Roman"/>
          <w:sz w:val="17"/>
          <w:szCs w:val="17"/>
          <w:color w:val="auto"/>
        </w:rPr>
      </w:pPr>
    </w:p>
    <w:p>
      <w:pPr>
        <w:ind w:left="1140" w:right="1039" w:hanging="340"/>
        <w:spacing w:after="0" w:line="292" w:lineRule="auto"/>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securities with which the warrants are issued and the number of warrants issued with each such security or each principal amount of such security;</w:t>
      </w:r>
    </w:p>
    <w:p>
      <w:pPr>
        <w:spacing w:after="0" w:line="17" w:lineRule="exact"/>
        <w:rPr>
          <w:rFonts w:ascii="Times New Roman" w:cs="Times New Roman" w:eastAsia="Times New Roman" w:hAnsi="Times New Roman"/>
          <w:sz w:val="17"/>
          <w:szCs w:val="17"/>
          <w:color w:val="auto"/>
        </w:rPr>
      </w:pPr>
    </w:p>
    <w:p>
      <w:pPr>
        <w:ind w:left="1140" w:right="839" w:hanging="340"/>
        <w:spacing w:after="0" w:line="273" w:lineRule="auto"/>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46" w:lineRule="exact"/>
        <w:rPr>
          <w:rFonts w:ascii="Times New Roman" w:cs="Times New Roman" w:eastAsia="Times New Roman" w:hAnsi="Times New Roman"/>
          <w:sz w:val="17"/>
          <w:szCs w:val="17"/>
          <w:color w:val="auto"/>
        </w:rPr>
      </w:pPr>
    </w:p>
    <w:p>
      <w:pPr>
        <w:ind w:left="1140" w:right="539" w:hanging="340"/>
        <w:spacing w:after="0" w:line="273" w:lineRule="auto"/>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46" w:lineRule="exact"/>
        <w:rPr>
          <w:rFonts w:ascii="Times New Roman" w:cs="Times New Roman" w:eastAsia="Times New Roman" w:hAnsi="Times New Roman"/>
          <w:sz w:val="17"/>
          <w:szCs w:val="17"/>
          <w:color w:val="auto"/>
        </w:rPr>
      </w:pPr>
    </w:p>
    <w:p>
      <w:pPr>
        <w:ind w:left="1140" w:right="499" w:hanging="340"/>
        <w:spacing w:after="0" w:line="292" w:lineRule="auto"/>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merger, consolidation, sale or other disposition of our business on the warrant agreements and the warrants;</w:t>
      </w:r>
    </w:p>
    <w:p>
      <w:pPr>
        <w:spacing w:after="0" w:line="17"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rights to redeem or call the warrants;</w:t>
      </w:r>
    </w:p>
    <w:p>
      <w:pPr>
        <w:spacing w:after="0" w:line="103" w:lineRule="exact"/>
        <w:rPr>
          <w:rFonts w:ascii="Times New Roman" w:cs="Times New Roman" w:eastAsia="Times New Roman" w:hAnsi="Times New Roman"/>
          <w:sz w:val="17"/>
          <w:szCs w:val="17"/>
          <w:color w:val="auto"/>
        </w:rPr>
      </w:pPr>
    </w:p>
    <w:p>
      <w:pPr>
        <w:ind w:left="1140" w:right="719" w:hanging="340"/>
        <w:spacing w:after="0" w:line="292" w:lineRule="auto"/>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changes to or adjustments in the exercise price or number of securities issuable upon exercise of the warrants;</w:t>
      </w:r>
    </w:p>
    <w:p>
      <w:pPr>
        <w:spacing w:after="0" w:line="30"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the right to exercise the warrants will commence and expire;</w:t>
      </w:r>
    </w:p>
    <w:p>
      <w:pPr>
        <w:spacing w:after="0" w:line="90"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in which the warrant agreements and warrants may be modified;</w:t>
      </w:r>
    </w:p>
    <w:p>
      <w:pPr>
        <w:spacing w:after="0" w:line="103" w:lineRule="exact"/>
        <w:rPr>
          <w:rFonts w:ascii="Times New Roman" w:cs="Times New Roman" w:eastAsia="Times New Roman" w:hAnsi="Times New Roman"/>
          <w:sz w:val="17"/>
          <w:szCs w:val="17"/>
          <w:color w:val="auto"/>
        </w:rPr>
      </w:pPr>
    </w:p>
    <w:p>
      <w:pPr>
        <w:ind w:left="1140" w:right="599" w:hanging="340"/>
        <w:spacing w:after="0" w:line="292" w:lineRule="auto"/>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material or special U.S. federal income tax considerations, if any, of holding or exercising the warrants;</w:t>
      </w:r>
    </w:p>
    <w:p>
      <w:pPr>
        <w:spacing w:after="0" w:line="30"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securities issuable upon exercise of the warrants; and</w:t>
      </w:r>
    </w:p>
    <w:p>
      <w:pPr>
        <w:spacing w:after="0" w:line="90"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warrants.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60" w:right="579" w:firstLine="346"/>
        <w:spacing w:after="0" w:line="292" w:lineRule="auto"/>
        <w:rPr>
          <w:sz w:val="20"/>
          <w:szCs w:val="20"/>
          <w:color w:val="auto"/>
        </w:rPr>
      </w:pPr>
      <w:r>
        <w:rPr>
          <w:rFonts w:ascii="Times New Roman" w:cs="Times New Roman" w:eastAsia="Times New Roman" w:hAnsi="Times New Roman"/>
          <w:sz w:val="17"/>
          <w:szCs w:val="17"/>
          <w:color w:val="auto"/>
        </w:rPr>
        <w:t>Before exercising their warrants, holders of warrants will not have any of the rights of holders of the securities purchasable upon such exercise, including:</w:t>
      </w:r>
    </w:p>
    <w:p>
      <w:pPr>
        <w:spacing w:after="0" w:line="44" w:lineRule="exact"/>
        <w:rPr>
          <w:sz w:val="20"/>
          <w:szCs w:val="20"/>
          <w:color w:val="auto"/>
        </w:rPr>
      </w:pPr>
    </w:p>
    <w:p>
      <w:pPr>
        <w:ind w:left="1140" w:right="479" w:hanging="340"/>
        <w:spacing w:after="0" w:line="273" w:lineRule="auto"/>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9" w:lineRule="exact"/>
        <w:rPr>
          <w:rFonts w:ascii="Times New Roman" w:cs="Times New Roman" w:eastAsia="Times New Roman" w:hAnsi="Times New Roman"/>
          <w:sz w:val="17"/>
          <w:szCs w:val="17"/>
          <w:color w:val="auto"/>
        </w:rPr>
      </w:pPr>
    </w:p>
    <w:p>
      <w:pPr>
        <w:ind w:left="1140" w:right="539" w:hanging="340"/>
        <w:spacing w:after="0" w:line="292" w:lineRule="auto"/>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right to receive dividends, if any, or payments upon our liquidation, dissolution or winding up or to exercise voting rights, if any.</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Exercise of Warrants</w:t>
      </w:r>
    </w:p>
    <w:p>
      <w:pPr>
        <w:spacing w:after="0" w:line="118" w:lineRule="exact"/>
        <w:rPr>
          <w:sz w:val="20"/>
          <w:szCs w:val="20"/>
          <w:color w:val="auto"/>
        </w:rPr>
      </w:pPr>
    </w:p>
    <w:p>
      <w:pPr>
        <w:ind w:left="460" w:right="639" w:firstLine="346"/>
        <w:spacing w:after="0" w:line="262" w:lineRule="auto"/>
        <w:rPr>
          <w:sz w:val="20"/>
          <w:szCs w:val="20"/>
          <w:color w:val="auto"/>
        </w:rPr>
      </w:pPr>
      <w:r>
        <w:rPr>
          <w:rFonts w:ascii="Times New Roman" w:cs="Times New Roman" w:eastAsia="Times New Roman" w:hAnsi="Times New Roman"/>
          <w:sz w:val="17"/>
          <w:szCs w:val="17"/>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69" w:lineRule="exact"/>
        <w:rPr>
          <w:sz w:val="20"/>
          <w:szCs w:val="20"/>
          <w:color w:val="auto"/>
        </w:rPr>
      </w:pPr>
    </w:p>
    <w:p>
      <w:pPr>
        <w:ind w:left="460" w:right="499" w:firstLine="346"/>
        <w:spacing w:after="0" w:line="264" w:lineRule="auto"/>
        <w:rPr>
          <w:sz w:val="20"/>
          <w:szCs w:val="20"/>
          <w:color w:val="auto"/>
        </w:rPr>
      </w:pPr>
      <w:r>
        <w:rPr>
          <w:rFonts w:ascii="Times New Roman" w:cs="Times New Roman" w:eastAsia="Times New Roman" w:hAnsi="Times New Roman"/>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8" w:lineRule="exact"/>
        <w:rPr>
          <w:sz w:val="20"/>
          <w:szCs w:val="20"/>
          <w:color w:val="auto"/>
        </w:rPr>
      </w:pPr>
    </w:p>
    <w:p>
      <w:pPr>
        <w:ind w:left="460" w:right="479" w:firstLine="346"/>
        <w:spacing w:after="0" w:line="29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any warrant agreements will be governed by and construed in accordance with the internal laws of the State of New York.</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Enforceability of Rights by Holders of Warrants</w:t>
      </w:r>
    </w:p>
    <w:p>
      <w:pPr>
        <w:spacing w:after="0" w:line="118" w:lineRule="exact"/>
        <w:rPr>
          <w:sz w:val="20"/>
          <w:szCs w:val="20"/>
          <w:color w:val="auto"/>
        </w:rPr>
      </w:pPr>
    </w:p>
    <w:p>
      <w:pPr>
        <w:ind w:left="460" w:right="579" w:firstLine="346"/>
        <w:spacing w:after="0" w:line="261" w:lineRule="auto"/>
        <w:rPr>
          <w:sz w:val="20"/>
          <w:szCs w:val="20"/>
          <w:color w:val="auto"/>
        </w:rPr>
      </w:pPr>
      <w:r>
        <w:rPr>
          <w:rFonts w:ascii="Times New Roman" w:cs="Times New Roman" w:eastAsia="Times New Roman" w:hAnsi="Times New Roman"/>
          <w:sz w:val="17"/>
          <w:szCs w:val="17"/>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OWNERSHIP OF SECURITIES</w:t>
      </w:r>
    </w:p>
    <w:p>
      <w:pPr>
        <w:spacing w:after="0" w:line="118" w:lineRule="exact"/>
        <w:rPr>
          <w:sz w:val="20"/>
          <w:szCs w:val="20"/>
          <w:color w:val="auto"/>
        </w:rPr>
      </w:pPr>
    </w:p>
    <w:p>
      <w:pPr>
        <w:ind w:left="460" w:right="519" w:firstLine="346"/>
        <w:spacing w:after="0" w:line="261" w:lineRule="auto"/>
        <w:rPr>
          <w:sz w:val="20"/>
          <w:szCs w:val="20"/>
          <w:color w:val="auto"/>
        </w:rPr>
      </w:pPr>
      <w:r>
        <w:rPr>
          <w:rFonts w:ascii="Times New Roman" w:cs="Times New Roman" w:eastAsia="Times New Roman" w:hAnsi="Times New Roman"/>
          <w:sz w:val="17"/>
          <w:szCs w:val="17"/>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Book-Entry Holders</w:t>
      </w:r>
    </w:p>
    <w:p>
      <w:pPr>
        <w:spacing w:after="0" w:line="118" w:lineRule="exact"/>
        <w:rPr>
          <w:sz w:val="20"/>
          <w:szCs w:val="20"/>
          <w:color w:val="auto"/>
        </w:rPr>
      </w:pPr>
    </w:p>
    <w:p>
      <w:pPr>
        <w:ind w:left="460" w:right="679" w:firstLine="346"/>
        <w:spacing w:after="0" w:line="264" w:lineRule="auto"/>
        <w:rPr>
          <w:sz w:val="20"/>
          <w:szCs w:val="20"/>
          <w:color w:val="auto"/>
        </w:rPr>
      </w:pPr>
      <w:r>
        <w:rPr>
          <w:rFonts w:ascii="Times New Roman" w:cs="Times New Roman" w:eastAsia="Times New Roman" w:hAnsi="Times New Roman"/>
          <w:sz w:val="17"/>
          <w:szCs w:val="17"/>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67" w:lineRule="exact"/>
        <w:rPr>
          <w:sz w:val="20"/>
          <w:szCs w:val="20"/>
          <w:color w:val="auto"/>
        </w:rPr>
      </w:pPr>
    </w:p>
    <w:p>
      <w:pPr>
        <w:ind w:left="460" w:right="499" w:firstLine="346"/>
        <w:spacing w:after="0" w:line="261" w:lineRule="auto"/>
        <w:rPr>
          <w:sz w:val="20"/>
          <w:szCs w:val="20"/>
          <w:color w:val="auto"/>
        </w:rPr>
      </w:pPr>
      <w:r>
        <w:rPr>
          <w:rFonts w:ascii="Times New Roman" w:cs="Times New Roman" w:eastAsia="Times New Roman" w:hAnsi="Times New Roman"/>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69" w:lineRule="exact"/>
        <w:rPr>
          <w:sz w:val="20"/>
          <w:szCs w:val="20"/>
          <w:color w:val="auto"/>
        </w:rPr>
      </w:pPr>
    </w:p>
    <w:p>
      <w:pPr>
        <w:ind w:left="460" w:right="539" w:firstLine="346"/>
        <w:spacing w:after="0" w:line="267" w:lineRule="auto"/>
        <w:rPr>
          <w:sz w:val="20"/>
          <w:szCs w:val="20"/>
          <w:color w:val="auto"/>
        </w:rPr>
      </w:pPr>
      <w:r>
        <w:rPr>
          <w:rFonts w:ascii="Times New Roman" w:cs="Times New Roman" w:eastAsia="Times New Roman" w:hAnsi="Times New Roman"/>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Street Name Holders</w:t>
      </w:r>
    </w:p>
    <w:p>
      <w:pPr>
        <w:spacing w:after="0" w:line="118" w:lineRule="exact"/>
        <w:rPr>
          <w:sz w:val="20"/>
          <w:szCs w:val="20"/>
          <w:color w:val="auto"/>
        </w:rPr>
      </w:pPr>
    </w:p>
    <w:p>
      <w:pPr>
        <w:ind w:left="460" w:right="479" w:firstLine="346"/>
        <w:spacing w:after="0" w:line="267" w:lineRule="auto"/>
        <w:rPr>
          <w:sz w:val="20"/>
          <w:szCs w:val="20"/>
          <w:color w:val="auto"/>
        </w:rPr>
      </w:pPr>
      <w:r>
        <w:rPr>
          <w:rFonts w:ascii="Times New Roman" w:cs="Times New Roman" w:eastAsia="Times New Roman" w:hAnsi="Times New Roman"/>
          <w:sz w:val="17"/>
          <w:szCs w:val="17"/>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65" w:lineRule="exact"/>
        <w:rPr>
          <w:sz w:val="20"/>
          <w:szCs w:val="20"/>
          <w:color w:val="auto"/>
        </w:rPr>
      </w:pPr>
    </w:p>
    <w:p>
      <w:pPr>
        <w:ind w:left="460" w:right="479" w:firstLine="346"/>
        <w:spacing w:after="0" w:line="262" w:lineRule="auto"/>
        <w:rPr>
          <w:sz w:val="20"/>
          <w:szCs w:val="20"/>
          <w:color w:val="auto"/>
        </w:rPr>
      </w:pPr>
      <w:r>
        <w:rPr>
          <w:rFonts w:ascii="Times New Roman" w:cs="Times New Roman" w:eastAsia="Times New Roman" w:hAnsi="Times New Roman"/>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Legal Holders</w:t>
      </w:r>
    </w:p>
    <w:p>
      <w:pPr>
        <w:spacing w:after="0" w:line="118" w:lineRule="exact"/>
        <w:rPr>
          <w:sz w:val="20"/>
          <w:szCs w:val="20"/>
          <w:color w:val="auto"/>
        </w:rPr>
      </w:pPr>
    </w:p>
    <w:p>
      <w:pPr>
        <w:ind w:left="460" w:right="479" w:firstLine="346"/>
        <w:spacing w:after="0" w:line="264" w:lineRule="auto"/>
        <w:rPr>
          <w:sz w:val="20"/>
          <w:szCs w:val="20"/>
          <w:color w:val="auto"/>
        </w:rPr>
      </w:pPr>
      <w:r>
        <w:rPr>
          <w:rFonts w:ascii="Times New Roman" w:cs="Times New Roman" w:eastAsia="Times New Roman" w:hAnsi="Times New Roman"/>
          <w:sz w:val="17"/>
          <w:szCs w:val="17"/>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67" w:lineRule="exact"/>
        <w:rPr>
          <w:sz w:val="20"/>
          <w:szCs w:val="20"/>
          <w:color w:val="auto"/>
        </w:rPr>
      </w:pPr>
    </w:p>
    <w:p>
      <w:pPr>
        <w:ind w:left="460" w:right="479" w:firstLine="346"/>
        <w:spacing w:after="0" w:line="261" w:lineRule="auto"/>
        <w:rPr>
          <w:sz w:val="20"/>
          <w:szCs w:val="20"/>
          <w:color w:val="auto"/>
        </w:rPr>
      </w:pPr>
      <w:r>
        <w:rPr>
          <w:rFonts w:ascii="Times New Roman" w:cs="Times New Roman" w:eastAsia="Times New Roman" w:hAnsi="Times New Roman"/>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Special Considerations for Indirect Holders</w:t>
      </w:r>
    </w:p>
    <w:p>
      <w:pPr>
        <w:spacing w:after="0" w:line="118" w:lineRule="exact"/>
        <w:rPr>
          <w:sz w:val="20"/>
          <w:szCs w:val="20"/>
          <w:color w:val="auto"/>
        </w:rPr>
      </w:pPr>
    </w:p>
    <w:p>
      <w:pPr>
        <w:ind w:left="460" w:right="539" w:firstLine="346"/>
        <w:spacing w:after="0" w:line="292" w:lineRule="auto"/>
        <w:rPr>
          <w:sz w:val="20"/>
          <w:szCs w:val="20"/>
          <w:color w:val="auto"/>
        </w:rPr>
      </w:pPr>
      <w:r>
        <w:rPr>
          <w:rFonts w:ascii="Times New Roman" w:cs="Times New Roman" w:eastAsia="Times New Roman" w:hAnsi="Times New Roman"/>
          <w:sz w:val="17"/>
          <w:szCs w:val="17"/>
          <w:color w:val="auto"/>
        </w:rPr>
        <w:t>If you hold securities through a bank, broker or other financial institution, either in book-entry form or in street name, you should check with your own institution to find out:</w:t>
      </w:r>
    </w:p>
    <w:p>
      <w:pPr>
        <w:spacing w:after="0" w:line="44" w:lineRule="exact"/>
        <w:rPr>
          <w:sz w:val="20"/>
          <w:szCs w:val="20"/>
          <w:color w:val="auto"/>
        </w:rPr>
      </w:pPr>
    </w:p>
    <w:p>
      <w:pPr>
        <w:ind w:left="1140" w:hanging="340"/>
        <w:spacing w:after="0"/>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third-party service providers;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handles securities payments and notices;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imposes fees or charges;</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handle a request for the holders’ consent, if ever required;</w:t>
      </w:r>
    </w:p>
    <w:p>
      <w:pPr>
        <w:spacing w:after="0" w:line="116" w:lineRule="exact"/>
        <w:rPr>
          <w:rFonts w:ascii="Times New Roman" w:cs="Times New Roman" w:eastAsia="Times New Roman" w:hAnsi="Times New Roman"/>
          <w:sz w:val="17"/>
          <w:szCs w:val="17"/>
          <w:color w:val="auto"/>
        </w:rPr>
      </w:pPr>
    </w:p>
    <w:p>
      <w:pPr>
        <w:ind w:left="1140" w:right="739" w:hanging="340"/>
        <w:spacing w:after="0" w:line="292" w:lineRule="auto"/>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how you can instruct it to send you securities registered in your own name so you can be a holder, if that is permitted in the future;</w:t>
      </w:r>
    </w:p>
    <w:p>
      <w:pPr>
        <w:spacing w:after="0" w:line="43" w:lineRule="exact"/>
        <w:rPr>
          <w:rFonts w:ascii="Times New Roman" w:cs="Times New Roman" w:eastAsia="Times New Roman" w:hAnsi="Times New Roman"/>
          <w:sz w:val="17"/>
          <w:szCs w:val="17"/>
          <w:color w:val="auto"/>
        </w:rPr>
      </w:pPr>
    </w:p>
    <w:p>
      <w:pPr>
        <w:ind w:left="1140" w:right="619" w:hanging="340"/>
        <w:spacing w:after="0" w:line="292" w:lineRule="auto"/>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exercise rights under the securities if there were a default or other event triggering the need for holders to act to protect their interests; and</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are in book-entry form, how the depositary’s rules and procedures will affect these matters.</w:t>
      </w: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18" w:lineRule="exact"/>
        <w:rPr>
          <w:sz w:val="20"/>
          <w:szCs w:val="20"/>
          <w:color w:val="auto"/>
        </w:rPr>
      </w:pPr>
    </w:p>
    <w:p>
      <w:pPr>
        <w:ind w:left="460" w:right="1059" w:firstLine="346"/>
        <w:spacing w:after="0" w:line="292" w:lineRule="auto"/>
        <w:rPr>
          <w:sz w:val="20"/>
          <w:szCs w:val="20"/>
          <w:color w:val="auto"/>
        </w:rPr>
      </w:pPr>
      <w:r>
        <w:rPr>
          <w:rFonts w:ascii="Times New Roman" w:cs="Times New Roman" w:eastAsia="Times New Roman" w:hAnsi="Times New Roman"/>
          <w:sz w:val="17"/>
          <w:szCs w:val="17"/>
          <w:color w:val="auto"/>
        </w:rPr>
        <w:t>A global security is a security that represents one or any other number of individual securities held by a depositary. Generally, all securities represented by the same global securities will have the same terms.</w:t>
      </w:r>
    </w:p>
    <w:p>
      <w:pPr>
        <w:spacing w:after="0" w:line="44" w:lineRule="exact"/>
        <w:rPr>
          <w:sz w:val="20"/>
          <w:szCs w:val="20"/>
          <w:color w:val="auto"/>
        </w:rPr>
      </w:pPr>
    </w:p>
    <w:p>
      <w:pPr>
        <w:ind w:left="460" w:right="479" w:firstLine="346"/>
        <w:spacing w:after="0" w:line="267" w:lineRule="auto"/>
        <w:rPr>
          <w:sz w:val="20"/>
          <w:szCs w:val="20"/>
          <w:color w:val="auto"/>
        </w:rPr>
      </w:pPr>
      <w:r>
        <w:rPr>
          <w:rFonts w:ascii="Times New Roman" w:cs="Times New Roman" w:eastAsia="Times New Roman" w:hAnsi="Times New Roman"/>
          <w:sz w:val="17"/>
          <w:szCs w:val="17"/>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65" w:lineRule="exact"/>
        <w:rPr>
          <w:sz w:val="20"/>
          <w:szCs w:val="20"/>
          <w:color w:val="auto"/>
        </w:rPr>
      </w:pPr>
    </w:p>
    <w:p>
      <w:pPr>
        <w:ind w:left="460" w:right="499" w:firstLine="346"/>
        <w:spacing w:after="0" w:line="259" w:lineRule="auto"/>
        <w:rPr>
          <w:sz w:val="20"/>
          <w:szCs w:val="20"/>
          <w:color w:val="auto"/>
        </w:rPr>
      </w:pPr>
      <w:r>
        <w:rPr>
          <w:rFonts w:ascii="Times New Roman" w:cs="Times New Roman" w:eastAsia="Times New Roman" w:hAnsi="Times New Roman"/>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74" w:lineRule="exact"/>
        <w:rPr>
          <w:sz w:val="20"/>
          <w:szCs w:val="20"/>
          <w:color w:val="auto"/>
        </w:rPr>
      </w:pPr>
    </w:p>
    <w:p>
      <w:pPr>
        <w:ind w:left="460" w:right="559" w:firstLine="346"/>
        <w:spacing w:after="0" w:line="267" w:lineRule="auto"/>
        <w:rPr>
          <w:sz w:val="20"/>
          <w:szCs w:val="20"/>
          <w:color w:val="auto"/>
        </w:rPr>
      </w:pPr>
      <w:r>
        <w:rPr>
          <w:rFonts w:ascii="Times New Roman" w:cs="Times New Roman" w:eastAsia="Times New Roman" w:hAnsi="Times New Roman"/>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Special Considerations for Global Securities</w:t>
      </w:r>
    </w:p>
    <w:p>
      <w:pPr>
        <w:spacing w:after="0" w:line="118" w:lineRule="exact"/>
        <w:rPr>
          <w:sz w:val="20"/>
          <w:szCs w:val="20"/>
          <w:color w:val="auto"/>
        </w:rPr>
      </w:pPr>
    </w:p>
    <w:p>
      <w:pPr>
        <w:ind w:left="460" w:right="719" w:firstLine="346"/>
        <w:spacing w:after="0" w:line="267" w:lineRule="auto"/>
        <w:rPr>
          <w:sz w:val="20"/>
          <w:szCs w:val="20"/>
          <w:color w:val="auto"/>
        </w:rPr>
      </w:pPr>
      <w:r>
        <w:rPr>
          <w:rFonts w:ascii="Times New Roman" w:cs="Times New Roman" w:eastAsia="Times New Roman" w:hAnsi="Times New Roman"/>
          <w:sz w:val="17"/>
          <w:szCs w:val="17"/>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If securities are issued only in the form of a global security, an investor should be aware of the following:</w:t>
      </w:r>
    </w:p>
    <w:p>
      <w:pPr>
        <w:spacing w:after="0" w:line="116" w:lineRule="exact"/>
        <w:rPr>
          <w:sz w:val="20"/>
          <w:szCs w:val="20"/>
          <w:color w:val="auto"/>
        </w:rPr>
      </w:pPr>
    </w:p>
    <w:p>
      <w:pPr>
        <w:ind w:left="1140" w:right="719" w:hanging="340"/>
        <w:spacing w:after="0" w:line="292" w:lineRule="auto"/>
        <w:tabs>
          <w:tab w:leader="none" w:pos="1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cannot cause the securities to be registered in his or her name, and cannot obtain non-global certificates for his or her interest in the securities, except in the special situations we describe below;</w:t>
      </w:r>
    </w:p>
    <w:p>
      <w:pPr>
        <w:spacing w:after="0" w:line="43" w:lineRule="exact"/>
        <w:rPr>
          <w:rFonts w:ascii="Times New Roman" w:cs="Times New Roman" w:eastAsia="Times New Roman" w:hAnsi="Times New Roman"/>
          <w:sz w:val="17"/>
          <w:szCs w:val="17"/>
          <w:color w:val="auto"/>
        </w:rPr>
      </w:pPr>
    </w:p>
    <w:p>
      <w:pPr>
        <w:ind w:left="1140" w:right="619" w:hanging="340"/>
        <w:spacing w:after="0" w:line="292" w:lineRule="auto"/>
        <w:tabs>
          <w:tab w:leader="none" w:pos="1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will be an indirect holder and must look to his or her own bank or broker for payments on the securities and protection of his or her legal rights relating to the securities, as we describe above;</w:t>
      </w:r>
    </w:p>
    <w:p>
      <w:pPr>
        <w:spacing w:after="0" w:line="43" w:lineRule="exact"/>
        <w:rPr>
          <w:rFonts w:ascii="Times New Roman" w:cs="Times New Roman" w:eastAsia="Times New Roman" w:hAnsi="Times New Roman"/>
          <w:sz w:val="17"/>
          <w:szCs w:val="17"/>
          <w:color w:val="auto"/>
        </w:rPr>
      </w:pPr>
    </w:p>
    <w:p>
      <w:pPr>
        <w:ind w:left="1140" w:right="819" w:hanging="340"/>
        <w:spacing w:after="0" w:line="292" w:lineRule="auto"/>
        <w:tabs>
          <w:tab w:leader="none" w:pos="1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sell interests in the securities to some insurance companies and to other institutions that are required by law to own their securities in non-book-entry form;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559" w:hanging="340"/>
        <w:spacing w:after="0" w:line="273" w:lineRule="auto"/>
        <w:tabs>
          <w:tab w:leader="none" w:pos="11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59" w:lineRule="exact"/>
        <w:rPr>
          <w:rFonts w:ascii="Times New Roman" w:cs="Times New Roman" w:eastAsia="Times New Roman" w:hAnsi="Times New Roman"/>
          <w:sz w:val="17"/>
          <w:szCs w:val="17"/>
          <w:color w:val="auto"/>
        </w:rPr>
      </w:pPr>
    </w:p>
    <w:p>
      <w:pPr>
        <w:ind w:left="1140" w:right="499" w:hanging="340"/>
        <w:spacing w:after="0" w:line="292" w:lineRule="auto"/>
        <w:tabs>
          <w:tab w:leader="none" w:pos="11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depositary’s policies, which may change from time to time, will govern payments, transfers, exchanges and other matters relating to an investor’s interest in a global security;</w:t>
      </w:r>
    </w:p>
    <w:p>
      <w:pPr>
        <w:spacing w:after="0" w:line="43" w:lineRule="exact"/>
        <w:rPr>
          <w:rFonts w:ascii="Times New Roman" w:cs="Times New Roman" w:eastAsia="Times New Roman" w:hAnsi="Times New Roman"/>
          <w:sz w:val="17"/>
          <w:szCs w:val="17"/>
          <w:color w:val="auto"/>
        </w:rPr>
      </w:pPr>
    </w:p>
    <w:p>
      <w:pPr>
        <w:ind w:left="1140" w:right="759" w:hanging="340"/>
        <w:spacing w:after="0" w:line="273" w:lineRule="auto"/>
        <w:tabs>
          <w:tab w:leader="none" w:pos="11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59" w:lineRule="exact"/>
        <w:rPr>
          <w:rFonts w:ascii="Times New Roman" w:cs="Times New Roman" w:eastAsia="Times New Roman" w:hAnsi="Times New Roman"/>
          <w:sz w:val="17"/>
          <w:szCs w:val="17"/>
          <w:color w:val="auto"/>
        </w:rPr>
      </w:pPr>
    </w:p>
    <w:p>
      <w:pPr>
        <w:ind w:left="1140" w:right="519" w:hanging="340"/>
        <w:spacing w:after="0" w:line="273" w:lineRule="auto"/>
        <w:tabs>
          <w:tab w:leader="none" w:pos="11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9" w:lineRule="exact"/>
        <w:rPr>
          <w:rFonts w:ascii="Times New Roman" w:cs="Times New Roman" w:eastAsia="Times New Roman" w:hAnsi="Times New Roman"/>
          <w:sz w:val="17"/>
          <w:szCs w:val="17"/>
          <w:color w:val="auto"/>
        </w:rPr>
      </w:pPr>
    </w:p>
    <w:p>
      <w:pPr>
        <w:ind w:left="1140" w:right="559" w:hanging="340"/>
        <w:spacing w:after="0" w:line="273" w:lineRule="auto"/>
        <w:tabs>
          <w:tab w:leader="none" w:pos="11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60" w:lineRule="exact"/>
        <w:rPr>
          <w:sz w:val="20"/>
          <w:szCs w:val="20"/>
          <w:color w:val="auto"/>
        </w:rPr>
      </w:pPr>
    </w:p>
    <w:p>
      <w:pPr>
        <w:ind w:left="460" w:right="1019" w:firstLine="346"/>
        <w:spacing w:after="0" w:line="292" w:lineRule="auto"/>
        <w:rPr>
          <w:sz w:val="20"/>
          <w:szCs w:val="20"/>
          <w:color w:val="auto"/>
        </w:rPr>
      </w:pPr>
      <w:r>
        <w:rPr>
          <w:rFonts w:ascii="Times New Roman" w:cs="Times New Roman" w:eastAsia="Times New Roman" w:hAnsi="Times New Roman"/>
          <w:sz w:val="17"/>
          <w:szCs w:val="17"/>
          <w:color w:val="auto"/>
        </w:rPr>
        <w:t>There may be more than one financial intermediary in the chain of ownership for an investor. We do not monitor and are not responsible for the actions of any of those intermediaries.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Special Situations When a Global Security Will Be Terminated</w:t>
      </w:r>
    </w:p>
    <w:p>
      <w:pPr>
        <w:spacing w:after="0" w:line="118" w:lineRule="exact"/>
        <w:rPr>
          <w:sz w:val="20"/>
          <w:szCs w:val="20"/>
          <w:color w:val="auto"/>
        </w:rPr>
      </w:pPr>
    </w:p>
    <w:p>
      <w:pPr>
        <w:ind w:left="460" w:right="479" w:firstLine="346"/>
        <w:spacing w:after="0" w:line="264" w:lineRule="auto"/>
        <w:rPr>
          <w:sz w:val="20"/>
          <w:szCs w:val="20"/>
          <w:color w:val="auto"/>
        </w:rPr>
      </w:pPr>
      <w:r>
        <w:rPr>
          <w:rFonts w:ascii="Times New Roman" w:cs="Times New Roman" w:eastAsia="Times New Roman" w:hAnsi="Times New Roman"/>
          <w:sz w:val="17"/>
          <w:szCs w:val="17"/>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67" w:lineRule="exact"/>
        <w:rPr>
          <w:sz w:val="20"/>
          <w:szCs w:val="20"/>
          <w:color w:val="auto"/>
        </w:rPr>
      </w:pPr>
    </w:p>
    <w:p>
      <w:pPr>
        <w:ind w:left="460" w:right="619" w:firstLine="346"/>
        <w:spacing w:after="0" w:line="29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global security will terminate when the following special situations occur:</w:t>
      </w:r>
    </w:p>
    <w:p>
      <w:pPr>
        <w:spacing w:after="0" w:line="44" w:lineRule="exact"/>
        <w:rPr>
          <w:sz w:val="20"/>
          <w:szCs w:val="20"/>
          <w:color w:val="auto"/>
        </w:rPr>
      </w:pPr>
    </w:p>
    <w:p>
      <w:pPr>
        <w:ind w:left="1140" w:right="579" w:hanging="340"/>
        <w:spacing w:after="0" w:line="292"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notify any applicable trustee that we wish to terminate that global security; or</w:t>
      </w:r>
    </w:p>
    <w:p>
      <w:pPr>
        <w:spacing w:after="0" w:line="116" w:lineRule="exact"/>
        <w:rPr>
          <w:rFonts w:ascii="Times New Roman" w:cs="Times New Roman" w:eastAsia="Times New Roman" w:hAnsi="Times New Roman"/>
          <w:sz w:val="17"/>
          <w:szCs w:val="17"/>
          <w:color w:val="auto"/>
        </w:rPr>
      </w:pPr>
    </w:p>
    <w:p>
      <w:pPr>
        <w:ind w:left="1140" w:right="559" w:hanging="340"/>
        <w:spacing w:after="0" w:line="292"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with regard to securities represented by that global security and has not been cured or waived.</w:t>
      </w:r>
    </w:p>
    <w:p>
      <w:pPr>
        <w:spacing w:after="0" w:line="44" w:lineRule="exact"/>
        <w:rPr>
          <w:sz w:val="20"/>
          <w:szCs w:val="20"/>
          <w:color w:val="auto"/>
        </w:rPr>
      </w:pPr>
    </w:p>
    <w:p>
      <w:pPr>
        <w:ind w:left="460" w:right="479" w:firstLine="346"/>
        <w:spacing w:after="0" w:line="267" w:lineRule="auto"/>
        <w:rPr>
          <w:sz w:val="20"/>
          <w:szCs w:val="20"/>
          <w:color w:val="auto"/>
        </w:rPr>
      </w:pPr>
      <w:r>
        <w:rPr>
          <w:rFonts w:ascii="Times New Roman" w:cs="Times New Roman" w:eastAsia="Times New Roman" w:hAnsi="Times New Roman"/>
          <w:sz w:val="17"/>
          <w:szCs w:val="17"/>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18" w:lineRule="exact"/>
        <w:rPr>
          <w:sz w:val="20"/>
          <w:szCs w:val="20"/>
          <w:color w:val="auto"/>
        </w:rPr>
      </w:pPr>
    </w:p>
    <w:p>
      <w:pPr>
        <w:ind w:left="460" w:right="519" w:firstLine="346"/>
        <w:spacing w:after="0" w:line="263" w:lineRule="auto"/>
        <w:rPr>
          <w:sz w:val="20"/>
          <w:szCs w:val="20"/>
          <w:color w:val="auto"/>
        </w:rPr>
      </w:pPr>
      <w:r>
        <w:rPr>
          <w:rFonts w:ascii="Times New Roman" w:cs="Times New Roman" w:eastAsia="Times New Roman" w:hAnsi="Times New Roman"/>
          <w:sz w:val="17"/>
          <w:szCs w:val="17"/>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8" w:lineRule="exact"/>
        <w:rPr>
          <w:sz w:val="20"/>
          <w:szCs w:val="20"/>
          <w:color w:val="auto"/>
        </w:rPr>
      </w:pPr>
    </w:p>
    <w:p>
      <w:pPr>
        <w:ind w:left="460" w:right="539" w:firstLine="346"/>
        <w:spacing w:after="0" w:line="260" w:lineRule="auto"/>
        <w:rPr>
          <w:sz w:val="20"/>
          <w:szCs w:val="20"/>
          <w:color w:val="auto"/>
        </w:rPr>
      </w:pPr>
      <w:r>
        <w:rPr>
          <w:rFonts w:ascii="Times New Roman" w:cs="Times New Roman" w:eastAsia="Times New Roman" w:hAnsi="Times New Roman"/>
          <w:sz w:val="17"/>
          <w:szCs w:val="17"/>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We will set forth in the applicable prospectus supplement our intended use for the net proceeds received from the sale of any securities. Pending the use of the net proceeds, we intend to invest the net proceeds in short-term, investment-grade, interest-bearing securities.</w:t>
      </w:r>
    </w:p>
    <w:p>
      <w:pPr>
        <w:spacing w:after="0" w:line="283" w:lineRule="exact"/>
        <w:rPr>
          <w:sz w:val="20"/>
          <w:szCs w:val="20"/>
          <w:color w:val="auto"/>
        </w:rPr>
      </w:pPr>
    </w:p>
    <w:p>
      <w:pPr>
        <w:ind w:left="460" w:right="579" w:firstLine="346"/>
        <w:spacing w:after="0" w:line="292" w:lineRule="auto"/>
        <w:rPr>
          <w:sz w:val="20"/>
          <w:szCs w:val="20"/>
          <w:color w:val="auto"/>
        </w:rPr>
      </w:pPr>
      <w:r>
        <w:rPr>
          <w:rFonts w:ascii="Times New Roman" w:cs="Times New Roman" w:eastAsia="Times New Roman" w:hAnsi="Times New Roman"/>
          <w:sz w:val="17"/>
          <w:szCs w:val="17"/>
          <w:color w:val="auto"/>
        </w:rPr>
        <w:t>Unless the applicable prospectus supplement provides otherwise, we will not receive any of the proceeds from the sale of our securities by selling securityholders.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8" w:lineRule="exact"/>
        <w:rPr>
          <w:sz w:val="20"/>
          <w:szCs w:val="20"/>
          <w:color w:val="auto"/>
        </w:rPr>
      </w:pPr>
    </w:p>
    <w:p>
      <w:pPr>
        <w:ind w:left="460" w:right="579" w:firstLine="346"/>
        <w:spacing w:after="0" w:line="264" w:lineRule="auto"/>
        <w:rPr>
          <w:sz w:val="20"/>
          <w:szCs w:val="20"/>
          <w:color w:val="auto"/>
        </w:rPr>
      </w:pPr>
      <w:r>
        <w:rPr>
          <w:rFonts w:ascii="Times New Roman" w:cs="Times New Roman" w:eastAsia="Times New Roman" w:hAnsi="Times New Roman"/>
          <w:sz w:val="17"/>
          <w:szCs w:val="17"/>
          <w:color w:val="auto"/>
        </w:rPr>
        <w:t>We or selling securityholders may sell the securities from time to time pursuant to underwritten public offerings,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67" w:lineRule="exact"/>
        <w:rPr>
          <w:sz w:val="20"/>
          <w:szCs w:val="20"/>
          <w:color w:val="auto"/>
        </w:rPr>
      </w:pPr>
    </w:p>
    <w:p>
      <w:pPr>
        <w:ind w:left="1140" w:hanging="340"/>
        <w:spacing w:after="0"/>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16" w:lineRule="exact"/>
        <w:rPr>
          <w:sz w:val="20"/>
          <w:szCs w:val="20"/>
          <w:color w:val="auto"/>
        </w:rPr>
      </w:pPr>
    </w:p>
    <w:p>
      <w:pPr>
        <w:ind w:left="460" w:right="619" w:firstLine="346"/>
        <w:spacing w:after="0" w:line="292" w:lineRule="auto"/>
        <w:rPr>
          <w:sz w:val="20"/>
          <w:szCs w:val="20"/>
          <w:color w:val="auto"/>
        </w:rPr>
      </w:pPr>
      <w:r>
        <w:rPr>
          <w:rFonts w:ascii="Times New Roman" w:cs="Times New Roman" w:eastAsia="Times New Roman" w:hAnsi="Times New Roman"/>
          <w:sz w:val="17"/>
          <w:szCs w:val="17"/>
          <w:color w:val="auto"/>
        </w:rPr>
        <w:t>A prospectus supplement or supplements (and any related free writing prospectus that we may authorize to be provided to you) will describe the terms of the offering of the securities, including, to the extent applicable:</w:t>
      </w:r>
    </w:p>
    <w:p>
      <w:pPr>
        <w:spacing w:after="0" w:line="44" w:lineRule="exact"/>
        <w:rPr>
          <w:sz w:val="20"/>
          <w:szCs w:val="20"/>
          <w:color w:val="auto"/>
        </w:rPr>
      </w:pPr>
    </w:p>
    <w:p>
      <w:pPr>
        <w:ind w:left="1140" w:hanging="340"/>
        <w:spacing w:after="0"/>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the underwriters, dealers or agents, if any;</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the selling securityholders, if any;</w:t>
      </w:r>
    </w:p>
    <w:p>
      <w:pPr>
        <w:spacing w:after="0" w:line="116" w:lineRule="exact"/>
        <w:rPr>
          <w:rFonts w:ascii="Times New Roman" w:cs="Times New Roman" w:eastAsia="Times New Roman" w:hAnsi="Times New Roman"/>
          <w:sz w:val="17"/>
          <w:szCs w:val="17"/>
          <w:color w:val="auto"/>
        </w:rPr>
      </w:pPr>
    </w:p>
    <w:p>
      <w:pPr>
        <w:ind w:left="1140" w:right="479" w:hanging="340"/>
        <w:spacing w:after="0" w:line="292" w:lineRule="auto"/>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of the securities or other consideration therefor, and the proceeds, if any, we will receive from the sale;</w:t>
      </w:r>
    </w:p>
    <w:p>
      <w:pPr>
        <w:spacing w:after="0" w:line="43" w:lineRule="exact"/>
        <w:rPr>
          <w:rFonts w:ascii="Times New Roman" w:cs="Times New Roman" w:eastAsia="Times New Roman" w:hAnsi="Times New Roman"/>
          <w:sz w:val="17"/>
          <w:szCs w:val="17"/>
          <w:color w:val="auto"/>
        </w:rPr>
      </w:pPr>
    </w:p>
    <w:p>
      <w:pPr>
        <w:ind w:left="1140" w:right="599" w:hanging="340"/>
        <w:spacing w:after="0" w:line="292" w:lineRule="auto"/>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over-allotment or other options under which underwriters may purchase additional securities from us or any selling securityholders;</w:t>
      </w:r>
    </w:p>
    <w:p>
      <w:pPr>
        <w:spacing w:after="0" w:line="43" w:lineRule="exact"/>
        <w:rPr>
          <w:rFonts w:ascii="Times New Roman" w:cs="Times New Roman" w:eastAsia="Times New Roman" w:hAnsi="Times New Roman"/>
          <w:sz w:val="17"/>
          <w:szCs w:val="17"/>
          <w:color w:val="auto"/>
        </w:rPr>
      </w:pPr>
    </w:p>
    <w:p>
      <w:pPr>
        <w:ind w:left="1140" w:right="1279" w:hanging="340"/>
        <w:spacing w:after="0" w:line="292" w:lineRule="auto"/>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agency fees or underwriting discounts and other items constituting agents’ or underwriters’ compensation;</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public offering price;</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paid to dealers; and</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 or market on which the securities may be listed.</w:t>
      </w:r>
    </w:p>
    <w:p>
      <w:pPr>
        <w:spacing w:after="0" w:line="116" w:lineRule="exact"/>
        <w:rPr>
          <w:sz w:val="20"/>
          <w:szCs w:val="20"/>
          <w:color w:val="auto"/>
        </w:rPr>
      </w:pPr>
    </w:p>
    <w:p>
      <w:pPr>
        <w:ind w:left="460" w:right="459" w:firstLine="346"/>
        <w:spacing w:after="0" w:line="264" w:lineRule="auto"/>
        <w:rPr>
          <w:sz w:val="20"/>
          <w:szCs w:val="20"/>
          <w:color w:val="auto"/>
        </w:rPr>
      </w:pPr>
      <w:r>
        <w:rPr>
          <w:rFonts w:ascii="Times New Roman" w:cs="Times New Roman" w:eastAsia="Times New Roman" w:hAnsi="Times New Roman"/>
          <w:sz w:val="17"/>
          <w:szCs w:val="17"/>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67" w:lineRule="exact"/>
        <w:rPr>
          <w:sz w:val="20"/>
          <w:szCs w:val="20"/>
          <w:color w:val="auto"/>
        </w:rPr>
      </w:pPr>
    </w:p>
    <w:p>
      <w:pPr>
        <w:ind w:left="460" w:right="479" w:firstLine="346"/>
        <w:spacing w:after="0" w:line="273" w:lineRule="auto"/>
        <w:rPr>
          <w:sz w:val="20"/>
          <w:szCs w:val="20"/>
          <w:color w:val="auto"/>
        </w:rPr>
      </w:pPr>
      <w:r>
        <w:rPr>
          <w:rFonts w:ascii="Times New Roman" w:cs="Times New Roman" w:eastAsia="Times New Roman" w:hAnsi="Times New Roman"/>
          <w:sz w:val="17"/>
          <w:szCs w:val="17"/>
          <w:color w:val="auto"/>
        </w:rPr>
        <w:t>Unless stated otherwise in the prospectus supplement, the securities offered by a prospectus supplement have not been qualified for distribution by prospectus under the securities laws of any province or territory of Canada, and may only be sold in Canada pursuant to an exemption from the prospectus requirements of Canadian securities laws.</w:t>
      </w:r>
    </w:p>
    <w:p>
      <w:pPr>
        <w:spacing w:after="0" w:line="60" w:lineRule="exact"/>
        <w:rPr>
          <w:sz w:val="20"/>
          <w:szCs w:val="20"/>
          <w:color w:val="auto"/>
        </w:rPr>
      </w:pPr>
    </w:p>
    <w:p>
      <w:pPr>
        <w:ind w:left="460" w:right="479" w:firstLine="346"/>
        <w:spacing w:after="0" w:line="258" w:lineRule="auto"/>
        <w:rPr>
          <w:sz w:val="20"/>
          <w:szCs w:val="20"/>
          <w:color w:val="auto"/>
        </w:rPr>
      </w:pPr>
      <w:r>
        <w:rPr>
          <w:rFonts w:ascii="Times New Roman" w:cs="Times New Roman" w:eastAsia="Times New Roman" w:hAnsi="Times New Roman"/>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a selling stockholder,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74" w:lineRule="exact"/>
        <w:rPr>
          <w:sz w:val="20"/>
          <w:szCs w:val="20"/>
          <w:color w:val="auto"/>
        </w:rPr>
      </w:pPr>
    </w:p>
    <w:p>
      <w:pPr>
        <w:ind w:left="460" w:right="659" w:firstLine="346"/>
        <w:spacing w:after="0" w:line="273" w:lineRule="auto"/>
        <w:rPr>
          <w:sz w:val="20"/>
          <w:szCs w:val="20"/>
          <w:color w:val="auto"/>
        </w:rPr>
      </w:pPr>
      <w:r>
        <w:rPr>
          <w:rFonts w:ascii="Times New Roman" w:cs="Times New Roman" w:eastAsia="Times New Roman" w:hAnsi="Times New Roman"/>
          <w:sz w:val="17"/>
          <w:szCs w:val="17"/>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60" w:right="539" w:firstLine="346"/>
        <w:spacing w:after="0" w:line="267" w:lineRule="auto"/>
        <w:rPr>
          <w:sz w:val="20"/>
          <w:szCs w:val="20"/>
          <w:color w:val="auto"/>
        </w:rPr>
      </w:pPr>
      <w:r>
        <w:rPr>
          <w:rFonts w:ascii="Times New Roman" w:cs="Times New Roman" w:eastAsia="Times New Roman" w:hAnsi="Times New Roman"/>
          <w:sz w:val="17"/>
          <w:szCs w:val="17"/>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65" w:lineRule="exact"/>
        <w:rPr>
          <w:sz w:val="20"/>
          <w:szCs w:val="20"/>
          <w:color w:val="auto"/>
        </w:rPr>
      </w:pPr>
    </w:p>
    <w:p>
      <w:pPr>
        <w:ind w:left="460" w:right="599" w:firstLine="346"/>
        <w:spacing w:after="0" w:line="267" w:lineRule="auto"/>
        <w:rPr>
          <w:sz w:val="20"/>
          <w:szCs w:val="20"/>
          <w:color w:val="auto"/>
        </w:rPr>
      </w:pPr>
      <w:r>
        <w:rPr>
          <w:rFonts w:ascii="Times New Roman" w:cs="Times New Roman" w:eastAsia="Times New Roman" w:hAnsi="Times New Roman"/>
          <w:sz w:val="17"/>
          <w:szCs w:val="17"/>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65" w:lineRule="exact"/>
        <w:rPr>
          <w:sz w:val="20"/>
          <w:szCs w:val="20"/>
          <w:color w:val="auto"/>
        </w:rPr>
      </w:pPr>
    </w:p>
    <w:p>
      <w:pPr>
        <w:jc w:val="both"/>
        <w:ind w:left="460" w:right="839" w:firstLine="346"/>
        <w:spacing w:after="0" w:line="273" w:lineRule="auto"/>
        <w:rPr>
          <w:sz w:val="20"/>
          <w:szCs w:val="20"/>
          <w:color w:val="auto"/>
        </w:rPr>
      </w:pPr>
      <w:r>
        <w:rPr>
          <w:rFonts w:ascii="Times New Roman" w:cs="Times New Roman" w:eastAsia="Times New Roman" w:hAnsi="Times New Roman"/>
          <w:sz w:val="17"/>
          <w:szCs w:val="17"/>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60" w:lineRule="exact"/>
        <w:rPr>
          <w:sz w:val="20"/>
          <w:szCs w:val="20"/>
          <w:color w:val="auto"/>
        </w:rPr>
      </w:pPr>
    </w:p>
    <w:p>
      <w:pPr>
        <w:ind w:left="460" w:right="559" w:firstLine="346"/>
        <w:spacing w:after="0" w:line="267" w:lineRule="auto"/>
        <w:rPr>
          <w:sz w:val="20"/>
          <w:szCs w:val="20"/>
          <w:color w:val="auto"/>
        </w:rPr>
      </w:pPr>
      <w:r>
        <w:rPr>
          <w:rFonts w:ascii="Times New Roman" w:cs="Times New Roman" w:eastAsia="Times New Roman" w:hAnsi="Times New Roman"/>
          <w:sz w:val="17"/>
          <w:szCs w:val="17"/>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65" w:lineRule="exact"/>
        <w:rPr>
          <w:sz w:val="20"/>
          <w:szCs w:val="20"/>
          <w:color w:val="auto"/>
        </w:rPr>
      </w:pPr>
    </w:p>
    <w:p>
      <w:pPr>
        <w:ind w:left="460" w:right="479" w:firstLine="346"/>
        <w:spacing w:after="0" w:line="259" w:lineRule="auto"/>
        <w:rPr>
          <w:sz w:val="20"/>
          <w:szCs w:val="20"/>
          <w:color w:val="auto"/>
        </w:rPr>
      </w:pPr>
      <w:r>
        <w:rPr>
          <w:rFonts w:ascii="Times New Roman" w:cs="Times New Roman" w:eastAsia="Times New Roman" w:hAnsi="Times New Roman"/>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74" w:lineRule="exact"/>
        <w:rPr>
          <w:sz w:val="20"/>
          <w:szCs w:val="20"/>
          <w:color w:val="auto"/>
        </w:rPr>
      </w:pPr>
    </w:p>
    <w:p>
      <w:pPr>
        <w:ind w:left="460" w:right="499" w:firstLine="346"/>
        <w:spacing w:after="0" w:line="259" w:lineRule="auto"/>
        <w:rPr>
          <w:sz w:val="20"/>
          <w:szCs w:val="20"/>
          <w:color w:val="auto"/>
        </w:rPr>
      </w:pPr>
      <w:r>
        <w:rPr>
          <w:rFonts w:ascii="Times New Roman" w:cs="Times New Roman" w:eastAsia="Times New Roman" w:hAnsi="Times New Roman"/>
          <w:sz w:val="17"/>
          <w:szCs w:val="17"/>
          <w:color w:val="auto"/>
        </w:rPr>
        <w:t>Any underwriters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134620</wp:posOffset>
            </wp:positionV>
            <wp:extent cx="672528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8" w:lineRule="exact"/>
        <w:rPr>
          <w:sz w:val="20"/>
          <w:szCs w:val="20"/>
          <w:color w:val="auto"/>
        </w:rPr>
      </w:pPr>
    </w:p>
    <w:p>
      <w:pPr>
        <w:ind w:left="460" w:right="479" w:firstLine="346"/>
        <w:spacing w:after="0" w:line="267"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the securities offered by this prospectus, and any supplement thereto, will be passed upon for us by DLA Piper LLP (US), New York, New York. Any underwriters, dealers or agents will also be advised about the validity of the securities and other legal matters by their own counsel, which will be named in the applicable prospectus supplement.</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8" w:lineRule="exact"/>
        <w:rPr>
          <w:sz w:val="20"/>
          <w:szCs w:val="20"/>
          <w:color w:val="auto"/>
        </w:rPr>
      </w:pPr>
    </w:p>
    <w:p>
      <w:pPr>
        <w:ind w:left="460" w:right="519" w:firstLine="346"/>
        <w:spacing w:after="0" w:line="259"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Report on Internal Control over Financial Reporting) incorporated by reference in this prospectus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8" w:lineRule="exact"/>
        <w:rPr>
          <w:sz w:val="20"/>
          <w:szCs w:val="20"/>
          <w:color w:val="auto"/>
        </w:rPr>
      </w:pPr>
    </w:p>
    <w:p>
      <w:pPr>
        <w:ind w:left="460" w:right="479" w:firstLine="346"/>
        <w:spacing w:after="0" w:line="262"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69" w:lineRule="exact"/>
        <w:rPr>
          <w:sz w:val="20"/>
          <w:szCs w:val="20"/>
          <w:color w:val="auto"/>
        </w:rPr>
      </w:pPr>
    </w:p>
    <w:p>
      <w:pPr>
        <w:ind w:left="460" w:right="519" w:firstLine="346"/>
        <w:spacing w:after="0" w:line="261" w:lineRule="auto"/>
        <w:rPr>
          <w:sz w:val="20"/>
          <w:szCs w:val="20"/>
          <w:color w:val="auto"/>
        </w:rPr>
      </w:pPr>
      <w:r>
        <w:rPr>
          <w:rFonts w:ascii="Times New Roman" w:cs="Times New Roman" w:eastAsia="Times New Roman" w:hAnsi="Times New Roman"/>
          <w:sz w:val="17"/>
          <w:szCs w:val="17"/>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126365</wp:posOffset>
            </wp:positionV>
            <wp:extent cx="672528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72528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8" w:lineRule="exact"/>
        <w:rPr>
          <w:sz w:val="20"/>
          <w:szCs w:val="20"/>
          <w:color w:val="auto"/>
        </w:rPr>
      </w:pPr>
    </w:p>
    <w:p>
      <w:pPr>
        <w:ind w:left="460" w:right="479" w:firstLine="346"/>
        <w:spacing w:after="0" w:line="263"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prospectus certain information. This means that we can disclose important information to you by referring you to those documents that contain the information. The information we incorporate by reference is considered a part of this prospectus.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279" w:lineRule="exact"/>
        <w:rPr>
          <w:sz w:val="20"/>
          <w:szCs w:val="20"/>
          <w:color w:val="auto"/>
        </w:rPr>
      </w:pPr>
    </w:p>
    <w:p>
      <w:pPr>
        <w:ind w:left="1140" w:right="659" w:hanging="340"/>
        <w:spacing w:after="0" w:line="292" w:lineRule="auto"/>
        <w:tabs>
          <w:tab w:leader="none" w:pos="1140" w:val="left"/>
        </w:tabs>
        <w:numPr>
          <w:ilvl w:val="0"/>
          <w:numId w:val="37"/>
        </w:numPr>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auto"/>
          </w:rPr>
          <w:t xml:space="preserve">our Annual Report on Form 10-K for the fiscal year ended May 31, 2025, filed with the SEC on </w:t>
        </w:r>
        <w:r>
          <w:rPr>
            <w:rFonts w:ascii="Times New Roman" w:cs="Times New Roman" w:eastAsia="Times New Roman" w:hAnsi="Times New Roman"/>
            <w:sz w:val="17"/>
            <w:szCs w:val="17"/>
            <w:u w:val="single" w:color="auto"/>
            <w:color w:val="0000EE"/>
          </w:rPr>
          <w:t>July 29,</w:t>
        </w:r>
      </w:hyperlink>
      <w:r>
        <w:rPr>
          <w:rFonts w:ascii="Times New Roman" w:cs="Times New Roman" w:eastAsia="Times New Roman" w:hAnsi="Times New Roman"/>
          <w:sz w:val="17"/>
          <w:szCs w:val="17"/>
          <w:color w:val="auto"/>
        </w:rPr>
        <w:t xml:space="preserve"> </w:t>
      </w:r>
      <w:hyperlink r:id="rId24">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3" w:lineRule="exact"/>
        <w:rPr>
          <w:rFonts w:ascii="Times New Roman" w:cs="Times New Roman" w:eastAsia="Times New Roman" w:hAnsi="Times New Roman"/>
          <w:sz w:val="17"/>
          <w:szCs w:val="17"/>
          <w:color w:val="0000EE"/>
        </w:rPr>
      </w:pPr>
    </w:p>
    <w:p>
      <w:pPr>
        <w:jc w:val="both"/>
        <w:ind w:left="1140" w:right="1059" w:hanging="340"/>
        <w:spacing w:after="0" w:line="292" w:lineRule="auto"/>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25">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Form 10-Q for the quarter ended August 31, 2025, filed on </w:t>
      </w:r>
      <w:hyperlink r:id="rId26">
        <w:r>
          <w:rPr>
            <w:rFonts w:ascii="Times New Roman" w:cs="Times New Roman" w:eastAsia="Times New Roman" w:hAnsi="Times New Roman"/>
            <w:sz w:val="17"/>
            <w:szCs w:val="17"/>
            <w:u w:val="single" w:color="auto"/>
            <w:color w:val="0000EE"/>
          </w:rPr>
          <w:t>October 9, 2025</w:t>
        </w:r>
      </w:hyperlink>
      <w:r>
        <w:rPr>
          <w:rFonts w:ascii="Times New Roman" w:cs="Times New Roman" w:eastAsia="Times New Roman" w:hAnsi="Times New Roman"/>
          <w:sz w:val="17"/>
          <w:szCs w:val="17"/>
          <w:color w:val="auto"/>
        </w:rPr>
        <w:t>;</w:t>
      </w:r>
    </w:p>
    <w:p>
      <w:pPr>
        <w:spacing w:after="0" w:line="116" w:lineRule="exact"/>
        <w:rPr>
          <w:rFonts w:ascii="Times New Roman" w:cs="Times New Roman" w:eastAsia="Times New Roman" w:hAnsi="Times New Roman"/>
          <w:sz w:val="17"/>
          <w:szCs w:val="17"/>
          <w:color w:val="auto"/>
        </w:rPr>
      </w:pPr>
    </w:p>
    <w:p>
      <w:pPr>
        <w:ind w:left="1140" w:hanging="340"/>
        <w:spacing w:after="0"/>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filed on </w:t>
      </w:r>
      <w:hyperlink r:id="rId75">
        <w:r>
          <w:rPr>
            <w:rFonts w:ascii="Times New Roman" w:cs="Times New Roman" w:eastAsia="Times New Roman" w:hAnsi="Times New Roman"/>
            <w:sz w:val="17"/>
            <w:szCs w:val="17"/>
            <w:u w:val="single" w:color="auto"/>
            <w:color w:val="0000EE"/>
          </w:rPr>
          <w:t>June 23,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76">
        <w:r>
          <w:rPr>
            <w:rFonts w:ascii="Times New Roman" w:cs="Times New Roman" w:eastAsia="Times New Roman" w:hAnsi="Times New Roman"/>
            <w:sz w:val="17"/>
            <w:szCs w:val="17"/>
            <w:u w:val="single" w:color="auto"/>
            <w:color w:val="0000EE"/>
          </w:rPr>
          <w:t>June 10, 2025</w:t>
        </w:r>
      </w:hyperlink>
      <w:r>
        <w:rPr>
          <w:rFonts w:ascii="Times New Roman" w:cs="Times New Roman" w:eastAsia="Times New Roman" w:hAnsi="Times New Roman"/>
          <w:sz w:val="17"/>
          <w:szCs w:val="17"/>
          <w:color w:val="auto"/>
        </w:rPr>
        <w:t>; and</w:t>
      </w:r>
    </w:p>
    <w:p>
      <w:pPr>
        <w:spacing w:after="0" w:line="116" w:lineRule="exact"/>
        <w:rPr>
          <w:rFonts w:ascii="Times New Roman" w:cs="Times New Roman" w:eastAsia="Times New Roman" w:hAnsi="Times New Roman"/>
          <w:sz w:val="17"/>
          <w:szCs w:val="17"/>
          <w:color w:val="auto"/>
        </w:rPr>
      </w:pPr>
    </w:p>
    <w:p>
      <w:pPr>
        <w:ind w:left="1140" w:right="599" w:hanging="340"/>
        <w:spacing w:after="0" w:line="266" w:lineRule="auto"/>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as set forth in our registration statement on Form 8-A/A (File No. 001-38594), filed with the SEC on </w:t>
      </w:r>
      <w:hyperlink r:id="rId37">
        <w:r>
          <w:rPr>
            <w:rFonts w:ascii="Times New Roman" w:cs="Times New Roman" w:eastAsia="Times New Roman" w:hAnsi="Times New Roman"/>
            <w:sz w:val="17"/>
            <w:szCs w:val="17"/>
            <w:u w:val="single" w:color="auto"/>
            <w:color w:val="0000EE"/>
          </w:rPr>
          <w:t>October 1, 2020</w:t>
        </w:r>
      </w:hyperlink>
      <w:r>
        <w:rPr>
          <w:rFonts w:ascii="Times New Roman" w:cs="Times New Roman" w:eastAsia="Times New Roman" w:hAnsi="Times New Roman"/>
          <w:sz w:val="17"/>
          <w:szCs w:val="17"/>
          <w:color w:val="auto"/>
        </w:rPr>
        <w:t xml:space="preserve">, pursuant to Section 12(b) of the Exchange Act, including the description contained in </w:t>
      </w:r>
      <w:hyperlink r:id="rId38">
        <w:r>
          <w:rPr>
            <w:rFonts w:ascii="Times New Roman" w:cs="Times New Roman" w:eastAsia="Times New Roman" w:hAnsi="Times New Roman"/>
            <w:sz w:val="17"/>
            <w:szCs w:val="17"/>
            <w:u w:val="single" w:color="auto"/>
            <w:color w:val="0000EE"/>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May 31, 2025, and any subsequent amendments or reports filed for the purpose of updating such description.</w:t>
      </w:r>
    </w:p>
    <w:p>
      <w:pPr>
        <w:spacing w:after="0" w:line="276" w:lineRule="exact"/>
        <w:rPr>
          <w:rFonts w:ascii="Times New Roman" w:cs="Times New Roman" w:eastAsia="Times New Roman" w:hAnsi="Times New Roman"/>
          <w:sz w:val="17"/>
          <w:szCs w:val="17"/>
          <w:color w:val="auto"/>
        </w:rPr>
      </w:pPr>
    </w:p>
    <w:p>
      <w:pPr>
        <w:ind w:left="460" w:right="619" w:firstLine="346"/>
        <w:spacing w:after="0" w:line="264" w:lineRule="auto"/>
        <w:rPr>
          <w:sz w:val="20"/>
          <w:szCs w:val="20"/>
          <w:color w:val="auto"/>
        </w:rPr>
      </w:pPr>
      <w:r>
        <w:rPr>
          <w:rFonts w:ascii="Times New Roman" w:cs="Times New Roman" w:eastAsia="Times New Roman" w:hAnsi="Times New Roman"/>
          <w:sz w:val="17"/>
          <w:szCs w:val="17"/>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and the inclusion of our website address in this prospectus is an inactive textual reference only.</w:t>
      </w:r>
    </w:p>
    <w:p>
      <w:pPr>
        <w:spacing w:after="0" w:line="67" w:lineRule="exact"/>
        <w:rPr>
          <w:rFonts w:ascii="Times New Roman" w:cs="Times New Roman" w:eastAsia="Times New Roman" w:hAnsi="Times New Roman"/>
          <w:sz w:val="17"/>
          <w:szCs w:val="17"/>
          <w:color w:val="auto"/>
        </w:rPr>
      </w:pPr>
    </w:p>
    <w:p>
      <w:pPr>
        <w:ind w:left="460" w:right="479" w:firstLine="346"/>
        <w:spacing w:after="0" w:line="260" w:lineRule="auto"/>
        <w:rPr>
          <w:sz w:val="20"/>
          <w:szCs w:val="20"/>
          <w:color w:val="auto"/>
        </w:rPr>
      </w:pPr>
      <w:r>
        <w:rPr>
          <w:rFonts w:ascii="Times New Roman" w:cs="Times New Roman" w:eastAsia="Times New Roman" w:hAnsi="Times New Roman"/>
          <w:sz w:val="17"/>
          <w:szCs w:val="17"/>
          <w:color w:val="auto"/>
        </w:rPr>
        <w:t>We also incorporate by reference in this prospectus any future filings that we make with the SEC under 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75"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9019"/>
          </w:cols>
          <w:pgMar w:left="1440" w:top="258" w:right="1440" w:bottom="1440" w:gutter="0" w:footer="0" w:header="0"/>
        </w:sectPr>
      </w:pPr>
    </w:p>
    <w:bookmarkStart w:id="47" w:name="page48"/>
    <w:bookmarkEnd w:id="47"/>
    <w:p>
      <w:pPr>
        <w:ind w:left="103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107</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424(b)(7)</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Tilray Brands,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Fee</w:t>
            </w: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Previously</w:t>
            </w: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Connection</w:t>
            </w: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Proposed</w:t>
            </w:r>
          </w:p>
        </w:tc>
        <w:tc>
          <w:tcPr>
            <w:tcW w:w="10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rPr>
              <w:t>Fee</w:t>
            </w:r>
          </w:p>
        </w:tc>
        <w:tc>
          <w:tcPr>
            <w:tcW w:w="8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9"/>
              </w:rPr>
              <w:t>Carry</w:t>
            </w:r>
          </w:p>
        </w:tc>
        <w:tc>
          <w:tcPr>
            <w:tcW w:w="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rPr>
              <w:t>Unsold</w:t>
            </w: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8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8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Carry</w:t>
            </w: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Class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c>
          <w:tcPr>
            <w:tcW w:w="0" w:type="dxa"/>
            <w:vAlign w:val="bottom"/>
          </w:tcPr>
          <w:p>
            <w:pPr>
              <w:spacing w:after="0"/>
              <w:rPr>
                <w:sz w:val="1"/>
                <w:szCs w:val="1"/>
                <w:color w:val="auto"/>
              </w:rPr>
            </w:pPr>
          </w:p>
        </w:tc>
      </w:tr>
      <w:tr>
        <w:trPr>
          <w:trHeight w:val="260"/>
        </w:trPr>
        <w:tc>
          <w:tcPr>
            <w:tcW w:w="90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Rule</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820" w:type="dxa"/>
            <w:vAlign w:val="bottom"/>
            <w:tcBorders>
              <w:bottom w:val="single" w:sz="8" w:color="auto"/>
              <w:right w:val="single" w:sz="8" w:color="auto"/>
            </w:tcBorders>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92"/>
              </w:rPr>
              <w:t>Unit</w:t>
            </w:r>
            <w:r>
              <w:rPr>
                <w:rFonts w:ascii="Times New Roman" w:cs="Times New Roman" w:eastAsia="Times New Roman" w:hAnsi="Times New Roman"/>
                <w:sz w:val="28"/>
                <w:szCs w:val="28"/>
                <w:color w:val="auto"/>
                <w:w w:val="92"/>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p>
        </w:tc>
        <w:tc>
          <w:tcPr>
            <w:tcW w:w="86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140" w:type="dxa"/>
            <w:vAlign w:val="bottom"/>
            <w:tcBorders>
              <w:bottom w:val="single" w:sz="8" w:color="auto"/>
              <w:right w:val="single" w:sz="8" w:color="auto"/>
            </w:tcBorders>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93"/>
              </w:rPr>
              <w:t>Fee</w:t>
            </w:r>
            <w:r>
              <w:rPr>
                <w:rFonts w:ascii="Times New Roman" w:cs="Times New Roman" w:eastAsia="Times New Roman" w:hAnsi="Times New Roman"/>
                <w:sz w:val="28"/>
                <w:szCs w:val="28"/>
                <w:color w:val="auto"/>
                <w:w w:val="93"/>
                <w:vertAlign w:val="superscript"/>
              </w:rPr>
              <w:t>(2)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1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Common</w:t>
            </w:r>
          </w:p>
        </w:tc>
        <w:tc>
          <w:tcPr>
            <w:tcW w:w="9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Stock,</w:t>
            </w:r>
          </w:p>
        </w:tc>
        <w:tc>
          <w:tcPr>
            <w:tcW w:w="9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par value</w:t>
            </w:r>
          </w:p>
        </w:tc>
        <w:tc>
          <w:tcPr>
            <w:tcW w:w="9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66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$0.0001</w:t>
            </w:r>
          </w:p>
        </w:tc>
        <w:tc>
          <w:tcPr>
            <w:tcW w:w="9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457(c)</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398,666</w:t>
            </w:r>
          </w:p>
        </w:tc>
        <w:tc>
          <w:tcPr>
            <w:tcW w:w="820" w:type="dxa"/>
            <w:vAlign w:val="bottom"/>
            <w:tcBorders>
              <w:bottom w:val="single" w:sz="8" w:color="CCEEFF"/>
              <w:right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$7.01</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$2,794,648.66</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0.00013810</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$385.94</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66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Previously</w:t>
            </w: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660" w:type="dxa"/>
            <w:vAlign w:val="bottom"/>
            <w:tcBorders>
              <w:bottom w:val="single" w:sz="8" w:color="auto"/>
              <w:right w:val="single" w:sz="8" w:color="CCEEFF"/>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2740" w:type="dxa"/>
            <w:vAlign w:val="bottom"/>
            <w:tcBorders>
              <w:bottom w:val="single" w:sz="8" w:color="auto"/>
              <w:right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114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90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2460" w:type="dxa"/>
            <w:vAlign w:val="bottom"/>
            <w:tcBorders>
              <w:bottom w:val="single" w:sz="8" w:color="CCEEFF"/>
              <w:right w:val="single" w:sz="8" w:color="auto"/>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$2,794,648.66</w:t>
            </w: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$385.94</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60" w:type="dxa"/>
            <w:vAlign w:val="bottom"/>
            <w:tcBorders>
              <w:top w:val="single" w:sz="8" w:color="auto"/>
              <w:right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82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90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1760" w:type="dxa"/>
            <w:vAlign w:val="bottom"/>
            <w:tcBorders>
              <w:bottom w:val="single" w:sz="8" w:color="CCEEFF"/>
              <w:right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760" w:type="dxa"/>
            <w:vAlign w:val="bottom"/>
            <w:tcBorders>
              <w:top w:val="single" w:sz="8" w:color="auto"/>
              <w:right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82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$385.94</w:t>
            </w: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300" w:right="180" w:hanging="296"/>
        <w:spacing w:after="0" w:line="273"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purposes of calculating the registration fee pursuant to Rule 457(c) under the Securities Act of 1933, as amended (the “Securities Act”), based upon the average of the high and low price per share of the Registrant’s Common Stock as reported on the Nasdaq Global Select Market on April 17, 2026.</w:t>
      </w:r>
    </w:p>
    <w:p>
      <w:pPr>
        <w:spacing w:after="0" w:line="46" w:lineRule="exact"/>
        <w:rPr>
          <w:rFonts w:ascii="Times New Roman" w:cs="Times New Roman" w:eastAsia="Times New Roman" w:hAnsi="Times New Roman"/>
          <w:sz w:val="17"/>
          <w:szCs w:val="17"/>
          <w:color w:val="auto"/>
        </w:rPr>
      </w:pPr>
    </w:p>
    <w:p>
      <w:pPr>
        <w:ind w:left="300" w:right="200" w:hanging="296"/>
        <w:spacing w:after="0" w:line="292"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fee is calculated in accordance with Rule 457(r) under the Securities Act and represents deferred payment of the registration fee in connection with the Registrant’s Registration Statement on Form S-3ASR (Registration No. 333-290806)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713740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340"/>
      </w:cols>
      <w:pgMar w:left="320" w:top="3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844"/>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24" Type="http://schemas.openxmlformats.org/officeDocument/2006/relationships/hyperlink" Target="https://www.sec.gov/ix?doc=/Archives/edgar/data/1731348/000143774925023703/tlry20250531_10k.htm" TargetMode="External"/><Relationship Id="rId25" Type="http://schemas.openxmlformats.org/officeDocument/2006/relationships/hyperlink" Target="https://www.sec.gov/ix?doc=/Archives/edgar/data/1731348/000114036125036324/ny20053807x2_def14a.htm" TargetMode="External"/><Relationship Id="rId26" Type="http://schemas.openxmlformats.org/officeDocument/2006/relationships/hyperlink" Target="https://www.sec.gov/ix?doc=/Archives/edgar/data/1731348/000143774925030797/tlry20250730_10q.htm" TargetMode="External"/><Relationship Id="rId27" Type="http://schemas.openxmlformats.org/officeDocument/2006/relationships/hyperlink" Target="https://www.sec.gov/ix?doc=/Archives/edgar/data/1731348/000143774926000902/tlry20251130_10q.htm" TargetMode="External"/><Relationship Id="rId28" Type="http://schemas.openxmlformats.org/officeDocument/2006/relationships/hyperlink" Target="https://www.sec.gov/ix?doc=/Archives/edgar/data/1731348/000143774926010907/tlry20260228_10q.htm" TargetMode="External"/><Relationship Id="rId29" Type="http://schemas.openxmlformats.org/officeDocument/2006/relationships/hyperlink" Target="https://www.sec.gov/ix?doc=/Archives/edgar/data/1731348/000114036125022089/ef20050460_8k.htm" TargetMode="External"/><Relationship Id="rId30" Type="http://schemas.openxmlformats.org/officeDocument/2006/relationships/hyperlink" Target="https://www.sec.gov/ix?doc=/Archives/edgar/data/1731348/000143774925021037/tlry20250621_8k.htm" TargetMode="External"/><Relationship Id="rId31" Type="http://schemas.openxmlformats.org/officeDocument/2006/relationships/hyperlink" Target="https://www.sec.gov/ix?doc=/Archives/edgar/data/1731348/000143774925035455/tlry20251113c_8k.htm" TargetMode="External"/><Relationship Id="rId32" Type="http://schemas.openxmlformats.org/officeDocument/2006/relationships/hyperlink" Target="https://www.sec.gov/ix?doc=/Archives/edgar/data/1731348/000143774925035739/tlry20251113_8k.htm" TargetMode="External"/><Relationship Id="rId33" Type="http://schemas.openxmlformats.org/officeDocument/2006/relationships/hyperlink" Target="https://www.sec.gov/ix?doc=/Archives/edgar/data/1731348/000143774925036448/tlry20251122_8k.htm" TargetMode="External"/><Relationship Id="rId34" Type="http://schemas.openxmlformats.org/officeDocument/2006/relationships/hyperlink" Target="https://www.sec.gov/ix?doc=/Archives/edgar/data/1731348/000143774926006389/tlry20260114_8k.htm" TargetMode="External"/><Relationship Id="rId35" Type="http://schemas.openxmlformats.org/officeDocument/2006/relationships/hyperlink" Target="https://www.sec.gov/ix?doc=/Archives/edgar/data/1731348/000114036126014638/ny20066669x3_8k.htm" TargetMode="External"/><Relationship Id="rId36" Type="http://schemas.openxmlformats.org/officeDocument/2006/relationships/hyperlink" Target="https://www.sec.gov/ix?doc=/Archives/edgar/data/1731348/000114036126014692/ny20066669x2_8k.htm" TargetMode="External"/><Relationship Id="rId37" Type="http://schemas.openxmlformats.org/officeDocument/2006/relationships/hyperlink" Target="https://www.sec.gov/Archives/edgar/data/1731348/000119312520261461/d89853d8a12ba.htm" TargetMode="External"/><Relationship Id="rId38" Type="http://schemas.openxmlformats.org/officeDocument/2006/relationships/hyperlink" Target="https://www.sec.gov/Archives/edgar/data/1731348/000143774925023703/ex_802151.htm" TargetMode="External"/><Relationship Id="rId75" Type="http://schemas.openxmlformats.org/officeDocument/2006/relationships/hyperlink" Target="https://www.sec.gov/ix?doc=/Archives/edgar/data/0001731348/000143774925021037/tlry20250621_8k.htm" TargetMode="External"/><Relationship Id="rId76" Type="http://schemas.openxmlformats.org/officeDocument/2006/relationships/hyperlink" Target="https://www.sec.gov/ix?doc=/Archives/edgar/data/0001731348/000114036125022089/ef2005046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2026-04-21T15:47:02Z</dcterms:created>
  <dcterms:modified xsi:type="dcterms:W3CDTF">2026-04-21T15:47:02Z</dcterms:modified>
</cp:coreProperties>
</file>