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00" w:right="1760" w:hanging="3792"/>
        <w:spacing w:after="0" w:line="391"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31, 2024</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October 8, 2024, the registrant had 903,286,257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August 31, 2024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 by</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or expectations regarding our cost savings initiatives; our strategic initiatives, business strategy, supply chain, brand portfolio, product performance and expansion efforts; our intentions regarding the use of net proceeds from our ATM Program; our intentions regarding our capital structure and TLRY 27 Notes; current or future macroeconomic trends; our expectations and potential impacts of regulatory or industry developments; our statements regarding the consolidation of the Canadian cannabis industry; our expectations regarding any future tax developments; future corporate acquisitions and strategic transactions; and our synergies, cash savings and efficiencies anticipated from the integration of our completed acquisitions and strategic transactions.</w:t>
      </w:r>
    </w:p>
    <w:p>
      <w:pPr>
        <w:spacing w:after="0" w:line="200" w:lineRule="exact"/>
        <w:rPr>
          <w:sz w:val="20"/>
          <w:szCs w:val="20"/>
          <w:color w:val="auto"/>
        </w:rPr>
      </w:pPr>
    </w:p>
    <w:p>
      <w:pPr>
        <w:spacing w:after="0" w:line="20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2024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205,186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264,295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725,883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677,710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555,136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558,247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908,768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915,469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2,009,714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4,261,867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4,221,665</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293,549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155,268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136,230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130,870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1,198,000,000 common shares authorized; 875,444,828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831,925,373 common shares issued and 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6,217,533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6,146,810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(2,699,653)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(2,660,488)</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3,478,091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3,442,906</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3,443,178</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4,261,867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4,221,665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200,044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176,949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21,804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(34,362)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(4,402)</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(48,599)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(34,652)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(55,863)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Total net income (loss) attributable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comprehensive income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(39,165)</w:t>
            </w: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(71,525)</w:t>
            </w:r>
          </w:p>
        </w:tc>
      </w:tr>
      <w:tr>
        <w:trPr>
          <w:trHeight w:val="234"/>
        </w:trPr>
        <w:tc>
          <w:tcPr>
            <w:tcW w:w="5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15,662</w:t>
            </w:r>
          </w:p>
        </w:tc>
      </w:tr>
      <w:tr>
        <w:trPr>
          <w:trHeight w:val="432"/>
        </w:trPr>
        <w:tc>
          <w:tcPr>
            <w:tcW w:w="5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w:t>
            </w:r>
          </w:p>
        </w:tc>
      </w:tr>
      <w:tr>
        <w:trPr>
          <w:trHeight w:val="209"/>
        </w:trPr>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0" w:type="dxa"/>
            <w:vAlign w:val="bottom"/>
          </w:tcPr>
          <w:p>
            <w:pPr>
              <w:spacing w:after="0"/>
              <w:rPr>
                <w:sz w:val="18"/>
                <w:szCs w:val="18"/>
                <w:color w:val="auto"/>
              </w:rPr>
            </w:pPr>
          </w:p>
        </w:tc>
      </w:tr>
      <w:tr>
        <w:trPr>
          <w:trHeight w:val="210"/>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(52,654)</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50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(35,543)</w:t>
            </w:r>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(68,476)</w:t>
            </w:r>
          </w:p>
        </w:tc>
      </w:tr>
      <w:tr>
        <w:trPr>
          <w:trHeight w:val="234"/>
        </w:trPr>
        <w:tc>
          <w:tcPr>
            <w:tcW w:w="5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5,051</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15,822</w:t>
            </w:r>
          </w:p>
        </w:tc>
      </w:tr>
    </w:tbl>
    <w:p>
      <w:pPr>
        <w:spacing w:after="0" w:line="1" w:lineRule="exact"/>
        <w:rPr>
          <w:sz w:val="20"/>
          <w:szCs w:val="20"/>
          <w:color w:val="auto"/>
        </w:rPr>
      </w:pPr>
    </w:p>
    <w:p>
      <w:pPr>
        <w:sectPr>
          <w:pgSz w:w="11900" w:h="16838" w:orient="portrait"/>
          <w:cols w:equalWidth="0" w:num="2">
            <w:col w:w="7280" w:space="720"/>
            <w:col w:w="324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875,444,828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691,189,382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875,444,828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691,189,382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4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656,655,455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5,777,743</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(46,610)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(2,415,507)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3,329,943</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HEXO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39,705,962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65,162</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 of contractual change</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control severance incurred from HEXO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 Diamond Holdings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dividend settlement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5,004,735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8,146</w:t>
            </w:r>
          </w:p>
        </w:tc>
      </w:tr>
      <w:tr>
        <w:trPr>
          <w:trHeight w:val="20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HTI convertible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17,148,541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3,912,481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(4,860)</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Equity component related to issuance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debt, net of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r>
      <w:tr>
        <w:trPr>
          <w:trHeight w:val="20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8,257</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(7,891)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(7,891)</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(71,525)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15,822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(52,654)</w:t>
            </w:r>
          </w:p>
        </w:tc>
      </w:tr>
      <w:tr>
        <w:trPr>
          <w:trHeight w:val="20"/>
        </w:trPr>
        <w:tc>
          <w:tcPr>
            <w:tcW w:w="3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723,292,600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5,909,895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(2,487,032)</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22,182</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3,401,556</w:t>
            </w:r>
          </w:p>
        </w:tc>
      </w:tr>
      <w:tr>
        <w:trPr>
          <w:trHeight w:val="20"/>
        </w:trPr>
        <w:tc>
          <w:tcPr>
            <w:tcW w:w="3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831,925,373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6,146,810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(43,499)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(2,660,488)</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3,443,178</w:t>
            </w:r>
          </w:p>
        </w:tc>
      </w:tr>
      <w:tr>
        <w:trPr>
          <w:trHeight w:val="20"/>
        </w:trPr>
        <w:tc>
          <w:tcPr>
            <w:tcW w:w="3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At-the-Market (“ATM”) program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36,693,307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66,472</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6,823,140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r>
      <w:tr>
        <w:trPr>
          <w:trHeight w:val="20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6,917</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(39,165)</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5,051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(30,492)</w:t>
            </w:r>
          </w:p>
        </w:tc>
      </w:tr>
      <w:tr>
        <w:trPr>
          <w:trHeight w:val="20"/>
        </w:trPr>
        <w:tc>
          <w:tcPr>
            <w:tcW w:w="3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875,444,828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6,217,533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(39,877)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(2,699,653)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3,483,414</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(34,652)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long-term investments &amp; equity investments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derivative instruments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(6,469)</w:t>
            </w:r>
          </w:p>
        </w:tc>
      </w:tr>
      <w:tr>
        <w:trPr>
          <w:trHeight w:val="20"/>
        </w:trPr>
        <w:tc>
          <w:tcPr>
            <w:tcW w:w="80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(purchase) of marketable securities, net</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(45,436)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(26,290)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bank indebtedness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(8,787)</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interim consolidated financial statements (the “Financial Statements”) reflect the accounts of the Company for the quarterly period ended August 31, 2024.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2024 (the “Annual Report”). These Financial Statements reflect all adjustments, which, in the opinion of management, are necessary for a fair presentation of the results for the interim periods presented. Interim results are not necessarily indicative of results for a full fiscal year.</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Financial Statements, notes and tables have been rounded to the nearest thousand, except par values and per share amounts, and unless otherwise indicated.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items of the comparative figures have been changed to conform to the presentation adopted in the current period.</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includes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consolidated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loss and the remaining amount is recorded in other comprehensive income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13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months ended August 31, 2024 and August 31, 2023, the dilutive potential common share equivalents outstanding consisted of the following: 23,411,577 and 21,202,933 common shares from RSUs, 3,359,144 and 6,325,348 common shares from share options, 6,210,000 and 7,847,219 common shares for warrants and 64,971,746 and 77,819,141 common shares for convertible debentures, respectively.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August 2023, the Financial Accounting Standards Board ("FASB") issued Accounting Standards Update ("ASU") 2023-05, </w:t>
      </w:r>
      <w:r>
        <w:rPr>
          <w:rFonts w:ascii="Times New Roman" w:cs="Times New Roman" w:eastAsia="Times New Roman" w:hAnsi="Times New Roman"/>
          <w:sz w:val="18"/>
          <w:szCs w:val="18"/>
          <w:i w:val="1"/>
          <w:iCs w:val="1"/>
          <w:color w:val="auto"/>
        </w:rPr>
        <w:t>Business Combination</w:t>
      </w:r>
    </w:p>
    <w:p>
      <w:pPr>
        <w:spacing w:after="0" w:line="29" w:lineRule="exact"/>
        <w:rPr>
          <w:sz w:val="20"/>
          <w:szCs w:val="20"/>
          <w:color w:val="auto"/>
        </w:rPr>
      </w:pPr>
    </w:p>
    <w:p>
      <w:pPr>
        <w:jc w:val="both"/>
        <w:ind w:firstLine="8"/>
        <w:spacing w:after="0" w:line="255" w:lineRule="auto"/>
        <w:tabs>
          <w:tab w:leader="none" w:pos="12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Joint Venture Formations </w:t>
      </w:r>
      <w:r>
        <w:rPr>
          <w:rFonts w:ascii="Times New Roman" w:cs="Times New Roman" w:eastAsia="Times New Roman" w:hAnsi="Times New Roman"/>
          <w:sz w:val="18"/>
          <w:szCs w:val="18"/>
          <w:color w:val="auto"/>
        </w:rPr>
        <w:t>(Subtopic 805-60) Recognition and Initial Measurement (“ASU 2023-05”), which is intended to address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made to a joint venture. ASU 2023-05 is effective for the Company beginning June 1, 2026. This update will be applied prospectively on or after the effective date of the amendments. The Company is currently evaluating the effect of adopting this ASU.</w:t>
      </w:r>
    </w:p>
    <w:p>
      <w:pPr>
        <w:spacing w:after="0" w:line="184"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which amends the disclosure or presentation requirements related to various subtopics in the FASB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disclose specific categories in the rate reconciliation and provide additional information for reconciling items that meet a quantitative threshold on an annual basis. ASU 2023-09 is effective for the Company beginning with the fiscal year ended June 1, 2025. The Company is currently evaluating the effect of adopting this ASU.</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5"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public entities to disclose information about their reportable segments’ significant expenses on an interim and annual basis. ASU 2023-07 is effective for the Company beginning with the fiscal year ended May 31, 2025 and will be disclosed retrospectively in the Annual Report on Form 10-K.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21, 2024, the FASB issued ASU 2024-01, Compensation—Stock Compensation (Topic 718): Scope Application of Profits Interest and Similar Awards, which adds illustrative examples that demonstrate how the scoping guidance in ASC 718-10-15-3 applies to profits interest or similar awards. The Company adopted ASU 2024-01 beginning with the fiscal year ended June 1, 2024 with no material impacts.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Plants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264,295</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758,794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(203,658)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(189,575)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32,074</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fiscal year ended May 31, 2024, the Company classified the following assets from its Cannabis reporting segment as held for sale, including its Quebec cultivation facility, the Fort Collins, CO partially vacant warehouse facility, and the Broken Coast former cultivation facility located in Duncan, B.C.. Following an assessment of facility capacity utilization, it was determined that these facilities would be exited and held for sale. It is expected that the sale of these assets will be completed within twelve months from the period in which they were classified as held for sale. Assets held for sale are measured at the lower of carrying amount and their fair value less costs to sell, and are no longer depreciated. Disposition of assets held for sale are recorded in the consolidated statement of net loss and comprehensive loss, within the line, “Non-operating income (expense), net”.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Capital assets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43,429</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w:t>
            </w:r>
          </w:p>
        </w:tc>
        <w:tc>
          <w:tcPr>
            <w:tcW w:w="360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60,605</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6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August 31, 2024: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(50,421)</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3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609,728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603,939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1,610,397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1,593,071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(285,785)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Included in Licenses, permits &amp; applications was $185,636 of indefinite-lived intangible assets as of August 31, 2024, compared to $182,851 as of May 31, 2024.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August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5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55,822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74,430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74,430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369,590</w:t>
            </w:r>
          </w:p>
        </w:tc>
        <w:tc>
          <w:tcPr>
            <w:tcW w:w="100" w:type="dxa"/>
            <w:vAlign w:val="bottom"/>
          </w:tcPr>
          <w:p>
            <w:pPr>
              <w:spacing w:after="0"/>
              <w:rPr>
                <w:sz w:val="18"/>
                <w:szCs w:val="18"/>
                <w:color w:val="auto"/>
              </w:rPr>
            </w:pPr>
          </w:p>
        </w:tc>
      </w:tr>
      <w:tr>
        <w:trPr>
          <w:trHeight w:val="24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723,132</w:t>
            </w:r>
          </w:p>
        </w:tc>
      </w:tr>
      <w:tr>
        <w:trPr>
          <w:trHeight w:val="412"/>
        </w:trPr>
        <w:tc>
          <w:tcPr>
            <w:tcW w:w="388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8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Tilray acquired a portfolio of craft brands, assets and businesses comprising eight beer and beverage brands from Anheuser-Busch Companies, LLC,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equivalent of $83,658 in cash, net of a working capital adjustment at closing of $1,342.</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Craft Acquisition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that the Craft Acquisition had occurred on June 1, 2022, the Company would have had, on an unaudited proforma basis, additional net revenue of approximately $nil and $41,000 for the three months ended August 31, 2024 and 2023, respectively, and its consolidated net loss and comprehensive net income would have increased by approximately $nil and $3,000 for the three months ended August 31, 2024 and 2023, respectively. This unaudited pro forma financial information does not reflect the realization of any expected ongoing synergies relating to the integration of the Craft Acquisition.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Convertible notes receivable</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2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413"/>
        </w:trPr>
        <w:tc>
          <w:tcPr>
            <w:tcW w:w="5140" w:type="dxa"/>
            <w:vAlign w:val="bottom"/>
            <w:tcBorders>
              <w:top w:val="single" w:sz="8" w:color="CCEEFF"/>
            </w:tcBorders>
          </w:tcPr>
          <w:p>
            <w:pPr>
              <w:spacing w:after="0"/>
              <w:rPr>
                <w:sz w:val="24"/>
                <w:szCs w:val="24"/>
                <w:color w:val="auto"/>
              </w:rPr>
            </w:pPr>
          </w:p>
        </w:tc>
        <w:tc>
          <w:tcPr>
            <w:tcW w:w="288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August 17, 2028, 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May 31, 2024, the Company recognized an other-than-temporary change in fair value, which resulted in a non-cash expense of $42,681. The MedMen Convertible Note was valued based upon the fair value of the collateral assets net of disposal costs and has been reduced to reflect recent events, including the appointment of a chief restructuring officer on January 23, 2024 to facilitate MedMen’s anticipated recapitalization and restructuring of operations, filing for insolvency protection in Canada and in California and pending asset sales. There are no additional changes in fair value for the three months ended August 31, 2024.</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did not derive any revenue or cash from MedMen's operations, and fully complies with all limitations imposed by applicable U.S. law and regulations in connection with its ownership of the MedMen Convertible Note. In addition, since the fiscal year ended May 31, 2024, the Company has not recognized any interest income on the MedMen Convertible Note, nor did the Company recognize any interest income for the three months ended August 31, 2024, which would have increased its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 term investments</w:t>
            </w: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8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3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413"/>
        </w:trPr>
        <w:tc>
          <w:tcPr>
            <w:tcW w:w="482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10.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August 31, 2024,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494"/>
        <w:spacing w:after="0" w:line="261" w:lineRule="auto"/>
        <w:tabs>
          <w:tab w:leader="none" w:pos="7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in the amounts of €7,000 and €500. These lines bear interest at Euro Short-Term Rate ("ESTR") plus 2.50% and Euro Interbank Offered Rate ("EURIBOR") plus 4.00%, respectively. As of August 31, 2024, a total of €7,395 ($8,134) was drawn down from the total available credit of €7,500. The operating line of credit for €7,000 is secured by an interest in the inventory of CC Pharma GmbH as well as the Densborn facility and underlying real property. The operating line of credit for €500 is unsecured.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American Beverage Crafts Group Inc. ("ABC Group"), a subsidiary of the Company, has a revolving credit facility of $30,000, which bears interest at SOFR plus an applicable margin. As of August 31, 2024, the Company has drawn down $10,000 on the revolving line of credit. The revolving credit facility is secured by ABC Group's assets and includes a corporate guarantee by a subsidiary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liabilities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236,146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 due in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2028</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$57 including interest, due in October 2030</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86,626</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$1,750 due in June 2028</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174,666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Convertible debentures payable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Convertible Notes ("TLRY 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132,650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5.25% Convertible Notes ("APHA 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132,650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413"/>
        </w:trPr>
        <w:tc>
          <w:tcPr>
            <w:tcW w:w="802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(42,917)</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 See Note 27 (Subsequent Events), which discloses the repurchase of $7,500 of TLRY 27 Notes in an exchange transaction.</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August 31, 2024, the Company recognized interest expense and accretion of amortized discount of $2,243 and $3,067 respectively. During the three months ended August 31, 2023, the Company recognized interest expense and accretion of amortized discount of $2,243 and $2,795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APHA 24 Notes</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(349,670)</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8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bore interest at a rate of 5.25% per annum, and were payable semi-annually in arrears on June 1 and December 1 of each year, and matured on June 1, 2024 (the "APHA 24 Notes"). On June 1, 2024, the Company repaid the remaining principal of the APHA 24 Notes in cash upon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14.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August 31, 2024 and May 31, 2024, there were 6,209,000 warrants outstanding, with an original exercise price of $5.95 per warrant, expiring September 17, 2025. Each warrant is exercisable for one common share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nine months ended August 31, 2024, the Company issued shares which triggered the anti-dilution price protection feature lowering the exercise price to $1.61.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warrants outstanding as of August 31, 2024 at $0.412 per warrant using the Black Scholes pricing model (Level 3) with the following assumptions: Risk-free interest rate of 3.23%, expected volatility of 50%, expected term of 1.05 years, strike price of $1.61 and fair value of common stock of $1.71.</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Expected volatility is based on both historical and implied volatility of the Company’s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August 31, 2024, the Company had 1,198,000,000 common shares and 10,000,000 preferred shares authorized to be issued, with 875,444,828 common shares and nil preferred shares issued and outstanding. Historically, the Company has issued shares of its common stock as consideration for business acquisitions, settlement of convertible notes, settlement of litigation claims, in connection with public offerings and as payment of dividends to non-controlling interests for profit distributions.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August 31, 2024, the Company issued the following common shares:</w:t>
      </w:r>
    </w:p>
    <w:p>
      <w:pPr>
        <w:spacing w:after="0" w:line="225" w:lineRule="exact"/>
        <w:rPr>
          <w:sz w:val="20"/>
          <w:szCs w:val="20"/>
          <w:color w:val="auto"/>
        </w:rPr>
      </w:pPr>
    </w:p>
    <w:p>
      <w:pPr>
        <w:ind w:left="980" w:right="920" w:hanging="48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36,693,307 shares under its At-the-Market (“ATM”) program generating gross proceeds of $68,279. The Company paid $1,807 in commissions and other fees associated with these issuances, with net proceeds of $66,472.</w:t>
      </w: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6,826,148 shares in connection with the exercise of previously awarded stock-based compensation awards.</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August 31, 2024 the Company granted 13,054,906 time-based RSUs, and $nil performance-based RSUs. During the three months ended August 31, 2023 the Company granted 11,559,549 time-based RSUs and 7,566,146 performance based RSUs. The 7,566,146 performance based RSUs issued contain certain performance conditions that will not be set until a future date and, therefore, the grant date has not been met for accounting purposes. The Company's total stock-based compensation expense recognized for the three months ended August 31, 2024 and August 31, 2023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5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04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42"/>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(46,610)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(43,561)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(43,561)</w:t>
            </w:r>
          </w:p>
        </w:tc>
      </w:tr>
      <w:tr>
        <w:trPr>
          <w:trHeight w:val="210"/>
        </w:trPr>
        <w:tc>
          <w:tcPr>
            <w:tcW w:w="80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(39,877)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Non-controlling interests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following subsidiaries of the Company in which there is non-controlling interest; SH Acquisition (68%), CC Pharma Nordic ApS (75%), Aphria Diamond (51%), and ColCanna S.A.S. (90%) before intercompany eliminations.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in which there is a non-controlling interest as of August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108,030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108,055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159,049</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(140,024)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(24,810)</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102,270</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in which there is a non-controlling interest as of May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95,735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160,312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(25,934)</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64,968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92,246</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three months ended August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18,558</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9,851</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9,342</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10,024</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5,051</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three months ended August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39,230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15,636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15,887</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23,511</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11,822</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15,822</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reported income tax expense of $886 for the three months ended August 31, 2024, and income tax expense of $7,264 for the three months ended August 31, 2023. The income tax benefit in the current period varies from the US statutory income tax rate and prior period primarily due to the geographical mix of earnings and losses with no tax benefit resulting from valuation allowances in certain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12 (Long-term debt), convertible notes, refer to Note 13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34,214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70,090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34,214</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legal proceedings since our Annual Report on Form 10-K for the fiscal year ended May 31, 2024, except with respect to the legal proceeding disclosed below that was dismissed with prejudice on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 Brands Group Related Class Action (New York, United States)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complaint in the Kasilingam litigation without prejudice. On December 3, 2021, the lead plaintiff filed a second amended complaint alleging similar claims against Tilray and Brendan Kennedy. The Defendants successfully moved to dismiss the second amended complaint on February 2, 2022. In dismissing the second amended complaint, the court granted the Plaintiff leave to amend one final time. On September 27, 2023, the Plaintiff filed its Third Amended Complaint.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30, 2024, the U.S. District Court entered an Opinion &amp; Order granting the Defendants’ motion to dismiss the Third Amended Complaint in the Kasilingam litigation with prejudice.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 an Arbitration Between: K. Dickson v. Tilray, Inc.</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Ms. Dickson, the former President of Manitoba Harvest, a wholly-owned subsidiary of Tilray, commenced an arbitration in Minneapolis, Minnesota against Tilray, alleging that Tilray materially breached her Employment Agreement with Tilray and asserted certain Washington statutory wage claims.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17, 2023, the arbitrator awarded Dickson $3,734 in damages, plus amounts for pre-judgment, and double damages under a Washington state wage payment statute (the “Arbitration Award”). Tilray’s counterclaim was denied by the Arbitrator. On May 23, 2023, the arbitrator issued a supplemental award which provided that Dickson was entitled to recover attorney fees and costs from Tilray in connection with the arbitration. On February 27, 2024, the U.S. District Court for the Western District of Washington dismissed as moot Tilray’s petition to vacate, modify or correct the Arbitration Award, granting Dickson’s responding motion to dismiss on the basis that the U.S. District Court for the Western District of Washington lacked personal jurisdiction over Dickson. On March 15, 2024, Tilray filed its notice of appeal of the decision of the U.S. District Court for the Western District of Washington to the U.S. Court of Appeals for the Ninth Circuit. On August 8, 2024, the District Court in Minnesota confirmed the Arbitration Award. A judgment on the Award was entered by the Court on August 12, 2024, and, following a motion to correct the judgment, became final on September 27, 2024. Tilray filed a notice of appeal to the U.S. Court of Appeals for the Eighth Circuit, which appeal is still pending. The parties are finalizing a settlement of this matter, pursuant to which Tilray intends to pay the amount of the Arbitration Award in satisfaction of the related judgment.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11 (Accounts payable and accrued liabilities), the total litigation expense accrual included in accrued liabilities as of August 31, 2024 was equal to $24,413. This accrual is intended to cover various ongoing litigation matters that are currently probable and estimable. For the period ended May 31, 2024, the total litigation expense accrual included in accrued liabilities was $24,378.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245"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20. Net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reports net revenue in four reporting segments: beverage alcohol, cannabis, distribution, and wellness.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 is comprised of:</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alcohol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59,163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25,339</w:t>
            </w:r>
          </w:p>
        </w:tc>
      </w:tr>
      <w:tr>
        <w:trPr>
          <w:trHeight w:val="231"/>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alcohol excise taxes</w:t>
            </w:r>
          </w:p>
        </w:tc>
        <w:tc>
          <w:tcPr>
            <w:tcW w:w="2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beverage alcohol revenue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Cannabis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Cannabis excise 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cannabis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revenue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Cost of goods sold</w:t>
      </w:r>
    </w:p>
    <w:p>
      <w:pPr>
        <w:spacing w:after="0" w:line="229"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8"/>
          <w:szCs w:val="18"/>
          <w:color w:val="auto"/>
        </w:rPr>
        <w:t>Cost of goods sold is comprised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55,972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24,162</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96,884</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(26,551)</w:t>
            </w:r>
          </w:p>
        </w:tc>
      </w:tr>
      <w:tr>
        <w:trPr>
          <w:trHeight w:val="191"/>
        </w:trPr>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61,249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70,333</w:t>
            </w:r>
          </w:p>
        </w:tc>
        <w:tc>
          <w:tcPr>
            <w:tcW w:w="6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69,157</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13,297</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6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-728345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ind w:left="3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August 31,</w:t>
      </w:r>
      <w:r>
        <w:rPr>
          <w:sz w:val="20"/>
          <w:szCs w:val="20"/>
          <w:color w:val="auto"/>
        </w:rPr>
        <w:tab/>
      </w:r>
      <w:r>
        <w:rPr>
          <w:rFonts w:ascii="Times New Roman" w:cs="Times New Roman" w:eastAsia="Times New Roman" w:hAnsi="Times New Roman"/>
          <w:sz w:val="17"/>
          <w:szCs w:val="17"/>
          <w:b w:val="1"/>
          <w:bCs w:val="1"/>
          <w:color w:val="auto"/>
        </w:rPr>
        <w:t>August 31,</w:t>
      </w:r>
    </w:p>
    <w:p>
      <w:pPr>
        <w:spacing w:after="0" w:line="9"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9" w:lineRule="exact"/>
        <w:rPr>
          <w:sz w:val="20"/>
          <w:szCs w:val="20"/>
          <w:color w:val="auto"/>
        </w:rPr>
      </w:pPr>
    </w:p>
    <w:p>
      <w:pPr>
        <w:sectPr>
          <w:pgSz w:w="11900" w:h="16838" w:orient="portrait"/>
          <w:cols w:equalWidth="0" w:num="2">
            <w:col w:w="7280" w:space="720"/>
            <w:col w:w="3240"/>
          </w:cols>
          <w:pgMar w:left="320" w:top="84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Beverage alcohol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Distribution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General and administrative expenses</w:t>
      </w:r>
    </w:p>
    <w:p>
      <w:pPr>
        <w:spacing w:after="0" w:line="229"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General and administrative expenses are comprised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33,050</w:t>
            </w:r>
          </w:p>
        </w:tc>
        <w:tc>
          <w:tcPr>
            <w:tcW w:w="200" w:type="dxa"/>
            <w:vAlign w:val="bottom"/>
          </w:tcPr>
          <w:p>
            <w:pPr>
              <w:spacing w:after="0"/>
              <w:rPr>
                <w:sz w:val="16"/>
                <w:szCs w:val="16"/>
                <w:color w:val="auto"/>
              </w:rPr>
            </w:pPr>
          </w:p>
        </w:tc>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11,266</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50,517</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61,468</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9,502</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140,338</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August 31,</w:t>
      </w:r>
      <w:r>
        <w:rPr>
          <w:sz w:val="20"/>
          <w:szCs w:val="20"/>
          <w:color w:val="auto"/>
        </w:rPr>
        <w:tab/>
      </w:r>
      <w:r>
        <w:rPr>
          <w:rFonts w:ascii="Times New Roman" w:cs="Times New Roman" w:eastAsia="Times New Roman" w:hAnsi="Times New Roman"/>
          <w:sz w:val="17"/>
          <w:szCs w:val="17"/>
          <w:b w:val="1"/>
          <w:bCs w:val="1"/>
          <w:color w:val="auto"/>
        </w:rPr>
        <w:t>August 31,</w:t>
      </w:r>
    </w:p>
    <w:p>
      <w:pPr>
        <w:spacing w:after="0" w:line="9"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9" w:lineRule="exact"/>
        <w:rPr>
          <w:sz w:val="20"/>
          <w:szCs w:val="20"/>
          <w:color w:val="auto"/>
        </w:rPr>
      </w:pPr>
    </w:p>
    <w:p>
      <w:pPr>
        <w:sectPr>
          <w:pgSz w:w="11900" w:h="16838" w:orient="portrait"/>
          <w:cols w:equalWidth="0" w:num="2">
            <w:col w:w="7280" w:space="720"/>
            <w:col w:w="324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9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3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3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3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39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8"/>
                <w:szCs w:val="18"/>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44,113</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40,516</w:t>
            </w:r>
          </w:p>
        </w:tc>
      </w:tr>
      <w:tr>
        <w:trPr>
          <w:trHeight w:val="629"/>
        </w:trPr>
        <w:tc>
          <w:tcPr>
            <w:tcW w:w="404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23. Restructuring charges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restructuring and exit costs associated with the integration efforts of these non-recurring transactions. The Company recognized $4,247 of restructuring charges for the three months ended August 31, 2024 compared to $915 for the prior year period. All restructuring plans are approved at the executive level and their associated expenses are recognized in the period in which the plan has been committed to. All amounts incurred as of August 31, 2024, have been paid.</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Within the Cannabis segment, our restructuring costs predominantly related to the HEXO acquisition, which are expected to be completed within 24 months from the original acquisition date in June 2023. In the three months ended August 31, 2024, we recognized $2,582 of employee termination benefits and costs related to the conversion from cannabis to produce at HEXO's Quebec cultivation facility (which is currently held for sale), the optimization of our Redecan facilities, and $255 of restructuring charges related to the remaining costs of exiting the Truss facility following its sale to a third party in the previous fiscal year ended May 31, 2024. Additionally, the Company recognized $82 of cost associated winding down the Fort Collins warehouse currently held for sale.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Distribution segment, the Company recognized $121 of restructuring charges for its Argentinean pharmacy business.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Within the beverage alcohol segment, the Company recognized $123 of employee termination benefits through the integration of the Craft acquisition.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Lastly, for the three months ended August 31, 2024, the Company recognized $1,084 of cost associated with the investment held in Superhero (SH) as a result of MedMen’s ongoing restructuring and/or liquidation undertakings.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24. Non-operating income (expense), net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income (expense), net is comprised of:</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80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(4,402)</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classified its financial instruments as described in Note 3 (Significant accounting policies) in our Annual Financial Statements.</w:t>
      </w:r>
    </w:p>
    <w:p>
      <w:pPr>
        <w:spacing w:after="0" w:line="225"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marketable securities,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August 31, 2024 and May 31, 2024 the Company had long-term debt of $3,350 and $3,568, respectively, and the principal portion of convertible debentures payable of $172,500 and $172,830,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August 31, 2024 and May 31, 2024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205,186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74,869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280,946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19,943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302,351</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18,917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281,798</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using, among others, the Black Scholes option pricing model, probability of legalization and is classified as Level 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was determined using the Black-Scholes option pricing model and was classified as Level 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A portion of the consideration to be paid in connection the Company’s acquisition of Montauk Brewing is contingent upon the achievement of certain financial measures as of December 2025, and if achieved, such contingent consideration is payable in cash. The contingent consideration amount was estimated by applying a probability of achievement of 100% on the $15,000 sales earn-out component and 0% on the remaining criterion, which is not expected to be achieved. The unobservable inputs into the future expected cash outflows result in a fair value measurement classified as Level 3.</w:t>
      </w:r>
    </w:p>
    <w:p>
      <w:pPr>
        <w:spacing w:after="0" w:line="18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2024, a decrease in fair value of $nil was recognized compared to a decrease of fair value of $11,107 in the period ended August 31, 2023 for the contingent consideration from the SweetWater acquisition as a result of not achieving the incentive targets.</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Additions/(Repayments)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100% and 0%</w:t>
            </w: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Segment reporting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beverage alcohol operations, which encompasses the production, marketing and sale of beverage and beverage alcohol products, (2) cannabis operations, which encompasses the cultivation, production, distribution, sale, co-manufacturing and advisory services of both medical and adult-use cannabis, (3) distribution operations, which encompasses the purchase and resale/distribution of pharmaceuticals products to wholesale and pharmacy customers, and (4) wellness products, which encompasses hemp foods and hemp-based cannabidiol (“CBD”) consumer products. This structure is in line with how our Chief Operating Decision Maker (“CODM”) assesses our performance and allocates resources.</w:t>
      </w:r>
    </w:p>
    <w:p>
      <w:pPr>
        <w:spacing w:after="0" w:line="18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alcohol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gross profit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70,333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69,157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71,195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revenue from Canadian adult-use cannabis is $nil advisory services revenue for the three months ended August 31, 2024 from the previous HEXO commercial transaction agreements in place prior to its acquisition, compared to $1,500 in the prior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200,044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176,949</w:t>
            </w:r>
          </w:p>
        </w:tc>
      </w:tr>
      <w:tr>
        <w:trPr>
          <w:trHeight w:val="413"/>
        </w:trPr>
        <w:tc>
          <w:tcPr>
            <w:tcW w:w="800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months ended August 31, 2024 and 2023,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Subsequent Events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September 1, 2024, the Company acquired four craft beer brands and breweries from Molson Coors Beverage Company ("Molson") including Atwater Brewery, Hop Valley Brewing Company, Terrapin Beer Co., and Revolver Brewing for a total purchase consideration of $23,079. This purchase price amount is subject to certain customary post-closing working capital adjustments.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the Company's ATM Program, from September 1, 2024 to September 10, 2024, the Company issued an additional 10,132,247 shares generating gross proceeds of $17,059. The Company paid $341 in commissions and other fees associated with these issuances generating net proceeds of $16,718.</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12, 2024, the Company repurchased $7,500 of its TLRY 27 Notes for cancellation by issuing 4,484,240 shares and paying $102 of cash to settle accrued interest. After cancellation, the outstanding principal balance of the TLRY 27 Notes was $165,000.</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17, 2024, the Company entered into an assignment and assumption agreement with Double Diamond Holdings Ltd. (“DDH”), pursuant to which, among other things, Tilray acquired from DDH a promissory note in the amount of $23,792 (the “Note”) payable by Aphria Diamond Inc. (“Aphria Diamond”). DDH is a joint venturer with Aphria Inc., Tilray’s direct and wholly-owned subsidiary, in Aphria Diamond. As consideration for the Note, Tilray issued 13,217,588 shares of its common stock, par value $0.0001 per share (the “Consideration Shares”), to DDH.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Unaudited Condensed Interim Consolidated Financial Statements and the related Notes thereto for the period ended August 31, 2024 contained in this Quarterly Report on Form 10-Q and the Audited Consolidated Financial Statements and the related Notes thereto contained in our Annual Report on Form 10-K for the fiscal year ended May 31, 2024,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2024 and in the section entitled “Item 1A. Risk Factors” in this Quarterly Report on Form 10-Q.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market trends: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 beverage alcohol category is approximately a $180 billion category per AKI Technologies encompassing beer, wine, and spirits and continues to maintain annual growth of 2% amid shifting consumer trends, especially within the craft industry. Several key trends we expect to shape the near-term outlook in this segment, which primarily are in two main categories: beer and spirits:</w:t>
      </w:r>
    </w:p>
    <w:p>
      <w:pPr>
        <w:spacing w:after="0" w:line="174" w:lineRule="exact"/>
        <w:rPr>
          <w:sz w:val="20"/>
          <w:szCs w:val="20"/>
          <w:color w:val="auto"/>
        </w:rPr>
      </w:pPr>
    </w:p>
    <w:p>
      <w:pPr>
        <w:jc w:val="both"/>
        <w:ind w:left="820" w:hanging="272"/>
        <w:spacing w:after="0" w:line="245"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Beverage Alcohol Distribution</w:t>
      </w:r>
      <w:r>
        <w:rPr>
          <w:rFonts w:ascii="Times New Roman" w:cs="Times New Roman" w:eastAsia="Times New Roman" w:hAnsi="Times New Roman"/>
          <w:sz w:val="18"/>
          <w:szCs w:val="18"/>
          <w:color w:val="auto"/>
        </w:rPr>
        <w:t>. In furtherance of our strategic vision, we have reevaluated and initiated a refined craft beer strategy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our relevance within home markets on mission critical items. Through targeted efforts, we've bolstered our distribution footprint, gaining critical distribution on priority product offerings including, but not limited to, SweetWater 420, Montauk Wave Chaser and Seasonals, Shock Top Seasonals, and Ten Barrel Pub Beer, and Redhook Big Ballard IPA. This expansion has notably increased product availability, enabling us to effectively engage with a broader yet more targeted consumer base and drive sales growth.</w:t>
      </w:r>
    </w:p>
    <w:p>
      <w:pPr>
        <w:spacing w:after="0" w:line="192" w:lineRule="exact"/>
        <w:rPr>
          <w:rFonts w:ascii="Times New Roman" w:cs="Times New Roman" w:eastAsia="Times New Roman" w:hAnsi="Times New Roman"/>
          <w:sz w:val="22"/>
          <w:szCs w:val="22"/>
          <w:color w:val="auto"/>
        </w:rPr>
      </w:pPr>
    </w:p>
    <w:p>
      <w:pPr>
        <w:jc w:val="both"/>
        <w:ind w:left="820" w:hanging="272"/>
        <w:spacing w:after="0" w:line="24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Despite continued challenges in the industry marked by a (4.7%) decline in the US Craft beer industry in our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Circana, the Company’s beer category has showcased resilience in our home markets. While our national performance aligned closely with that of the industry, our emphasis on regional market penetration yielded promising results. Notably, our brands demonstrated strong performance in their respective regional strongholds, showcasing market share gains with Redhook product gains across the Pacific Northwest, Ten Barrel products gaining on the West Coast, SweetWater 420 gaining share in Florida, and Montauk Wave Chaser IPA continuing to gain share in New York.</w:t>
      </w:r>
    </w:p>
    <w:p>
      <w:pPr>
        <w:spacing w:after="0" w:line="191" w:lineRule="exact"/>
        <w:rPr>
          <w:rFonts w:ascii="Times New Roman" w:cs="Times New Roman" w:eastAsia="Times New Roman" w:hAnsi="Times New Roman"/>
          <w:sz w:val="22"/>
          <w:szCs w:val="22"/>
          <w:color w:val="auto"/>
        </w:rPr>
      </w:pPr>
    </w:p>
    <w:p>
      <w:pPr>
        <w:jc w:val="both"/>
        <w:ind w:left="820" w:hanging="272"/>
        <w:spacing w:after="0" w:line="243"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Recognizing the evolving consumer landscape and the burgeoning demand for alternative beverage options, we have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portfolio diversification. Our recent endeavors include expanding into Non-Alcoholic beverages, water through our Liquid Love brand, flavored malt beverages, and Energy drinks. These strategic innovations underscore our commitment to offering high-quality options across diverse beverage categories, positioning us for sustained growth and differentiation in the competitive beverage alcohol segment.</w:t>
      </w:r>
    </w:p>
    <w:p>
      <w:pPr>
        <w:spacing w:after="0" w:line="195" w:lineRule="exact"/>
        <w:rPr>
          <w:rFonts w:ascii="Times New Roman" w:cs="Times New Roman" w:eastAsia="Times New Roman" w:hAnsi="Times New Roman"/>
          <w:sz w:val="22"/>
          <w:szCs w:val="22"/>
          <w:color w:val="auto"/>
        </w:rPr>
      </w:pPr>
    </w:p>
    <w:p>
      <w:pPr>
        <w:jc w:val="both"/>
        <w:ind w:left="820" w:hanging="272"/>
        <w:spacing w:after="0" w:line="245"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Brew Pubs</w:t>
      </w:r>
      <w:r>
        <w:rPr>
          <w:rFonts w:ascii="Times New Roman" w:cs="Times New Roman" w:eastAsia="Times New Roman" w:hAnsi="Times New Roman"/>
          <w:sz w:val="18"/>
          <w:szCs w:val="18"/>
          <w:color w:val="auto"/>
        </w:rPr>
        <w:t>. Following our recent Craft Acquisition on September 29, 2023, we operate 20 brew pubs including our Breckenridge Distillery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in geographic regions across the U.S. that are in close proximity to the production of our craft brands. An important part of our strategic plan for our beverage alcohol operations centers on Brew Pubs to promote and showcase the distinct, regional positioning of our craft beer brands and enhance brand recognition to help drive revenue growth. We believe that our brew pub strategy allows us to curate unique small batch product offerings in targeted test markets to help drive effective product innovation.</w:t>
      </w:r>
    </w:p>
    <w:p>
      <w:pPr>
        <w:spacing w:after="0" w:line="19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spirits category, Breckenridge Distillery stands out as a beacon within the bourbon industry, making notable strides in vodka and gin markets while offering a comprehensive hospitality experience through its world-class restaurant and retail location. Our primary growth objective centers on expanding market share across the United States. To fuel future expansion, we prioritize showcasing our exceptional product quality and introducing innovative new offerings. Recent accolades, including Double Gold awards at prestigious competitions such as Port Cask Finish being named World’s best finished Bourbon at the 2024 World Whiskies Awards and strategic product placements, we believe underscore our brand's growing recognition and appeal. Despite prevailing challenges within the overall spirits market, our focus on whiskey—a resilient segment— we believe positions us for continued growth fueled by innovative product introductions and expanded market presence.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left="160" w:firstLine="450"/>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spacing w:after="0" w:line="174" w:lineRule="exact"/>
        <w:rPr>
          <w:sz w:val="20"/>
          <w:szCs w:val="20"/>
          <w:color w:val="auto"/>
        </w:rPr>
      </w:pPr>
    </w:p>
    <w:p>
      <w:pPr>
        <w:jc w:val="both"/>
        <w:ind w:left="820" w:hanging="32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maintain its market leadership position in Canada. However, during the quarter, we experienced a marginal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in market share in Canada from 10.4% to 9.8% from the immediately preceding quarter, as reported by Hifyre data for all provinces excluding Quebec where Weedcrawler was deemed more accurate. The current period decrease in market share reflects our efforts to preserve margin despite continued price compression that our competitors are perpetuating.</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is expected to persist in the market, intensified by fierce competition among the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 Licensed Producers in Canada. The fixed impact of excise per gram, notwithstanding the decline in average selling prices, further compounds these challenges, prompting ongoing industry lobbying efforts.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 related to the Excise Tax Act: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has recently been reported that Canada Revenue Agency (CRA) has taken steps to garnish payments due to Canadian Licensed Producers (LPs), who have failed to pay their Excise Tax in full in a timely manner. The reported garnishments by CRA were quickly followed by LPs filing for insolvency protection. We view CRA's proactiveness on account collection as a positive step towards the consolidation of the Canadian cannabis industry. This proactiveness in creating cash flow pressure for those LPs that were behind on Excise Taxes increases the risk of future insolvencies in the LP market. As at the date of this filing we are current with CRA on Excise Taxes owed by all of our Canadian entities that are required to pay Excise Taxes.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market updates: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(Germany, Netherlands and Switzerland) and some are debating regulations for cannabinoid-based medicine (France and Spain). In Europe, we believe that, despite continuing recessionary economic conditions and the Russian conflict with Ukraine, cannabis legalization (both medicinal and adult-use) will continue to gain traction albeit more slowly than originally expected. This is evidenced by the recently adopted cannabis regulations in Germany, which we believe will serve as a catalyst for continued changes in drug policy throughout Europe. We also continue to believe that Tilray remains uniquely positioned to maintain and gain significant market share in these markets with our vertically-integrated infrastructure and well-placed investments, which is comprised of two EU-GMP cultivation facilities within Europe located in</w:t>
      </w:r>
    </w:p>
    <w:p>
      <w:pPr>
        <w:sectPr>
          <w:pgSz w:w="11900" w:h="16838" w:orient="portrait"/>
          <w:cols w:equalWidth="0" w:num="1">
            <w:col w:w="11240"/>
          </w:cols>
          <w:pgMar w:left="320" w:top="576" w:right="339" w:bottom="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Portugal and Germany, our distribution network and our demonstrated commitment and expertise related to the availability, quality and safety of our cannabinoid-based medical products.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Subsequent to the end of our third quarter, the Cannabis Act, consisting of two parts, the CanG and MedCanG, passed both chambers of the German parliament, was signed into law by the Office of the Federal President and decriminalization and MedCanG portions of the Cannabis Act became effective on April 1, 2024. The licensing process for the cannabis social clubs commenced on July 1, 2024 and is expected to provide first legal supply of adult-use cannabis outside of home-growing between November and January 2025. As of October 1, 2024, 16 licenses were issued out of 315 applications.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MedCanG provides for several important medical cannabis reforms including the abolishment of the tender for domestic production, which has been replaced with a regular licensing scheme under the authority of the Federal Institute for Drugs and Medical Devices (the “BfArM”) as well as for the reclassification of medical cannabis from a narcotic to non-narcotic, with Tilray receiving the first one. Three licenses for domestic cultivation have been issued, of which Tilray holds one. The foreseen enhanced accessibility to medical cannabis due to non-narcotic prescriptions has had the desired effect. The prescription numbers have risen since April 1, 2024.</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the short remainder of the legislative term until September 2025, we expect a regulatory solution for the framework of the Pillar Two Regulations (“model projects”) via two administrative ordinances. One – of which the draft version is known – is to be transferred from the Ministry of Health into the Ministry of Food and Agriculture. A second one will likely define the framework of the model projects. Both are expected after the parliamentary approval of the federal budget in late November 2024.</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considering the enactment of MedCanG and given that we are one of only three manufacturers of medical cannabis in Germany as our wholly owned subsidiary, Aphria RX, was awarded the first license for the cultivation of medical cannabis in Germany by the BfArM under the liberalized regime. Said license will improve our ability to meet the needs of patients and provide cannabis of the utmost quality and enhanced availability to a broader market.</w:t>
      </w:r>
    </w:p>
    <w:p>
      <w:pPr>
        <w:spacing w:after="0" w:line="17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meantime, it is commencing pilot projects in various cities, which permits selected participants to purchase cannabis for adult-use in various pharmacies in order to conduct studies on the cannabis market and its impact on Swiss society. It is the first trial for the legal distribution of adult-use cannabis containing THC in Europe. Switzerland is currently running trials in the cities of Lausanne, Zürich, Liestal, Allschwil, Bern, Bienne, and Lucerne, along with the cantons of Basel-Stadt and Geneva. A new pilot study in the district of canton Zürich has commenced, making it four model projects in total.</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In February 2024, Spain’s Ministry of Health announced that it had started the process to develop a Royal Decree with which it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regulation of medical cannabis. In addition, it launched a public consultation on its proposals for a medical cannabis framework in the country and provided organizations and individual with the opportunity to submit their comments. This process is ongoing.</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over 2,500 patients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enrolled in the experiment, which has been extended for another year and was targeted to end March 2024. Patients who have taken part in the pilot before March 27, 2024, can continue their treatment as previously, but no new patients will be allowed to join the pilot. In October 2023, the government proposed an amendment to the Social Security Financing Bill (PLFSS) adding medical cannabis law to France's general medical framework. Under the new proposals, medical cannabis products will be granted a "temporary authorization" for five years, with a possibility of indefinite renewals. In addition, the French National Medicines Safety Agency (ANSM) recently confirmed that cannabis flower will not be included in its generalized medical marijuana program.</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Czech Republic. </w:t>
      </w:r>
      <w:r>
        <w:rPr>
          <w:rFonts w:ascii="Times New Roman" w:cs="Times New Roman" w:eastAsia="Times New Roman" w:hAnsi="Times New Roman"/>
          <w:sz w:val="18"/>
          <w:szCs w:val="18"/>
          <w:color w:val="auto"/>
        </w:rPr>
        <w:t>The Czech Republic has discussed plans to launch a fully regulated adult-use cannabis market. It is understood that there are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versions of a bill to legalize adult-use cannabis, one with a fully regulated commercial market and one without. These are expected to be submitted to the Czech government to determine which model it will pursue.</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Malta</w:t>
      </w:r>
      <w:r>
        <w:rPr>
          <w:rFonts w:ascii="Times New Roman" w:cs="Times New Roman" w:eastAsia="Times New Roman" w:hAnsi="Times New Roman"/>
          <w:sz w:val="18"/>
          <w:szCs w:val="18"/>
          <w:color w:val="auto"/>
        </w:rPr>
        <w:t>. In 2021, became the first country in the European Union to legalize personal possession of the drug and permit private “cannabis clubs,”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members can grow and share the drug.</w:t>
      </w:r>
    </w:p>
    <w:p>
      <w:pPr>
        <w:spacing w:after="0" w:line="1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Netherlands. </w:t>
      </w:r>
      <w:r>
        <w:rPr>
          <w:rFonts w:ascii="Times New Roman" w:cs="Times New Roman" w:eastAsia="Times New Roman" w:hAnsi="Times New Roman"/>
          <w:sz w:val="18"/>
          <w:szCs w:val="18"/>
          <w:color w:val="auto"/>
        </w:rPr>
        <w:t>The Netherlands launched a pilot program involving the cultivation of cannabis for adult-use. The purpose of the experiment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and how controlled cannabis can be legally supplied to coffeeshops and what the effects of this would be. During the experiment, legally produced cannabis will be sold in coffeeshops in 10 municipalities. Coffeeshops in these municipalities may only sell legally produced cannabis. The term of the experiment is set for four years. On March 5, 2024, the Tweede Kamer, the lower house of Parliament, rejected the bill that aimed to include Amsterdam in the pilot project.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Ukraine. </w:t>
      </w:r>
      <w:r>
        <w:rPr>
          <w:rFonts w:ascii="Times New Roman" w:cs="Times New Roman" w:eastAsia="Times New Roman" w:hAnsi="Times New Roman"/>
          <w:sz w:val="18"/>
          <w:szCs w:val="18"/>
          <w:color w:val="auto"/>
        </w:rPr>
        <w:t>In February 2024, President Zelensky signed the legislation permitting the prescription of cannabis-based medicines for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pain, cancer and PTSD. The distribution of cannabis for recreational purposes is still prohibited, and the government will strictly control the sale and distribution of medical cannabis. Only patients with a prescription from a doctor are able to buy the drug legally, mainly related to the indication of PTSD.</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Manitoba Harvest’s US branded business grew 5.2% in Multi-Outlet consumption during the three months ended August 31, 2024 from the prior year period, further establishing its leading market share position with the brand’s top five customers all seeing growth. The Company continues to focus on value-added innovation within the wellness space with the acquisition of The Humble Seed, a seed-forward cracker company with snacking distribution in key US retailers, along with the launch of two new flavors of BioActive Fiber within the current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three months ended August 31, 2024, we incurred $1.2 million of transaction expenses, discussed further below.</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September 1, 2024, Tilray acquired a portfolio of four craft brands and breweries comprised of Atwater Brewery, Hop Valley Brewing Company, Terrapin Beer Co., and Revolver Brewing from Molson, see Note 27 (Subsequent Events). We expect that this recent acquisition furthers the execution of our beverage strategy and will have positive impacts on our beverage segment leading to increased revenues and whitespace penetration.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results of operations may be affected by economic, political, legislative, regulatory, legal actions, the global volatility and general market disruption resulting from geopolitical tensions, such as Russia's incursion into Ukraine and the ongoing events in the Middle East. Economic conditions, such as recessionary trends, inflation, supply chain disruptions, interest and monetary exchange rates, and government fiscal policies, and the recent banking credit crises can have a significant effect on operations. Accordingly, we could be affected by civil, criminal, environmental, regulatory or administrative actions, claims or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7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(33,766)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(48,599)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net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(55,863)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 to:</w:t>
      </w:r>
    </w:p>
    <w:p>
      <w:pPr>
        <w:spacing w:after="0" w:line="162" w:lineRule="exact"/>
        <w:rPr>
          <w:sz w:val="20"/>
          <w:szCs w:val="20"/>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accounting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these non-GAAP financial measures should be considered in addition to,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Measures to the most directly comparable GAAP financial measures, as well as a discussion of our adjusted gross margin, adjusted gross profit and adjusted EBITDA measures and the calculation of such measures.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55,972</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24,162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70,333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69,157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13,297</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50,517</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61,468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(excluding PPA step-up) (1)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49,302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adjusted gross margin (excluding PPA step-up) (1)</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adjusted gross margin (excluding PPA step-up) (1)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10,734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(1) as at the period ended:</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466,465</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432,334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291,981</w:t>
            </w:r>
          </w:p>
        </w:tc>
      </w:tr>
    </w:tbl>
    <w:p>
      <w:pPr>
        <w:spacing w:after="0" w:line="177" w:lineRule="exact"/>
        <w:rPr>
          <w:sz w:val="20"/>
          <w:szCs w:val="20"/>
          <w:color w:val="auto"/>
        </w:rPr>
      </w:pPr>
    </w:p>
    <w:p>
      <w:pPr>
        <w:jc w:val="both"/>
        <w:ind w:firstLine="8"/>
        <w:spacing w:after="0" w:line="252" w:lineRule="auto"/>
        <w:tabs>
          <w:tab w:leader="none" w:pos="212" w:val="left"/>
        </w:tabs>
        <w:numPr>
          <w:ilvl w:val="0"/>
          <w:numId w:val="9"/>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(excluding PPA step-up) and adjusted gross margin (excluding PPA step-up) for each of our segments, and cash and marketable securities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Use of Non-GAAP Measures” above for a discussion of these Non-GAAP measures and “Reconciliation of Non-GAAP Financial Measures to GAAP Measures” below for a reconciliation of these Non-GAAP Measures to our most comparable GAAP measure </w:t>
      </w:r>
      <w:r>
        <w:rPr>
          <w:rFonts w:ascii="Times New Roman" w:cs="Times New Roman" w:eastAsia="Times New Roman" w:hAnsi="Times New Roman"/>
          <w:sz w:val="16"/>
          <w:szCs w:val="16"/>
          <w:color w:val="auto"/>
        </w:rPr>
        <w:t>and the discussion above captioned “Cash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revenue is comprised of revenues from our beverage alcohol, cannabis, distribution,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70,333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0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413"/>
        </w:trPr>
        <w:tc>
          <w:tcPr>
            <w:tcW w:w="388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7"/>
          <w:szCs w:val="17"/>
          <w:color w:val="auto"/>
        </w:rPr>
        <w:t>Our reporting segment revenue on a constant currency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basis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alcohol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Distribution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55,972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24,162</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31,810</w:t>
            </w:r>
          </w:p>
        </w:tc>
        <w:tc>
          <w:tcPr>
            <w:tcW w:w="132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62,792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70,333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70,396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27,151</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40" w:space="0"/>
            <w:col w:w="5300"/>
          </w:cols>
          <w:pgMar w:left="320" w:top="580" w:right="33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Our geographic revenue is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geographic revenue on a constant currency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basis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63,880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31,489</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32,391</w:t>
            </w:r>
          </w:p>
        </w:tc>
        <w:tc>
          <w:tcPr>
            <w:tcW w:w="132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55,905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79,704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200,044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120" w:type="dxa"/>
            <w:vAlign w:val="bottom"/>
          </w:tcPr>
          <w:p>
            <w:pPr>
              <w:spacing w:after="0"/>
              <w:rPr>
                <w:sz w:val="24"/>
                <w:szCs w:val="24"/>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as reported in constant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63,880</w:t>
            </w:r>
          </w:p>
        </w:tc>
        <w:tc>
          <w:tcPr>
            <w:tcW w:w="220" w:type="dxa"/>
            <w:vAlign w:val="bottom"/>
            <w:gridSpan w:val="2"/>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31,489</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32,391</w:t>
            </w:r>
          </w:p>
        </w:tc>
        <w:tc>
          <w:tcPr>
            <w:tcW w:w="132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57,436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77,429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79,704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27,151</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440" w:space="500"/>
            <w:col w:w="530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6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313,359</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99,921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555,136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558,247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3"/>
        </w:trPr>
        <w:tc>
          <w:tcPr>
            <w:tcW w:w="46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Beverage alcohol revenue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Revenue from our Beverage alcohol operations increased to $56.0 million for the three months ended August 31, 2024, compared to revenue of $24.2 million for the prior year period. The increase during the period was predominantly attributed to our recent Craft Acquisition completed on September 29, 2023 and, thus, was not reflected in the prior year comparison. Specifically, the increase was largely driven by the performance of the newly acquired brands, while our legacy brands have maintained consistent performance throughout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Cannabis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was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71,195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58,806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71,195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820" w:hanging="434"/>
        <w:spacing w:after="0" w:line="236" w:lineRule="auto"/>
        <w:tabs>
          <w:tab w:leader="none" w:pos="820" w:val="left"/>
        </w:tabs>
        <w:numPr>
          <w:ilvl w:val="0"/>
          <w:numId w:val="1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Revenue from Canadian medical cannabis increased to $6.3 million for the three months ended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compared to revenue of $6.1 million for the prior year period. On a constant currency basis, revenue from Canadian medical cannabis was $6.4 million for the three months ended August 31, 2024 compared to revenue of $6.1 million for the prior year period. This increase in revenue from medical cannabis was primarily driven by growth in the insured patient category exceeding the decline in un-insured patient attrition to the adult-use recreational market.</w:t>
      </w:r>
    </w:p>
    <w:p>
      <w:pPr>
        <w:spacing w:after="0" w:line="17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months ended August 31, 2024, our revenue from Canadian adult-use cannabis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to $57.2 million, compared to revenue of $71.2 million for the prior year period. Revenue in the prior year period included $1.5 million in advisory fees which did not repeat during the three months ended August 31, 2024. On a constant currency basis, our revenue from Canadian adult-use cannabis decreased to $58.8 million for the three months ended August 31, 2024. The decrease in adult-use revenue was driven by our renewed focus on preserving gross margin and maintaining a higher average selling price in categories that have experienced a high degree of price compression.</w:t>
      </w:r>
    </w:p>
    <w:p>
      <w:pPr>
        <w:spacing w:after="0" w:line="17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increased to $5.5 million for the three months ended August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of $5.3 million for the prior year period. On a constant currency basis, revenue from wholesale cannabis increased to $5.7 million for the three months ended August 31, 2024 compared to revenue of $5.3 million for the prior year period. Due to the transition to asset-light business models, the Canadian cannabis industry has experienced a reduction in excess inventory resulting in price increases in the B2B market. This shift in market dynamics and demand enabled us to strategically sell inventory that was sought after in the wholesale market during the quarter but does not meet the high standard of our branded product. In the near-term future, we anticipate continued volatility and fluctuation in the wholesale market, and we will assess market conditions on a quarterly basis.</w:t>
      </w:r>
    </w:p>
    <w:p>
      <w:pPr>
        <w:spacing w:after="0" w:line="183"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decreased to $12.2 million for the three months ended August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revenue of $14.3 million for the prior year period. On a constant currency basis, given the changes in the Euro against the U.S. Dollar when compared to the prior year quarter, revenue from international cannabis was $12.4 million compared to $14.3 million in the prior year period. The decrease in the period was driven in part by the extended time periods to receive import and export permits in Europe, which resulted in variability on a quarterly basis and, to a larger extent, lower revenue in Australia driven by certain regulatory actions on certain prescribers.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distribution decreased to $68.1 million for the three months ended August 31, 2024, compared to revenue of $69.2 million for the prior year period. On a constant currency basis, given the change in the Euro and Argentine Peso against the U.S. Dollar in the quarter, revenue from Distribution increased to $70.4 million for the three months ended August 31, 2024 compared to $69.2 million for the prior year period. The decrease in revenue was attributed to the effects of foreign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Wellness revenue showed strong growth delivering $14.8 million for the three months ended August 31, 2024 compared to $13.3 million from the prior year period. On a constant currency basis for the three months ended August 31, 2024, Wellness revenue increased to $14.9 million from $13.3 million. The increase in revenue was primarily attributed to our strategic focus on continued innovations and strong organic growth within our branded hemp business related to higher consumption.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gross profit and gross margin for the three months ended August 31, 2024 and August 31, 2023,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Beverage alcohol</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31,810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11,266</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21,784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12,896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10,026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13,486</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9,611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5780" w:type="dxa"/>
            <w:vAlign w:val="bottom"/>
            <w:tcBorders>
              <w:top w:val="single" w:sz="8" w:color="CCEEFF"/>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Cannabis</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61,249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70,333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50,517</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19,816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4,379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24,332</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197"/>
        </w:trPr>
        <w:tc>
          <w:tcPr>
            <w:tcW w:w="578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69,157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61,468</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7,689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780" w:type="dxa"/>
            <w:vAlign w:val="bottom"/>
            <w:shd w:val="clear" w:color="auto" w:fill="CCEEFF"/>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Wellness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13,297</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3,795</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197"/>
        </w:trPr>
        <w:tc>
          <w:tcPr>
            <w:tcW w:w="5780" w:type="dxa"/>
            <w:vAlign w:val="bottom"/>
            <w:tcBorders>
              <w:top w:val="single" w:sz="8" w:color="CCEEFF"/>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200,044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176,949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23,095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132,753</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7,585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44,196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15,510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(4,931)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49,302</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10,579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41% for the three months ended August 31, 2024 decreased from 53% in the prior year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gross margin of 41% for the three months ended August 31, 2024 decreased from 56% in the prior year period. The decrease in the adjusted beverage alcohol gross margin during the three months ended August 31, 2024 was a result of the newly acquired brands in our Craft Acquisition, which have lower margins than our historical business. We are continuing to manage the temporary excess capacity within the acquired breweries, which have already begun seeing optimization and enhanced utilization as well as favorable sales mix. As a result of the seasonality of our beverage business, our third quarter ended February 29, 2024 is our most comparable period reflecting the newly acquired craft brands, to which we improved gross margin by 300 basis points for the aforementioned reasons.</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increased during the three months ended August 31, 2024 to 40% from 28% in the prior year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impact of the non-cash fair value purchase price accounting step-up, adjusted gross margin during the three months ended August 31, 2024 increased to 40% from 35% in the prior year period. The increase in the adjusted gross margin for the three months ended August 31, 2024 was driven by our international cannabis revenue as well as a continued focus on maintaining a higher average selling price and selling a favorable product mix to improve gross margins in Canada. Additionally, the prior year period also included $1.5 million of HEXO advisory services revenue, which did not recur in the current year period.</w:t>
      </w:r>
    </w:p>
    <w:p>
      <w:pPr>
        <w:spacing w:after="0" w:line="182"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increased to 12% for the three months ended August 31, 2024 from 11% for the prior year period,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attributed to favorable product mix as we continued to prioritize higher margin product offerings.</w:t>
      </w:r>
    </w:p>
    <w:p>
      <w:pPr>
        <w:spacing w:after="0" w:line="158"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increased to 32% for the three months ended August 31, 2024 from 29% from the prior year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three month period was a result of strong operational efficiency, combined with a change in sales mix towards higher margin product offering.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selling, amortization, marketing and promotion, research and development, change in fair value of contingent consideration, other than temporary change in fair value of convertible notes receivable, litigation costs, net of recoveries, restructuring costs and transaction (income) costs, net. These costs increased by $17.7 million to $96.3 million for the three months ended August 31, 2024 as compared to $78.6 million for the prior year period. These changes period over period are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2024, the changes in general and administrative costs when compared to the prior year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Salaries and wages increased by 29% during the three months ended August 31, 2024. The increase was primarily due to the inclusion of newly acquired craft beverage portfolio, which were not in the prior year period.</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Office and general increased by 13% during the three months ended August 31, 2024. This increase was driven by the acquisition of the newly acquired craft beverage portfolio.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expense of $6.9 million for the three months ended August 31, 2024 compared to $8.3 million for the prior year period. Stock based compensation expense is based on the time-based vesting schedules and varies according to the assumptions used in the vesting model. During the three months ended August 31, 2024, as a result of previously issued stock options, restricted stock units (“RSUs”) and stock appreciation rights (“SARs”) under Tilray 2018 Equity Incentive Plan and Original Plan, as described in the Annual Report on the May 31, 2024 Form 10-K, that have fully vested, stock-based compensation decreased period over period.</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Insurance expense decreased by 36% for the three months ended August 31, 2024 to $2.5 million from $3.8 million for the prior year period. The decrease for the three months ended August 31, 2024 was driven by lower premiums, offset by the additional polices required for our newly acquired beverage alcohol business portfolio.</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Rent expense increased by 48% for the three months ended August 31, 2024 to $1.3 million from $0.9 million for the prior year period. This increase was driven by the acquisition of the newly acquired beverage alcohol business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For the three months ended August 31, 2024, the Company incurred selling costs of $11.7 million and or 5.8% of net revenue as compared to $6.9 million and 3.9% of net revenue in the prior year period. These costs relate to third-party shipping costs for all segments, with the majority of the selling costs relating to distributor commission incurred by the cannabis segment, Health Canada cannabis fees, and patient acquisition and maintenance costs. Patient acquisition and ongoing patient maintenance costs including funding to individual clinics to assist with additional costs incurred by such clinics for the education of patients using the Company’s products. The three month increase for the period ended August 31, 2024 is predominately due to the acquisition of the newly acquired craft beverage portfolio, which did not occur in the prior year period. Additionally, in the period ended August 31, 2023, the Company received a refund of $1.2 million on cannabis selling fees related to an amended fee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$21.8 million for the three months ended August 31, 2024 compared to $22.2 million in the prior year period. The three month decrease was driven by the assets acquired from craft beverage acquisition, offset by the assets that are held for sale and are no longer depreciated, see Note 3 (Capital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2024, the Company incurred marketing and promotion costs of $11.6 million as compared to $8.5 million for the prior year period, which is due to the acquisition of the newly acquired craft beverage portfolio and quarterly variability in discretionary marketing.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costs were $0.1 million during the three months ended August 31, 2024 compared to $0.1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relate to external costs associated with the development of new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25 (Fair value measurements). During the three months ended August 31, 2024, the Company recognized $nil change in fair value of contingent consideration as there were no changes to the likelihood achievement for Montauk Brewing compared to a loss of $11.1 million in the prior year period for the contingent consideration from the SweetWater acquisition as a result of not achieving the earnout targets.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August 31, 2024, the Company recorded $1.6 million of litigation settlements costs and third-party fees incurred in defending these claims, net of favorable recoveries. This quarterly amount in 2024 decreased compared to $2.0 million for the period ended August, 31 2023. The decrease is related to period-to-period variability as litigation costs and expenses are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non-recurring restructuring and exit costs associated with the integration efforts of these transactions. For the three months ended August 31, 2024, the Company incurred $4.2 million of restructuring costs compared to $0.9 million for the prior year period.</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Within the Cannabis segment, restructuring costs predominantly related to the HEXO acquisition-related charges, which are expected to take place within 24 months from the acquisition date. In the three months ended August 31, 2024 we recognized $2.6 million of employee termination benefits and costs for the conversion from cannabis to produce at HEXO's Quebec cultivation facility (which is currently held for sale), the optimization of our Redecan facilities and $0.3 million of restructuring charges related to the remaining costs of exiting the Truss facility following its sale to a third party in the previous fiscal year ended May 31, 2024. Additionally, the Company recognized $0.1 million of cost associated with winding down the Fort Collins, CO warehouse currently held for sale.</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Within the Beverage alcohol segment, the Company recognized $0.1 million of employee termination benefits through the integration of the Craft acquisition.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Distribution segment, the Company recognized $0.1 million of restructuring charges for its Argentinean pharmacy business.</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Lastly, for the three months ended August 31, 2024, the Company recognized $1.1 million of cost associated with the investment held in Superhero (SH) as a result of MedMen’s ongoing restructuring or liquidation undertakings.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The three months ended August 31, 2024 decrease of 86% from the prior year period was a result of the HEXO and Truss acquisitions taking place in the previous year which did not recur. The expenses incurred in the current period largely related the acquisition of the four craft beer brands and breweries from Molson that was completed subsequent to the quarter end, see Note 27 (Subsequent Events).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(expense), net income was comprised of:</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w:t>
            </w:r>
          </w:p>
        </w:tc>
        <w:tc>
          <w:tcPr>
            <w:tcW w:w="9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5" w:name="page46"/>
    <w:bookmarkEnd w:id="45"/>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For the three months ended August 31, 2024, the Company recognized a change in fair value of its convertible debentures payable of $nil million compared to ($2.1) million in the prior year period. The change was driven primarily by the settlement of APHA 24 convertible debenture upon maturity. Additionally, for the three months ended August 31, 2024, the Company recognized a change in fair value of its warrants, resulting in a gain of $0.7 million compared to a loss of ($8.2) million as a result of the change in our share price and the exercise price of the instrument. For the three months ended August 31, 2024, the Company recognized a gain of $11.9 million resulting from the changes in foreign exchange rates during the period compared a gain of $6.3 million for the prior 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impairments, other than temporary change in fair value of convertible notes receivable, restructuring costs, transaction (income) costs net, litigation costs net of recoveries, change in fair value of contingent consideration, unrealized currency gains and losses and other adjustments.</w:t>
      </w:r>
    </w:p>
    <w:p>
      <w:pPr>
        <w:spacing w:after="0" w:line="183"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included lease expenses for leases that were treated differently under IFRS 16 and ASC 842 Leases in the calculation of adjusted EBITDA, aiming to align our definition with industry peers reporting under IFRS. The decision to include these lease expenses in the Company's definition of adjusted EBITDA was based on our efforts to maintain comparability with peers. However, as the Company has continued to diversify, particularly with strategic acquisitions such as the newly acquired beverage alcohol business portfolio, this comparison is no longer relevant, accordingly, we are no longer including this adjustment.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previous reconciliation, when the Company had continued to include lease expenses that were treated differently under IFRS 16 and ASC 842, the impact to adjusted EBITDA was $0.7 million for the three months ended August 31, 2023.</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For three months ended August 31, 2024, adjusted EBITDA decreased to $9.3 million compared to $10.7 million for the prior year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start-up and closure costs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(income)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3"/>
        </w:trPr>
        <w:tc>
          <w:tcPr>
            <w:tcW w:w="450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7" w:name="page48"/>
    <w:bookmarkEnd w:id="47"/>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other than temporary write-down of convertible notes receivable,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includes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PPA valuation step-up) and adjusted gross margin is our Gross margin (adjusted to exclude PPA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the short and long term outlook.</w:t>
      </w:r>
    </w:p>
    <w:p>
      <w:pPr>
        <w:spacing w:after="0" w:line="176"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Additionally, the Company continues to invest our excess cash in the short-term in marketable securities which are comprised of U.S. treasury bills, term deposits with major Canadian, European and Australian banks.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are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(“TD Securities”) and Jefferies LLC (“Jefferies”) in connection with an aggregate offering value of up to $250 million from time to time through an at-the-market equity program (“ATM Program”). During the three months ended August 31, 2024, the Company issued 36,693,307 shares under its At-the-Market (“ATM”) program generating gross proceeds of $68.3 million. The Company paid $1.8 million in commissions and other fees associated with these issuances generating net proceeds of $66.5 million. See Note 27 (Subsequent events) for additional transactions. The Company intends to use net proceeds from the ATM Program to fund strategic and accretive acquisitions or investments in businesses, including potential acquisitions of assets in the U.S. and internationally in order to capitalize on expected regulatory advancements or expansion opportunities.</w:t>
      </w:r>
    </w:p>
    <w:p>
      <w:pPr>
        <w:spacing w:after="0" w:line="18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Additionally, we are committed to optimizing our capital structure and enhancing financial flexibility as we intend to continue to opportunistically purchase or exchange equity for the TLRY 27 Notes prior to their underlying maturity date in June 2027. See Note 27 (Subsequent events) for additional transactions.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(35,307)</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(15,842)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(26,290)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205,186</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179,132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466,465</w:t>
            </w:r>
          </w:p>
        </w:tc>
        <w:tc>
          <w:tcPr>
            <w:tcW w:w="100" w:type="dxa"/>
            <w:vAlign w:val="bottom"/>
          </w:tcPr>
          <w:p>
            <w:pPr>
              <w:spacing w:after="0"/>
              <w:rPr>
                <w:sz w:val="18"/>
                <w:szCs w:val="18"/>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change in net cash used in operating activities was ($35.3) million for three months ended August 31, 2024 compared to ($15.8) million for the prior year period and was a result of additional working capital requirements as we continued to scale up our operations.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($49.4) million for three months ended August 31, 2024 compared to ($26.3) million for the prior year period, and was a result of the sale of marketable securities in the current period, while the prior year period included cash provided from the HEXO and Truss acquisitions.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cash provided by financing activities was $60.6 million for three months ended August 31, 2024 compared to $14.0 million for the prior year period. In the current period, cash was provided by funds from the ATM program that did not occur in the prior year period. Additionally, in the prior year period ended, August 31, 2023, the Company also received proceeds of $21.6 million for the overallotment issuance of TLRY 27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27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from those addressed in the Company’s Annual Report on Form 10-K for the fiscal year ended May 31, 2024 during the three months ended August 31, 2024. See the information set forth in Part II, Item 7A, Quantitative and Qualitative Disclosures About Market Risk, of the Company’s Annual Report on Form 10-K for the fiscal year ended May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August 31, 2024,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our recently acquired businesses including: the portfolio of craft beer brands, assets and businesses comprising eight beer and beverage brands, acquired on September 29, 2023 in the Craft Acquisition. The acquired businesses represented 3.5% of our consolidated assets and 13.3% of our consolidated net revenues as of and for the three months ended August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the eight beer and beverage brands on September 29, 2023. The Company is in the process of reviewing the internal control structure of the eight beer and, beverage brands and if necessary, will make appropriate changes as it integrates them into the Company’s overall internal control over financial reporting process.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2024 includes a discussion of our legal proceedings. There have been no material changes from the legal proceedings described in our Form 10-K, except with respect to the matters disclosed and incorporated herein by reference to Note 19 (Commitments and contingencies),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2024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HEXO arrangement and the Craft brands acquisitions.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recognize significant impairments in the carrying value of our investment in the MedMen secured convertible notes as a result of MedMen’s potential restructuring or liquidation undertakings.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including Delta 9 beverages,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Brewing, Breckenridge Distillery, Montauk Brewing and our recently-acquired craft beer brands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91" w:orient="portrait"/>
          <w:cols w:equalWidth="0" w:num="1">
            <w:col w:w="11240"/>
          </w:cols>
          <w:pgMar w:left="320" w:top="576" w:right="339" w:bottom="0"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2024, the Board of Directors of the Company approved fiscal year 2025 retention payments to the Company’s senior executives (the “Executives”) in the amounts set forth in the Company’s Annual Report on Form 10-K, filed on July 30, 2024. The retention payments were made in August 2024 pursuant to a form of “Executive Retention Agreements” entered into with each senior executive.</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amended and restated its form of “Executive Retention Agreements” on August 15, 2024. Pursuant to the terms of amended Executive Retention Agreement, such retention payments require continued employment for a period of time that was amended to commence on August 15, 2024, and continuing through the extended period of August 31, 2025 (the “Repayment Period”). If the Executive terminates employment without Good Reason or is terminated by the Company for Cause (both terms as defined in the Executive’s employment agreements) prior to August 31, 2025, then such Executive must repay a pro-rated portion of the retention payment based on the number of days not employed by the Company during the Repayment Period. A copy of the form of amended and restated Executive Retention Agreement is filed as an exhibit to this Form 10-Q.</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Amended and Restated 2024 Form of Executive Retention Agreement</w:t>
            </w:r>
            <w:r>
              <w:rPr>
                <w:rFonts w:ascii="Times New Roman" w:cs="Times New Roman" w:eastAsia="Times New Roman" w:hAnsi="Times New Roman"/>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Promissory note in the amount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23,791,657 payable by Aphria Diamond Inc</w:t>
            </w:r>
            <w:r>
              <w:rPr>
                <w:rFonts w:ascii="Times New Roman" w:cs="Times New Roman" w:eastAsia="Times New Roman" w:hAnsi="Times New Roman"/>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00" w:type="dxa"/>
            <w:vAlign w:val="bottom"/>
            <w:gridSpan w:val="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August 31, 2024, formatted in</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7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445 Park Avenue</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2024</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445 Park Ave.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Incentive Payment; Retention Terms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Dear [Executive name]:</w:t>
      </w:r>
    </w:p>
    <w:p>
      <w:pPr>
        <w:spacing w:after="0" w:line="221" w:lineRule="exact"/>
        <w:rPr>
          <w:sz w:val="20"/>
          <w:szCs w:val="20"/>
          <w:color w:val="auto"/>
        </w:rPr>
      </w:pPr>
    </w:p>
    <w:p>
      <w:pPr>
        <w:ind w:left="8" w:right="380"/>
        <w:spacing w:after="0" w:line="286" w:lineRule="auto"/>
        <w:rPr>
          <w:sz w:val="20"/>
          <w:szCs w:val="20"/>
          <w:color w:val="auto"/>
        </w:rPr>
      </w:pPr>
      <w:r>
        <w:rPr>
          <w:rFonts w:ascii="Times New Roman" w:cs="Times New Roman" w:eastAsia="Times New Roman" w:hAnsi="Times New Roman"/>
          <w:sz w:val="18"/>
          <w:szCs w:val="18"/>
          <w:color w:val="auto"/>
        </w:rPr>
        <w:t>Reference is made to that certain FY 2025 retention payment to be made to you by Tilray Brands,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on or about August 16, 2024, in an amount equal to $[___] (the “</w:t>
      </w:r>
      <w:r>
        <w:rPr>
          <w:rFonts w:ascii="Times New Roman" w:cs="Times New Roman" w:eastAsia="Times New Roman" w:hAnsi="Times New Roman"/>
          <w:sz w:val="18"/>
          <w:szCs w:val="18"/>
          <w:b w:val="1"/>
          <w:bCs w:val="1"/>
          <w:color w:val="auto"/>
        </w:rPr>
        <w:t>FY 2025 Retention Bonus</w:t>
      </w:r>
      <w:r>
        <w:rPr>
          <w:rFonts w:ascii="Times New Roman" w:cs="Times New Roman" w:eastAsia="Times New Roman" w:hAnsi="Times New Roman"/>
          <w:sz w:val="18"/>
          <w:szCs w:val="18"/>
          <w:color w:val="auto"/>
        </w:rPr>
        <w:t>”), less applicable tax and other withholdings.</w:t>
      </w:r>
    </w:p>
    <w:p>
      <w:pPr>
        <w:spacing w:after="0" w:line="155" w:lineRule="exact"/>
        <w:rPr>
          <w:sz w:val="20"/>
          <w:szCs w:val="20"/>
          <w:color w:val="auto"/>
        </w:rPr>
      </w:pPr>
    </w:p>
    <w:p>
      <w:pPr>
        <w:ind w:left="8" w:right="80" w:hanging="8"/>
        <w:spacing w:after="0" w:line="259"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 Obligation</w:t>
      </w:r>
      <w:r>
        <w:rPr>
          <w:rFonts w:ascii="Times New Roman" w:cs="Times New Roman" w:eastAsia="Times New Roman" w:hAnsi="Times New Roman"/>
          <w:sz w:val="18"/>
          <w:szCs w:val="18"/>
          <w:color w:val="auto"/>
        </w:rPr>
        <w:t>. By your acceptance of the FY 2025 Retention Bonus, you hereby agree that if (i) you voluntarily resign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Tilray without “Good Reason” (as the same is defined in your employment agreement) prior to August 31, 2025, or (ii) you are terminated by Tilray for “Cause” (as the same is defined in your employment agreement) prior to August 31, 2025, then you shall be required to repay to Tilray the net-after tax amount of the FY 2025 Retention Bonus, pro-rated for the time employed during the repayment period (the “</w:t>
      </w:r>
      <w:r>
        <w:rPr>
          <w:rFonts w:ascii="Times New Roman" w:cs="Times New Roman" w:eastAsia="Times New Roman" w:hAnsi="Times New Roman"/>
          <w:sz w:val="18"/>
          <w:szCs w:val="18"/>
          <w:b w:val="1"/>
          <w:bCs w:val="1"/>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Repayment Amount will be due and payable to the Company within 10 days of your last date of employment with the Company.</w:t>
      </w:r>
    </w:p>
    <w:p>
      <w:pPr>
        <w:spacing w:after="0" w:line="179" w:lineRule="exact"/>
        <w:rPr>
          <w:rFonts w:ascii="Times New Roman" w:cs="Times New Roman" w:eastAsia="Times New Roman" w:hAnsi="Times New Roman"/>
          <w:sz w:val="18"/>
          <w:szCs w:val="18"/>
          <w:color w:val="auto"/>
        </w:rPr>
      </w:pPr>
    </w:p>
    <w:p>
      <w:pPr>
        <w:ind w:left="8" w:right="620" w:hanging="8"/>
        <w:spacing w:after="0" w:line="286"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color w:val="auto"/>
        </w:rPr>
        <w:t>. This letter, and all of your or Tilray’s respective rights hereunder, shall not be assignable or delegable by either of us.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purported assignment or delegation by either of us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w:t>
      </w:r>
    </w:p>
    <w:p>
      <w:pPr>
        <w:spacing w:after="0" w:line="154" w:lineRule="exact"/>
        <w:rPr>
          <w:rFonts w:ascii="Times New Roman" w:cs="Times New Roman" w:eastAsia="Times New Roman" w:hAnsi="Times New Roman"/>
          <w:sz w:val="18"/>
          <w:szCs w:val="18"/>
          <w:color w:val="auto"/>
        </w:rPr>
      </w:pPr>
    </w:p>
    <w:p>
      <w:pPr>
        <w:ind w:left="8" w:right="700" w:hanging="8"/>
        <w:spacing w:after="0" w:line="286"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Binding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shall inure to the benefit of and be binding upon personal or legal representatives,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heirs, distributees, devisees and legatees.</w:t>
      </w:r>
    </w:p>
    <w:p>
      <w:pPr>
        <w:spacing w:after="0" w:line="154" w:lineRule="exact"/>
        <w:rPr>
          <w:rFonts w:ascii="Times New Roman" w:cs="Times New Roman" w:eastAsia="Times New Roman" w:hAnsi="Times New Roman"/>
          <w:sz w:val="18"/>
          <w:szCs w:val="18"/>
          <w:color w:val="auto"/>
        </w:rPr>
      </w:pPr>
    </w:p>
    <w:p>
      <w:pPr>
        <w:ind w:left="8" w:right="140" w:hanging="8"/>
        <w:spacing w:after="0" w:line="286"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Tilray will be authorized to withhold from the FY 2025 Retention Bonus the amount of any applicable federal, state and local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required to be withheld pursuant to any applicable law or regulation.</w:t>
      </w:r>
    </w:p>
    <w:p>
      <w:pPr>
        <w:spacing w:after="0" w:line="154" w:lineRule="exact"/>
        <w:rPr>
          <w:rFonts w:ascii="Times New Roman" w:cs="Times New Roman" w:eastAsia="Times New Roman" w:hAnsi="Times New Roman"/>
          <w:sz w:val="18"/>
          <w:szCs w:val="18"/>
          <w:color w:val="auto"/>
        </w:rPr>
      </w:pPr>
    </w:p>
    <w:p>
      <w:pPr>
        <w:ind w:left="8" w:right="60" w:hanging="8"/>
        <w:spacing w:after="0" w:line="286"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Employment or Other Benefits</w:t>
      </w:r>
      <w:r>
        <w:rPr>
          <w:rFonts w:ascii="Times New Roman" w:cs="Times New Roman" w:eastAsia="Times New Roman" w:hAnsi="Times New Roman"/>
          <w:sz w:val="18"/>
          <w:szCs w:val="18"/>
          <w:color w:val="auto"/>
        </w:rPr>
        <w:t>. This letter will not be construed as giving you the right to be retained in the employ of Tilray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or affiliates.</w:t>
      </w:r>
    </w:p>
    <w:p>
      <w:pPr>
        <w:spacing w:after="0" w:line="154" w:lineRule="exact"/>
        <w:rPr>
          <w:rFonts w:ascii="Times New Roman" w:cs="Times New Roman" w:eastAsia="Times New Roman" w:hAnsi="Times New Roman"/>
          <w:sz w:val="18"/>
          <w:szCs w:val="18"/>
          <w:color w:val="auto"/>
        </w:rPr>
      </w:pPr>
    </w:p>
    <w:p>
      <w:pPr>
        <w:ind w:left="8" w:right="80" w:hanging="8"/>
        <w:spacing w:after="0" w:line="286"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letter and the documents referenced herein constitute the entire agreement between Tilray and you concerning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w:t>
      </w:r>
    </w:p>
    <w:p>
      <w:pPr>
        <w:spacing w:after="0" w:line="154" w:lineRule="exact"/>
        <w:rPr>
          <w:rFonts w:ascii="Times New Roman" w:cs="Times New Roman" w:eastAsia="Times New Roman" w:hAnsi="Times New Roman"/>
          <w:sz w:val="18"/>
          <w:szCs w:val="18"/>
          <w:color w:val="auto"/>
        </w:rPr>
      </w:pPr>
    </w:p>
    <w:p>
      <w:pPr>
        <w:ind w:left="8" w:right="180" w:hanging="8"/>
        <w:spacing w:after="0" w:line="262"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Internal Revenue Code</w:t>
      </w:r>
      <w:r>
        <w:rPr>
          <w:rFonts w:ascii="Times New Roman" w:cs="Times New Roman" w:eastAsia="Times New Roman" w:hAnsi="Times New Roman"/>
          <w:sz w:val="18"/>
          <w:szCs w:val="18"/>
          <w:color w:val="auto"/>
        </w:rPr>
        <w:t>. Tilray intends that this payment made pursuant to this letter be exempt from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Code of 1986, as amended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under the short-term deferral exception under Treas. Reg. Section 1.409A - 1(b)(4). However, if any amount paid under this letter is determined to be “non-qualified deferred compensation” within the meaning of Section 409A, then this letter will be interpreted or reformed in the manner necessary to achieve compliance with Section 409A.</w:t>
      </w:r>
    </w:p>
    <w:p>
      <w:pPr>
        <w:spacing w:after="0" w:line="176" w:lineRule="exact"/>
        <w:rPr>
          <w:rFonts w:ascii="Times New Roman" w:cs="Times New Roman" w:eastAsia="Times New Roman" w:hAnsi="Times New Roman"/>
          <w:sz w:val="18"/>
          <w:szCs w:val="18"/>
          <w:color w:val="auto"/>
        </w:rPr>
      </w:pPr>
    </w:p>
    <w:p>
      <w:pPr>
        <w:ind w:left="8" w:right="60" w:hanging="8"/>
        <w:spacing w:after="0" w:line="268" w:lineRule="auto"/>
        <w:tabs>
          <w:tab w:leader="none" w:pos="4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Counterparts</w:t>
      </w:r>
      <w:r>
        <w:rPr>
          <w:rFonts w:ascii="Times New Roman" w:cs="Times New Roman" w:eastAsia="Times New Roman" w:hAnsi="Times New Roman"/>
          <w:sz w:val="18"/>
          <w:szCs w:val="18"/>
          <w:color w:val="auto"/>
        </w:rPr>
        <w:t>. The validity, construction, and effect of this letter will be determined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without reference to principles of conflict of laws. This letter may be signed in counterparts, each of which shall be an original, with the same effect as if the signatures thereto and hereto were upon the same instrument.</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We look forward to your acceptance of the terms set forth herein, which you can indicate by promptly signing below.</w:t>
      </w: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00" w:lineRule="exact"/>
        <w:rPr>
          <w:sz w:val="20"/>
          <w:szCs w:val="20"/>
          <w:color w:val="auto"/>
        </w:rPr>
      </w:pPr>
    </w:p>
    <w:p>
      <w:pPr>
        <w:spacing w:after="0" w:line="2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0" w:lineRule="exact"/>
        <w:rPr>
          <w:sz w:val="20"/>
          <w:szCs w:val="20"/>
          <w:color w:val="auto"/>
        </w:rPr>
      </w:pPr>
    </w:p>
    <w:p>
      <w:pPr>
        <w:spacing w:after="0" w:line="2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Name: [Executive name]</w:t>
      </w:r>
    </w:p>
    <w:p>
      <w:pPr>
        <w:sectPr>
          <w:pgSz w:w="11900" w:h="16838" w:orient="portrait"/>
          <w:cols w:equalWidth="0" w:num="1">
            <w:col w:w="11088"/>
          </w:cols>
          <w:pgMar w:left="472"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 INTEREST-BEARING DEMAND</w:t>
      </w:r>
    </w:p>
    <w:p>
      <w:pPr>
        <w:spacing w:after="0" w:line="207" w:lineRule="exact"/>
        <w:rPr>
          <w:sz w:val="20"/>
          <w:szCs w:val="20"/>
          <w:color w:val="auto"/>
        </w:rPr>
      </w:pPr>
    </w:p>
    <w:p>
      <w:pPr>
        <w:ind w:left="160"/>
        <w:spacing w:after="0"/>
        <w:tabs>
          <w:tab w:leader="none" w:pos="6800" w:val="left"/>
        </w:tabs>
        <w:rPr>
          <w:sz w:val="20"/>
          <w:szCs w:val="20"/>
          <w:color w:val="auto"/>
        </w:rPr>
      </w:pPr>
      <w:r>
        <w:rPr>
          <w:rFonts w:ascii="Times New Roman" w:cs="Times New Roman" w:eastAsia="Times New Roman" w:hAnsi="Times New Roman"/>
          <w:sz w:val="18"/>
          <w:szCs w:val="18"/>
          <w:color w:val="auto"/>
        </w:rPr>
        <w:t>Amount: USD $23,791,657</w:t>
      </w:r>
      <w:r>
        <w:rPr>
          <w:sz w:val="20"/>
          <w:szCs w:val="20"/>
          <w:color w:val="auto"/>
        </w:rPr>
        <w:tab/>
      </w:r>
      <w:r>
        <w:rPr>
          <w:rFonts w:ascii="Times New Roman" w:cs="Times New Roman" w:eastAsia="Times New Roman" w:hAnsi="Times New Roman"/>
          <w:sz w:val="17"/>
          <w:szCs w:val="17"/>
          <w:color w:val="auto"/>
        </w:rPr>
        <w:t>Due: On Demand</w:t>
      </w:r>
    </w:p>
    <w:p>
      <w:pPr>
        <w:spacing w:after="0" w:line="221" w:lineRule="exact"/>
        <w:rPr>
          <w:sz w:val="20"/>
          <w:szCs w:val="20"/>
          <w:color w:val="auto"/>
        </w:rPr>
      </w:pPr>
    </w:p>
    <w:p>
      <w:pPr>
        <w:ind w:left="16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undersigned, Aphria Diamond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acknowledges itself indebted to and unconditionally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to the order of Double Diamond Holdings Ltd.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the principal amount of USD $23,791,657 without interest, ON DEMAND. The Corporation may at any time, without notice, bonus or penalty, pay all or part of the amount outstanding under the promissory note. This promissory note is non-assignable and non- transferable without the prior written consent of the Corporation.</w:t>
      </w:r>
    </w:p>
    <w:p>
      <w:pPr>
        <w:spacing w:after="0" w:line="3" w:lineRule="exact"/>
        <w:rPr>
          <w:sz w:val="20"/>
          <w:szCs w:val="20"/>
          <w:color w:val="auto"/>
        </w:rPr>
      </w:pPr>
    </w:p>
    <w:p>
      <w:pPr>
        <w:ind w:left="160" w:right="500"/>
        <w:spacing w:after="0" w:line="250" w:lineRule="auto"/>
        <w:rPr>
          <w:sz w:val="20"/>
          <w:szCs w:val="20"/>
          <w:color w:val="auto"/>
        </w:rPr>
      </w:pPr>
      <w:r>
        <w:rPr>
          <w:rFonts w:ascii="Times New Roman" w:cs="Times New Roman" w:eastAsia="Times New Roman" w:hAnsi="Times New Roman"/>
          <w:sz w:val="18"/>
          <w:szCs w:val="18"/>
          <w:color w:val="auto"/>
        </w:rPr>
        <w:t>This promissory note is issued pursuant to and shall be interpreted and enforced in accordance with, and the obligations of the Corporation shall be governed by, the laws of the Province of Ontario and the federal laws of Canada applicable therein.</w:t>
      </w:r>
    </w:p>
    <w:p>
      <w:pPr>
        <w:spacing w:after="0" w:line="1" w:lineRule="exact"/>
        <w:rPr>
          <w:sz w:val="20"/>
          <w:szCs w:val="20"/>
          <w:color w:val="auto"/>
        </w:rPr>
      </w:pPr>
    </w:p>
    <w:p>
      <w:pPr>
        <w:ind w:left="160" w:right="200"/>
        <w:spacing w:after="0" w:line="260" w:lineRule="auto"/>
        <w:rPr>
          <w:sz w:val="20"/>
          <w:szCs w:val="20"/>
          <w:color w:val="auto"/>
        </w:rPr>
      </w:pPr>
      <w:r>
        <w:rPr>
          <w:rFonts w:ascii="Times New Roman" w:cs="Times New Roman" w:eastAsia="Times New Roman" w:hAnsi="Times New Roman"/>
          <w:sz w:val="18"/>
          <w:szCs w:val="18"/>
          <w:color w:val="auto"/>
        </w:rPr>
        <w:t>The Corporation hereby waives presentment for payment, notice of dishonour, protest and notice of protest, bringing of suit and diligence in taking any action.</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duly executed and delivered this promissory note.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as of September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APHRIA DIAMOND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Signing Officer</w:t>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August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August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upperLetter"/>
      <w:start w:val="29"/>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2024-10-10T16:25:40Z</dcterms:created>
  <dcterms:modified xsi:type="dcterms:W3CDTF">2024-10-10T16:25:40Z</dcterms:modified>
</cp:coreProperties>
</file>