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SIMON IRWIN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TILRAY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265 TALBOT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N8H 4H3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Tilray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TLRY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51"/>
        <w:gridCol w:w="440"/>
        <w:gridCol w:w="659"/>
        <w:gridCol w:w="1306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706,216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</w:t>
            </w:r>
            <w:r>
              <w:rPr/>
              <w:t xml:space="preserve"> 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5,200,788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374,295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0.58</w:t>
            </w:r>
            <w:r>
              <w:rPr/>
              <w:t xml:space="preserve"> 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4,826,493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1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1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Restricted Stock Units ("2022 PSUs")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353,108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706,216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26, 2022, the reporting person was granted 1,412,429 of 2022 PSUs, with vesting subject to the achievement of certain pre-established performance parameters relating to the aggregate EBITDA generated from the HEXO transaction. The underlying performance condition was satisfied, and 353,108 units vested on July 31,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includes shares of Common Stock beneficially owned by the reporting person but excludes other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withheld by the Company to satisfy the tax withholding obligation associated with the vesting of 353,108 of 2022 PSUs previously granted on June 26,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unit represents a contingent right to receive one (1) share of Tilray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Carl A. Merton, as Attorney-in-Fact for Irwin D Simon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22748" TargetMode="External"/><Relationship Id="rId5" Type="http://schemas.openxmlformats.org/officeDocument/2006/relationships/hyperlink" Target="http://www.sec.gov/cgi-bin/browse-edgar?action=getcompany&amp;CIK=00017313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709</Words>
  <Characters>3848</Characters>
  <CharactersWithSpaces>4482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