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4"/>
          <w:szCs w:val="24"/>
          <w:b w:val="1"/>
          <w:bCs w:val="1"/>
          <w:color w:val="auto"/>
        </w:rPr>
        <w:drawing>
          <wp:anchor simplePos="0" relativeHeight="251657728" behindDoc="1" locked="0" layoutInCell="0" allowOverlap="1">
            <wp:simplePos x="0" y="0"/>
            <wp:positionH relativeFrom="page">
              <wp:posOffset>203835</wp:posOffset>
            </wp:positionH>
            <wp:positionV relativeFrom="page">
              <wp:posOffset>153035</wp:posOffset>
            </wp:positionV>
            <wp:extent cx="7141210" cy="15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1210" cy="15875"/>
                    </a:xfrm>
                    <a:prstGeom prst="rect">
                      <a:avLst/>
                    </a:prstGeom>
                    <a:noFill/>
                  </pic:spPr>
                </pic:pic>
              </a:graphicData>
            </a:graphic>
          </wp:anchor>
        </w:drawing>
        <w:drawing>
          <wp:anchor simplePos="0" relativeHeight="251657728" behindDoc="1" locked="0" layoutInCell="0" allowOverlap="1">
            <wp:simplePos x="0" y="0"/>
            <wp:positionH relativeFrom="page">
              <wp:posOffset>203835</wp:posOffset>
            </wp:positionH>
            <wp:positionV relativeFrom="page">
              <wp:posOffset>185420</wp:posOffset>
            </wp:positionV>
            <wp:extent cx="71412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1210" cy="8255"/>
                    </a:xfrm>
                    <a:prstGeom prst="rect">
                      <a:avLst/>
                    </a:prstGeom>
                    <a:noFill/>
                  </pic:spPr>
                </pic:pic>
              </a:graphicData>
            </a:graphic>
          </wp:anchor>
        </w:drawing>
        <w:t>UNITED STATES</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Washington, D.C. 20549</w:t>
      </w:r>
    </w:p>
    <w:p>
      <w:pPr>
        <w:spacing w:after="0" w:line="174"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20"/>
          <w:szCs w:val="20"/>
          <w:color w:val="auto"/>
        </w:rPr>
        <w:t>_________________</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FORM 8-K</w:t>
      </w:r>
    </w:p>
    <w:p>
      <w:pPr>
        <w:spacing w:after="0" w:line="204"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20"/>
          <w:szCs w:val="20"/>
          <w:color w:val="auto"/>
        </w:rPr>
        <w:t>_________________</w:t>
      </w:r>
    </w:p>
    <w:p>
      <w:pPr>
        <w:spacing w:after="0" w:line="196"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99"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20"/>
          <w:szCs w:val="20"/>
          <w:b w:val="1"/>
          <w:bCs w:val="1"/>
          <w:color w:val="auto"/>
        </w:rPr>
        <w:t>Pursuant to Section 13 or 15(d)</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of the Securities Exchange Act of 1934</w:t>
      </w:r>
    </w:p>
    <w:p>
      <w:pPr>
        <w:spacing w:after="0" w:line="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July 28, 2025</w:t>
      </w:r>
    </w:p>
    <w:p>
      <w:pPr>
        <w:spacing w:after="0" w:line="204"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0"/>
          <w:szCs w:val="20"/>
          <w:color w:val="auto"/>
        </w:rPr>
        <w:t>_______________________________</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Tilray Brands, Inc.</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182"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0"/>
          <w:szCs w:val="20"/>
          <w:color w:val="auto"/>
        </w:rPr>
        <w:t>_______________________________</w:t>
      </w:r>
    </w:p>
    <w:p>
      <w:pPr>
        <w:sectPr>
          <w:pgSz w:w="11900" w:h="16838" w:orient="portrait"/>
          <w:cols w:equalWidth="0" w:num="1">
            <w:col w:w="11240"/>
          </w:cols>
          <w:pgMar w:left="320" w:top="481" w:right="339" w:bottom="1440" w:gutter="0" w:footer="0" w:header="0"/>
        </w:sectPr>
      </w:pPr>
    </w:p>
    <w:p>
      <w:pPr>
        <w:spacing w:after="0" w:line="204" w:lineRule="exact"/>
        <w:rPr>
          <w:sz w:val="24"/>
          <w:szCs w:val="24"/>
          <w:color w:val="auto"/>
        </w:rPr>
      </w:pPr>
    </w:p>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7" w:lineRule="exact"/>
        <w:rPr>
          <w:sz w:val="24"/>
          <w:szCs w:val="24"/>
          <w:color w:val="auto"/>
        </w:rPr>
      </w:pPr>
    </w:p>
    <w:p>
      <w:pPr>
        <w:jc w:val="center"/>
        <w:ind w:right="260"/>
        <w:spacing w:after="0"/>
        <w:rPr>
          <w:sz w:val="20"/>
          <w:szCs w:val="20"/>
          <w:color w:val="auto"/>
        </w:rPr>
      </w:pPr>
      <w:r>
        <w:rPr>
          <w:rFonts w:ascii="Times New Roman" w:cs="Times New Roman" w:eastAsia="Times New Roman" w:hAnsi="Times New Roman"/>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jc w:val="center"/>
        <w:ind w:right="900"/>
        <w:spacing w:after="0"/>
        <w:rPr>
          <w:sz w:val="20"/>
          <w:szCs w:val="20"/>
          <w:color w:val="auto"/>
        </w:rPr>
      </w:pPr>
      <w:r>
        <w:rPr>
          <w:rFonts w:ascii="Times New Roman" w:cs="Times New Roman" w:eastAsia="Times New Roman" w:hAnsi="Times New Roman"/>
          <w:sz w:val="17"/>
          <w:szCs w:val="17"/>
          <w:b w:val="1"/>
          <w:bCs w:val="1"/>
          <w:color w:val="auto"/>
        </w:rPr>
        <w:t>001-38594</w:t>
      </w:r>
    </w:p>
    <w:p>
      <w:pPr>
        <w:spacing w:after="0" w:line="27" w:lineRule="exact"/>
        <w:rPr>
          <w:sz w:val="24"/>
          <w:szCs w:val="24"/>
          <w:color w:val="auto"/>
        </w:rPr>
      </w:pPr>
    </w:p>
    <w:p>
      <w:pPr>
        <w:jc w:val="center"/>
        <w:ind w:right="900"/>
        <w:spacing w:after="0"/>
        <w:rPr>
          <w:sz w:val="20"/>
          <w:szCs w:val="20"/>
          <w:color w:val="auto"/>
        </w:rPr>
      </w:pPr>
      <w:r>
        <w:rPr>
          <w:rFonts w:ascii="Times New Roman" w:cs="Times New Roman" w:eastAsia="Times New Roman" w:hAnsi="Times New Roman"/>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7"/>
          <w:szCs w:val="17"/>
          <w:b w:val="1"/>
          <w:bCs w:val="1"/>
          <w:color w:val="auto"/>
        </w:rPr>
        <w:t>82-4310622</w:t>
      </w:r>
    </w:p>
    <w:p>
      <w:pPr>
        <w:spacing w:after="0" w:line="27"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6"/>
          <w:szCs w:val="16"/>
          <w:color w:val="auto"/>
        </w:rPr>
        <w:t>(I.R.S. Employer Identification No.)</w:t>
      </w:r>
    </w:p>
    <w:p>
      <w:pPr>
        <w:spacing w:after="0" w:line="200" w:lineRule="exact"/>
        <w:rPr>
          <w:sz w:val="24"/>
          <w:szCs w:val="24"/>
          <w:color w:val="auto"/>
        </w:rPr>
      </w:pPr>
    </w:p>
    <w:p>
      <w:pPr>
        <w:sectPr>
          <w:pgSz w:w="11900" w:h="16838" w:orient="portrait"/>
          <w:cols w:equalWidth="0" w:num="3">
            <w:col w:w="3980" w:space="720"/>
            <w:col w:w="2760" w:space="720"/>
            <w:col w:w="3060"/>
          </w:cols>
          <w:pgMar w:left="320" w:top="481"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265 Talbot Street West</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Leamington, Ontario N8H 4H3</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(Address of Principal Executive Offices) (Zip Code)</w:t>
      </w:r>
    </w:p>
    <w:p>
      <w:pPr>
        <w:spacing w:after="0" w:line="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(844) 845-7291</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 Applicable</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(Former name or former address, if changed since last report)</w:t>
      </w:r>
    </w:p>
    <w:p>
      <w:pPr>
        <w:spacing w:after="0" w:line="196"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0"/>
          <w:szCs w:val="20"/>
          <w:color w:val="auto"/>
        </w:rPr>
        <w:t>_______________________________</w:t>
      </w:r>
    </w:p>
    <w:p>
      <w:pPr>
        <w:sectPr>
          <w:pgSz w:w="11900" w:h="16838" w:orient="portrait"/>
          <w:cols w:equalWidth="0" w:num="1">
            <w:col w:w="11240"/>
          </w:cols>
          <w:pgMar w:left="320" w:top="481" w:right="339" w:bottom="1440" w:gutter="0" w:footer="0" w:header="0"/>
          <w:type w:val="continuous"/>
        </w:sectPr>
      </w:pPr>
    </w:p>
    <w:p>
      <w:pPr>
        <w:spacing w:after="0" w:line="208" w:lineRule="exact"/>
        <w:rPr>
          <w:sz w:val="24"/>
          <w:szCs w:val="24"/>
          <w:color w:val="auto"/>
        </w:rPr>
      </w:pPr>
    </w:p>
    <w:p>
      <w:pPr>
        <w:ind w:right="680"/>
        <w:spacing w:after="0" w:line="275" w:lineRule="auto"/>
        <w:rPr>
          <w:sz w:val="20"/>
          <w:szCs w:val="20"/>
          <w:color w:val="auto"/>
        </w:rPr>
      </w:pPr>
      <w:r>
        <w:rPr>
          <w:rFonts w:ascii="Times New Roman" w:cs="Times New Roman" w:eastAsia="Times New Roman" w:hAnsi="Times New Roman"/>
          <w:sz w:val="17"/>
          <w:szCs w:val="17"/>
          <w:color w:val="auto"/>
        </w:rPr>
        <w:t>Check the appropriate box below if the Form 8-K filing is intended to simultaneously satisfy the filing obligation of the registrant under any of the following provisions:</w:t>
      </w:r>
    </w:p>
    <w:p>
      <w:pPr>
        <w:spacing w:after="0" w:line="57" w:lineRule="exact"/>
        <w:rPr>
          <w:sz w:val="24"/>
          <w:szCs w:val="24"/>
          <w:color w:val="auto"/>
        </w:rPr>
      </w:pPr>
    </w:p>
    <w:p>
      <w:pPr>
        <w:ind w:left="340" w:hanging="244"/>
        <w:spacing w:after="0"/>
        <w:tabs>
          <w:tab w:leader="none" w:pos="34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Written communications pursuant to Rule 425 under the Securities Act (17 CFR 230.425)</w:t>
      </w:r>
    </w:p>
    <w:p>
      <w:pPr>
        <w:spacing w:after="0" w:line="24" w:lineRule="exact"/>
        <w:rPr>
          <w:rFonts w:ascii="MS PGothic" w:cs="MS PGothic" w:eastAsia="MS PGothic" w:hAnsi="MS PGothic"/>
          <w:sz w:val="17"/>
          <w:szCs w:val="17"/>
          <w:color w:val="auto"/>
        </w:rPr>
      </w:pPr>
    </w:p>
    <w:p>
      <w:pPr>
        <w:ind w:left="340" w:hanging="244"/>
        <w:spacing w:after="0"/>
        <w:tabs>
          <w:tab w:leader="none" w:pos="34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pursuant to Rule 14a-12 under the Exchange Act (17 CFR 240.14a-12)</w:t>
      </w:r>
    </w:p>
    <w:p>
      <w:pPr>
        <w:spacing w:after="0" w:line="6" w:lineRule="exact"/>
        <w:rPr>
          <w:rFonts w:ascii="MS PGothic" w:cs="MS PGothic" w:eastAsia="MS PGothic" w:hAnsi="MS PGothic"/>
          <w:sz w:val="17"/>
          <w:szCs w:val="17"/>
          <w:color w:val="auto"/>
        </w:rPr>
      </w:pPr>
    </w:p>
    <w:p>
      <w:pPr>
        <w:ind w:left="340" w:hanging="244"/>
        <w:spacing w:after="0"/>
        <w:tabs>
          <w:tab w:leader="none" w:pos="34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6" w:lineRule="exact"/>
        <w:rPr>
          <w:rFonts w:ascii="MS PGothic" w:cs="MS PGothic" w:eastAsia="MS PGothic" w:hAnsi="MS PGothic"/>
          <w:sz w:val="17"/>
          <w:szCs w:val="17"/>
          <w:color w:val="auto"/>
        </w:rPr>
      </w:pPr>
    </w:p>
    <w:p>
      <w:pPr>
        <w:ind w:left="340" w:hanging="244"/>
        <w:spacing w:after="0"/>
        <w:tabs>
          <w:tab w:leader="none" w:pos="34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13e-4(c) under the Exchange Act (17 CFR 240.13e-4(c))</w:t>
      </w:r>
    </w:p>
    <w:p>
      <w:pPr>
        <w:spacing w:after="0" w:line="90"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4460" w:type="dxa"/>
            <w:vAlign w:val="bottom"/>
          </w:tcPr>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tc>
        <w:tc>
          <w:tcPr>
            <w:tcW w:w="252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304"/>
        </w:trPr>
        <w:tc>
          <w:tcPr>
            <w:tcW w:w="4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Title of each class</w:t>
            </w:r>
          </w:p>
        </w:tc>
        <w:tc>
          <w:tcPr>
            <w:tcW w:w="2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Trading Symbol(s)</w:t>
            </w:r>
          </w:p>
        </w:tc>
        <w:tc>
          <w:tcPr>
            <w:tcW w:w="4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Name of each exchange on which registered</w:t>
            </w:r>
          </w:p>
        </w:tc>
      </w:tr>
      <w:tr>
        <w:trPr>
          <w:trHeight w:val="211"/>
        </w:trPr>
        <w:tc>
          <w:tcPr>
            <w:tcW w:w="44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Common stock, par value $0.0001 per share</w:t>
            </w:r>
          </w:p>
        </w:tc>
        <w:tc>
          <w:tcPr>
            <w:tcW w:w="25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4"/>
              </w:rPr>
              <w:t>TLRY</w:t>
            </w:r>
          </w:p>
        </w:tc>
        <w:tc>
          <w:tcPr>
            <w:tcW w:w="42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The NASDAQ Global Select Market</w:t>
            </w:r>
          </w:p>
        </w:tc>
      </w:tr>
    </w:tbl>
    <w:p>
      <w:pPr>
        <w:spacing w:after="0" w:line="69" w:lineRule="exact"/>
        <w:rPr>
          <w:sz w:val="24"/>
          <w:szCs w:val="24"/>
          <w:color w:val="auto"/>
        </w:rPr>
      </w:pPr>
    </w:p>
    <w:p>
      <w:pPr>
        <w:ind w:right="60"/>
        <w:spacing w:after="0" w:line="275" w:lineRule="auto"/>
        <w:rPr>
          <w:sz w:val="20"/>
          <w:szCs w:val="20"/>
          <w:color w:val="auto"/>
        </w:rPr>
      </w:pPr>
      <w:r>
        <w:rPr>
          <w:rFonts w:ascii="Times New Roman" w:cs="Times New Roman" w:eastAsia="Times New Roman" w:hAnsi="Times New Roman"/>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9"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46" w:lineRule="exact"/>
        <w:rPr>
          <w:sz w:val="24"/>
          <w:szCs w:val="24"/>
          <w:color w:val="auto"/>
        </w:rPr>
      </w:pPr>
    </w:p>
    <w:p>
      <w:pPr>
        <w:ind w:right="160"/>
        <w:spacing w:after="0" w:line="223"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193675</wp:posOffset>
            </wp:positionV>
            <wp:extent cx="7141210" cy="400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1210" cy="4000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color w:val="auto"/>
        </w:rPr>
        <w:t>Item 2.02. Results of Operations and Financial Condition.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July 28, 2025, the Registrant issued a press release, a copy of which is attached hereto as Exhibit 99.1 and is incorporated herein by reference.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9.01. Financial Statements and Exhibits.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 Exhibits</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520" w:type="dxa"/>
            <w:vAlign w:val="bottom"/>
          </w:tcPr>
          <w:p>
            <w:pPr>
              <w:spacing w:after="0"/>
              <w:rPr>
                <w:sz w:val="18"/>
                <w:szCs w:val="18"/>
                <w:color w:val="auto"/>
              </w:rPr>
            </w:pPr>
          </w:p>
        </w:tc>
      </w:tr>
      <w:tr>
        <w:trPr>
          <w:trHeight w:val="367"/>
        </w:trPr>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w w:val="97"/>
              </w:rPr>
              <w:t>Exhibit Number</w:t>
            </w:r>
          </w:p>
        </w:tc>
        <w:tc>
          <w:tcPr>
            <w:tcW w:w="240" w:type="dxa"/>
            <w:vAlign w:val="bottom"/>
          </w:tcPr>
          <w:p>
            <w:pPr>
              <w:spacing w:after="0"/>
              <w:rPr>
                <w:sz w:val="24"/>
                <w:szCs w:val="24"/>
                <w:color w:val="auto"/>
              </w:rPr>
            </w:pPr>
          </w:p>
        </w:tc>
        <w:tc>
          <w:tcPr>
            <w:tcW w:w="982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Description</w:t>
            </w:r>
          </w:p>
        </w:tc>
      </w:tr>
      <w:tr>
        <w:trPr>
          <w:trHeight w:val="20"/>
        </w:trPr>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r>
      <w:tr>
        <w:trPr>
          <w:trHeight w:val="384"/>
        </w:trPr>
        <w:tc>
          <w:tcPr>
            <w:tcW w:w="3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7"/>
                <w:szCs w:val="17"/>
                <w:color w:val="0000EE"/>
                <w:w w:val="93"/>
              </w:rPr>
              <w:t>99.</w:t>
            </w:r>
            <w:r>
              <w:rPr>
                <w:rFonts w:ascii="Times New Roman" w:cs="Times New Roman" w:eastAsia="Times New Roman" w:hAnsi="Times New Roman"/>
                <w:sz w:val="17"/>
                <w:szCs w:val="17"/>
                <w:u w:val="single" w:color="auto"/>
                <w:color w:val="0000EE"/>
                <w:w w:val="93"/>
              </w:rPr>
              <w:t>1</w:t>
            </w: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7"/>
                <w:szCs w:val="17"/>
                <w:color w:val="0000EE"/>
                <w:w w:val="98"/>
              </w:rPr>
              <w:t>Press Release dated July 28, 2025</w:t>
            </w:r>
          </w:p>
        </w:tc>
        <w:tc>
          <w:tcPr>
            <w:tcW w:w="7520" w:type="dxa"/>
            <w:vAlign w:val="bottom"/>
          </w:tcPr>
          <w:p>
            <w:pPr>
              <w:spacing w:after="0"/>
              <w:rPr>
                <w:sz w:val="24"/>
                <w:szCs w:val="24"/>
                <w:color w:val="auto"/>
              </w:rPr>
            </w:pPr>
          </w:p>
        </w:tc>
      </w:tr>
      <w:tr>
        <w:trPr>
          <w:trHeight w:val="220"/>
        </w:trPr>
        <w:tc>
          <w:tcPr>
            <w:tcW w:w="300" w:type="dxa"/>
            <w:vAlign w:val="bottom"/>
          </w:tcPr>
          <w:p>
            <w:pPr>
              <w:spacing w:after="0"/>
              <w:rPr>
                <w:sz w:val="20"/>
                <w:szCs w:val="20"/>
                <w:color w:val="auto"/>
              </w:rPr>
            </w:pPr>
            <w:r>
              <w:rPr>
                <w:rFonts w:ascii="Times New Roman" w:cs="Times New Roman" w:eastAsia="Times New Roman" w:hAnsi="Times New Roman"/>
                <w:sz w:val="17"/>
                <w:szCs w:val="17"/>
                <w:color w:val="auto"/>
              </w:rPr>
              <w:t>104</w:t>
            </w: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Cover Page Interactive Data File (embedded within the Inline XBRL document)</w:t>
            </w:r>
          </w:p>
        </w:tc>
      </w:tr>
      <w:tr>
        <w:trPr>
          <w:trHeight w:val="228"/>
        </w:trPr>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7520" w:type="dxa"/>
            <w:vAlign w:val="bottom"/>
          </w:tcPr>
          <w:p>
            <w:pPr>
              <w:spacing w:after="0"/>
              <w:rPr>
                <w:sz w:val="19"/>
                <w:szCs w:val="19"/>
                <w:color w:val="auto"/>
              </w:rPr>
            </w:pPr>
          </w:p>
        </w:tc>
      </w:tr>
      <w:tr>
        <w:trPr>
          <w:trHeight w:val="63"/>
        </w:trPr>
        <w:tc>
          <w:tcPr>
            <w:tcW w:w="300" w:type="dxa"/>
            <w:vAlign w:val="bottom"/>
            <w:shd w:val="clear" w:color="auto" w:fill="000000"/>
          </w:tcPr>
          <w:p>
            <w:pPr>
              <w:spacing w:after="0"/>
              <w:rPr>
                <w:sz w:val="5"/>
                <w:szCs w:val="5"/>
                <w:color w:val="auto"/>
              </w:rPr>
            </w:pPr>
          </w:p>
        </w:tc>
        <w:tc>
          <w:tcPr>
            <w:tcW w:w="88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840" w:type="dxa"/>
            <w:vAlign w:val="bottom"/>
            <w:shd w:val="clear" w:color="auto" w:fill="000000"/>
          </w:tcPr>
          <w:p>
            <w:pPr>
              <w:spacing w:after="0"/>
              <w:rPr>
                <w:sz w:val="5"/>
                <w:szCs w:val="5"/>
                <w:color w:val="auto"/>
              </w:rPr>
            </w:pPr>
          </w:p>
        </w:tc>
        <w:tc>
          <w:tcPr>
            <w:tcW w:w="1460" w:type="dxa"/>
            <w:vAlign w:val="bottom"/>
            <w:shd w:val="clear" w:color="auto" w:fill="000000"/>
          </w:tcPr>
          <w:p>
            <w:pPr>
              <w:spacing w:after="0"/>
              <w:rPr>
                <w:sz w:val="5"/>
                <w:szCs w:val="5"/>
                <w:color w:val="auto"/>
              </w:rPr>
            </w:pPr>
          </w:p>
        </w:tc>
        <w:tc>
          <w:tcPr>
            <w:tcW w:w="752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346" w:right="339" w:bottom="1440" w:gutter="0" w:footer="0" w:header="0"/>
        </w:sectPr>
      </w:pPr>
    </w:p>
    <w:bookmarkStart w:id="2" w:name="page3"/>
    <w:bookmarkEnd w:id="2"/>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SIGNATURE</w:t>
      </w:r>
    </w:p>
    <w:p>
      <w:pPr>
        <w:spacing w:after="0" w:line="238"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400" w:type="dxa"/>
            <w:vAlign w:val="bottom"/>
          </w:tcPr>
          <w:p>
            <w:pPr>
              <w:spacing w:after="0"/>
              <w:rPr>
                <w:sz w:val="19"/>
                <w:szCs w:val="19"/>
                <w:color w:val="auto"/>
              </w:rPr>
            </w:pPr>
          </w:p>
        </w:tc>
        <w:tc>
          <w:tcPr>
            <w:tcW w:w="4000" w:type="dxa"/>
            <w:vAlign w:val="bottom"/>
            <w:gridSpan w:val="2"/>
          </w:tcPr>
          <w:p>
            <w:pPr>
              <w:ind w:left="2080"/>
              <w:spacing w:after="0"/>
              <w:rPr>
                <w:sz w:val="20"/>
                <w:szCs w:val="20"/>
                <w:color w:val="auto"/>
              </w:rPr>
            </w:pPr>
            <w:r>
              <w:rPr>
                <w:rFonts w:ascii="Times New Roman" w:cs="Times New Roman" w:eastAsia="Times New Roman" w:hAnsi="Times New Roman"/>
                <w:sz w:val="17"/>
                <w:szCs w:val="17"/>
                <w:b w:val="1"/>
                <w:bCs w:val="1"/>
                <w:color w:val="auto"/>
              </w:rPr>
              <w:t>Tilray Brands, Inc.</w:t>
            </w:r>
          </w:p>
        </w:tc>
      </w:tr>
      <w:tr>
        <w:trPr>
          <w:trHeight w:val="645"/>
        </w:trPr>
        <w:tc>
          <w:tcPr>
            <w:tcW w:w="3400" w:type="dxa"/>
            <w:vAlign w:val="bottom"/>
          </w:tcPr>
          <w:p>
            <w:pPr>
              <w:spacing w:after="0"/>
              <w:rPr>
                <w:sz w:val="20"/>
                <w:szCs w:val="20"/>
                <w:color w:val="auto"/>
              </w:rPr>
            </w:pPr>
            <w:r>
              <w:rPr>
                <w:rFonts w:ascii="Times New Roman" w:cs="Times New Roman" w:eastAsia="Times New Roman" w:hAnsi="Times New Roman"/>
                <w:sz w:val="17"/>
                <w:szCs w:val="17"/>
                <w:color w:val="auto"/>
              </w:rPr>
              <w:t>Date: July 28, 2025</w:t>
            </w:r>
          </w:p>
        </w:tc>
        <w:tc>
          <w:tcPr>
            <w:tcW w:w="4000" w:type="dxa"/>
            <w:vAlign w:val="bottom"/>
            <w:gridSpan w:val="2"/>
          </w:tcPr>
          <w:p>
            <w:pPr>
              <w:ind w:left="2080"/>
              <w:spacing w:after="0"/>
              <w:rPr>
                <w:sz w:val="20"/>
                <w:szCs w:val="20"/>
                <w:color w:val="auto"/>
              </w:rPr>
            </w:pPr>
            <w:r>
              <w:rPr>
                <w:rFonts w:ascii="Times New Roman" w:cs="Times New Roman" w:eastAsia="Times New Roman" w:hAnsi="Times New Roman"/>
                <w:sz w:val="17"/>
                <w:szCs w:val="17"/>
                <w:color w:val="auto"/>
              </w:rPr>
              <w:t>By: /s/ Mitchell Gendel</w:t>
            </w:r>
          </w:p>
        </w:tc>
      </w:tr>
      <w:tr>
        <w:trPr>
          <w:trHeight w:val="220"/>
        </w:trPr>
        <w:tc>
          <w:tcPr>
            <w:tcW w:w="340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6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Mitchell Gendel</w:t>
            </w:r>
          </w:p>
        </w:tc>
      </w:tr>
      <w:tr>
        <w:trPr>
          <w:trHeight w:val="227"/>
        </w:trPr>
        <w:tc>
          <w:tcPr>
            <w:tcW w:w="340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7"/>
                <w:szCs w:val="17"/>
                <w:color w:val="auto"/>
                <w:w w:val="98"/>
              </w:rPr>
              <w:t>Global General Counsel</w:t>
            </w:r>
          </w:p>
        </w:tc>
      </w:tr>
    </w:tbl>
    <w:p>
      <w:pPr>
        <w:sectPr>
          <w:pgSz w:w="11900" w:h="16838" w:orient="portrait"/>
          <w:cols w:equalWidth="0" w:num="1">
            <w:col w:w="11120"/>
          </w:cols>
          <w:pgMar w:left="320" w:top="574" w:right="459" w:bottom="1440" w:gutter="0" w:footer="0" w:header="0"/>
        </w:sectPr>
      </w:pPr>
    </w:p>
    <w:bookmarkStart w:id="3" w:name="page4"/>
    <w:bookmarkEnd w:id="3"/>
    <w:p>
      <w:pPr>
        <w:spacing w:after="0" w:line="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Tilray Brands Reports Fourth Quarter and Fiscal 2025 Financial Results</w:t>
      </w:r>
    </w:p>
    <w:p>
      <w:pPr>
        <w:spacing w:after="0" w:line="200" w:lineRule="exact"/>
        <w:rPr>
          <w:sz w:val="20"/>
          <w:szCs w:val="20"/>
          <w:color w:val="auto"/>
        </w:rPr>
      </w:pPr>
    </w:p>
    <w:p>
      <w:pPr>
        <w:jc w:val="center"/>
        <w:ind w:left="340" w:right="320"/>
        <w:spacing w:after="0" w:line="275" w:lineRule="auto"/>
        <w:rPr>
          <w:sz w:val="20"/>
          <w:szCs w:val="20"/>
          <w:color w:val="auto"/>
        </w:rPr>
      </w:pPr>
      <w:r>
        <w:rPr>
          <w:rFonts w:ascii="Times New Roman" w:cs="Times New Roman" w:eastAsia="Times New Roman" w:hAnsi="Times New Roman"/>
          <w:sz w:val="20"/>
          <w:szCs w:val="20"/>
          <w:b w:val="1"/>
          <w:bCs w:val="1"/>
          <w:color w:val="auto"/>
        </w:rPr>
        <w:t>Fiscal Year Net Revenue of $821 Million, $834 Million in Constant Currency, Strategic Decisions Impacted Revenue by $35 Million</w:t>
      </w:r>
    </w:p>
    <w:p>
      <w:pPr>
        <w:spacing w:after="0" w:line="13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0"/>
          <w:szCs w:val="20"/>
          <w:b w:val="1"/>
          <w:bCs w:val="1"/>
          <w:color w:val="auto"/>
        </w:rPr>
        <w:t>Q4 Consolidated Adjusted EBITDA is the 2</w:t>
      </w:r>
      <w:r>
        <w:rPr>
          <w:rFonts w:ascii="Times New Roman" w:cs="Times New Roman" w:eastAsia="Times New Roman" w:hAnsi="Times New Roman"/>
          <w:sz w:val="33"/>
          <w:szCs w:val="33"/>
          <w:b w:val="1"/>
          <w:bCs w:val="1"/>
          <w:color w:val="auto"/>
          <w:vertAlign w:val="superscript"/>
        </w:rPr>
        <w:t>nd</w:t>
      </w:r>
      <w:r>
        <w:rPr>
          <w:rFonts w:ascii="Times New Roman" w:cs="Times New Roman" w:eastAsia="Times New Roman" w:hAnsi="Times New Roman"/>
          <w:sz w:val="20"/>
          <w:szCs w:val="20"/>
          <w:b w:val="1"/>
          <w:bCs w:val="1"/>
          <w:color w:val="auto"/>
        </w:rPr>
        <w:t xml:space="preserve"> Highest in the Company’s History</w:t>
      </w:r>
    </w:p>
    <w:p>
      <w:pPr>
        <w:spacing w:after="0" w:line="9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20"/>
          <w:szCs w:val="20"/>
          <w:b w:val="1"/>
          <w:bCs w:val="1"/>
          <w:color w:val="auto"/>
        </w:rPr>
        <w:t>International Cannabis Revenue Increased 71% in Q4 and 19% for the Fiscal Year;</w:t>
      </w:r>
    </w:p>
    <w:p>
      <w:pPr>
        <w:spacing w:after="0" w:line="23" w:lineRule="exact"/>
        <w:rPr>
          <w:sz w:val="20"/>
          <w:szCs w:val="20"/>
          <w:color w:val="auto"/>
        </w:rPr>
      </w:pPr>
    </w:p>
    <w:p>
      <w:pPr>
        <w:jc w:val="center"/>
        <w:ind w:left="340" w:right="100"/>
        <w:spacing w:after="0" w:line="247" w:lineRule="auto"/>
        <w:rPr>
          <w:sz w:val="20"/>
          <w:szCs w:val="20"/>
          <w:color w:val="auto"/>
        </w:rPr>
      </w:pPr>
      <w:r>
        <w:rPr>
          <w:rFonts w:ascii="Times New Roman" w:cs="Times New Roman" w:eastAsia="Times New Roman" w:hAnsi="Times New Roman"/>
          <w:sz w:val="20"/>
          <w:szCs w:val="20"/>
          <w:b w:val="1"/>
          <w:bCs w:val="1"/>
          <w:color w:val="auto"/>
        </w:rPr>
        <w:t>Canadian Cannabis Remained #1 by Revenue in the Fiscal Year; Global Cannabis Gross Margin Increased by ~700 Basis Points in the Fiscal Year</w:t>
      </w:r>
    </w:p>
    <w:p>
      <w:pPr>
        <w:spacing w:after="0" w:line="158"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0"/>
          <w:szCs w:val="20"/>
          <w:b w:val="1"/>
          <w:bCs w:val="1"/>
          <w:color w:val="auto"/>
        </w:rPr>
        <w:t>19% Revenue Growth in Tilray Beverages with $241 Million for the Fiscal Year</w:t>
      </w:r>
    </w:p>
    <w:p>
      <w:pPr>
        <w:spacing w:after="0" w:line="200"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20"/>
          <w:szCs w:val="20"/>
          <w:b w:val="1"/>
          <w:bCs w:val="1"/>
          <w:color w:val="auto"/>
        </w:rPr>
        <w:t>9% Revenue Growth in Tilray Wellness with $60 Million for the Fiscal Year</w:t>
      </w:r>
    </w:p>
    <w:p>
      <w:pPr>
        <w:spacing w:after="0" w:line="2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Strong Balance Sheet with $256 Million Available in Cash and Marketable Securities; Total Debt Repayments of ~$100 Million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Date</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Fiscal Year 2026 Adjusted EBITDA Expected to be Between $62 Million - $72 Million</w:t>
      </w:r>
    </w:p>
    <w:p>
      <w:pPr>
        <w:spacing w:after="0" w:line="20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NEW YORK and LONDON and LEAMINGTON, Ontario, July 28, 2025 (GLOBE NEWSWIRE) -- Tilray Brands, Inc. (“Tilray”, “our”, “we” or the “Company”) (Nasdaq: TLRY; TSX: TLRY), a global lifestyle consumer packaged goods company at the forefront of the cannabis, beverage, and wellness industries, today reported financial results for its fourth quarter and fiscal year ended May 31, 2025. All financial information in this press release is reported in U.S. dollars, unless otherwise indicated.</w:t>
      </w:r>
    </w:p>
    <w:p>
      <w:pPr>
        <w:spacing w:after="0" w:line="16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Irwin D. Simon, Chairman and Chief Executive Officer, stated, “In Fiscal Year 2025, we meaningfully advanced our platform, driving growth in all of our sectors, cannabis, beverage, and wellness. Our progress is rooted in a deep understanding of evolving consumer needs, shaping offerings that not only reflect, but anticipate how people choose to eat, drink, relax, and address their wellbeing. We increased revenue, enhanced efficiency, and boosted gross profit across all our businesses. Our continued investment in growth led to record fiscal year revenue, underscoring the resilience and durability of our strategy.”</w:t>
      </w:r>
    </w:p>
    <w:p>
      <w:pPr>
        <w:spacing w:after="0" w:line="16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Mr. Simon added, “Looking ahead to Fiscal Year 2026, we see key growth opportunities in cannabis, beverage and wellness. Our global infrastructure and international distribution network position us to lead as the global cannabis market expands. Our commitment to innovation across our portfolio of brands, including our AI initiatives, differentiates Tilray from the broader competitive landscape. We have the right team and the right strategy to drive growth by delivering innovative new products to our consumers and patients around the world.”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Strategic Growth Initiatives – Fiscal Year 2025</w:t>
      </w:r>
    </w:p>
    <w:p>
      <w:pPr>
        <w:spacing w:after="0" w:line="20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b w:val="1"/>
          <w:bCs w:val="1"/>
          <w:color w:val="auto"/>
        </w:rPr>
        <w:t xml:space="preserve">International Growth: </w:t>
      </w:r>
      <w:r>
        <w:rPr>
          <w:rFonts w:ascii="Times New Roman" w:cs="Times New Roman" w:eastAsia="Times New Roman" w:hAnsi="Times New Roman"/>
          <w:sz w:val="20"/>
          <w:szCs w:val="20"/>
          <w:color w:val="auto"/>
        </w:rPr>
        <w:t>In fiscal 2025, international cannabis revenue increased by 19%, with Q4 increasing by 71% and when excluding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Australia, European cannabis revenue grew 112%. Tilray's strategic opportunities in these markets extend beyond cannabis to include beverage and wellness products. This expansion will be overseen by our newly appointed London and Dubai-based International Managing Director, Rajnish Ohri. Looking ahead to 2026, Tilray anticipates substantial growth opportunities, particularly across Europe as well as in emerging markets within the Middle East, India, Türkiye and Asia with a focus on non-alcoholic beer, beverages and hemp-based food product sales.</w:t>
      </w:r>
    </w:p>
    <w:p>
      <w:pPr>
        <w:spacing w:after="0" w:line="16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b w:val="1"/>
          <w:bCs w:val="1"/>
          <w:color w:val="auto"/>
        </w:rPr>
        <w:t xml:space="preserve">Tilray Cannabis Profitability: </w:t>
      </w:r>
      <w:r>
        <w:rPr>
          <w:rFonts w:ascii="Times New Roman" w:cs="Times New Roman" w:eastAsia="Times New Roman" w:hAnsi="Times New Roman"/>
          <w:sz w:val="20"/>
          <w:szCs w:val="20"/>
          <w:color w:val="auto"/>
        </w:rPr>
        <w:t>In Fiscal Year 2025, Tilray was focused on preserving gross margin and maintaining a higher average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selling price in growing categories, such as vapes and infused pre-rolls, that have experienced a high degree of price compression. As part of that effort, Tilray Canada redirected inventories to international cannabis markets to capitalize on higher margins abroad. Global cannabis gross margin expanded by 700 basis points in fiscal 2025. Looking ahead to 2026, we intend to enhance our global supply chain through Phase II of our accelerated growth plan and continue to increase our cultivation footprint to support the growing demand in both the Canadian and international markets.</w:t>
      </w:r>
    </w:p>
    <w:p>
      <w:pPr>
        <w:spacing w:after="0" w:line="16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b w:val="1"/>
          <w:bCs w:val="1"/>
          <w:color w:val="auto"/>
        </w:rPr>
        <w:t xml:space="preserve">Tilray Beverages: </w:t>
      </w:r>
      <w:r>
        <w:rPr>
          <w:rFonts w:ascii="Times New Roman" w:cs="Times New Roman" w:eastAsia="Times New Roman" w:hAnsi="Times New Roman"/>
          <w:sz w:val="20"/>
          <w:szCs w:val="20"/>
          <w:color w:val="auto"/>
        </w:rPr>
        <w:t>In Fiscal Year 2025, Tilray strategically acquired four craft brands from Molson Coors—Hop Valley Brewing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Terrapin Beer Co., Revolver Brewing, and Atwater Brewery—thereby expanding its beer presence across the U.S., including market leadership in Portland and Georgia. During the third quarter, we introduced Project 420, our strategic initiative to integrate our craft beer businesses, streamline operations, and drive renewed growth. As part of our margin enhancement and profitability initiatives, we have already realized $24 million in annualized savings toward our $33 million cost-savings target announced in January 2025. Completion of the synergy optimization plan is anticipated in the third quarter of Fiscal Year 2026.</w:t>
      </w:r>
    </w:p>
    <w:p>
      <w:pPr>
        <w:spacing w:after="0" w:line="16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Hemp-Derived Delta-9 (HD-D9) THC Drinks in the U.S.: </w:t>
      </w:r>
      <w:r>
        <w:rPr>
          <w:rFonts w:ascii="Times New Roman" w:cs="Times New Roman" w:eastAsia="Times New Roman" w:hAnsi="Times New Roman"/>
          <w:sz w:val="20"/>
          <w:szCs w:val="20"/>
          <w:color w:val="auto"/>
        </w:rPr>
        <w:t>HD-D9 beverages reflect our strategic commitment to growth by utilizing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our platform and expertise across multiple categories to introduce innovations at the intersection of cannabis, beverages, and wellness. Through our established national craft beer distribution network, we now serve customers in 13 states where the sale of HD-D9 THC drinks is permitted, reaching 1,300 distribution points. This distribution footprint positions us among the leading participants in this developing market segment.</w:t>
      </w:r>
    </w:p>
    <w:p>
      <w:pPr>
        <w:spacing w:after="0" w:line="16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Debt Reduction; $256 Million in Cash and Marketable Securities: </w:t>
      </w:r>
      <w:r>
        <w:rPr>
          <w:rFonts w:ascii="Times New Roman" w:cs="Times New Roman" w:eastAsia="Times New Roman" w:hAnsi="Times New Roman"/>
          <w:sz w:val="20"/>
          <w:szCs w:val="20"/>
          <w:color w:val="auto"/>
        </w:rPr>
        <w:t>Fiscal year to date, Tilray reduced its outstanding total debt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almost $100 million, further strengthening the balance sheet. As a result, net debt to trailing twelve months adjusted EBITDA is 0.3x. Our $256 million cash balance, including marketable securities, provides Tilray with great flexibility for strategic opportunities.</w:t>
      </w:r>
    </w:p>
    <w:p>
      <w:pPr>
        <w:spacing w:after="0" w:line="14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0"/>
          <w:szCs w:val="20"/>
          <w:b w:val="1"/>
          <w:bCs w:val="1"/>
          <w:color w:val="auto"/>
        </w:rPr>
        <w:t xml:space="preserve">AI Strategy: </w:t>
      </w:r>
      <w:r>
        <w:rPr>
          <w:rFonts w:ascii="Times New Roman" w:cs="Times New Roman" w:eastAsia="Times New Roman" w:hAnsi="Times New Roman"/>
          <w:sz w:val="20"/>
          <w:szCs w:val="20"/>
          <w:color w:val="auto"/>
        </w:rPr>
        <w:t>Tilray Brands is dedicated to leveraging advanced technologies to align with our shareholder interests, the consumer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tomorrow, enhancing efficiency and driving growth. We are implementing AI across our global operations to enhance our expertise,</w:t>
      </w:r>
    </w:p>
    <w:p>
      <w:pPr>
        <w:sectPr>
          <w:pgSz w:w="11900" w:h="16860" w:orient="portrait"/>
          <w:cols w:equalWidth="0" w:num="1">
            <w:col w:w="11240"/>
          </w:cols>
          <w:pgMar w:left="320" w:top="110" w:right="339" w:bottom="0" w:gutter="0" w:footer="0" w:header="0"/>
        </w:sectPr>
      </w:pPr>
    </w:p>
    <w:bookmarkStart w:id="4" w:name="page5"/>
    <w:bookmarkEnd w:id="4"/>
    <w:p>
      <w:pPr>
        <w:jc w:val="both"/>
        <w:spacing w:after="0" w:line="248" w:lineRule="auto"/>
        <w:rPr>
          <w:sz w:val="20"/>
          <w:szCs w:val="20"/>
          <w:color w:val="auto"/>
        </w:rPr>
      </w:pPr>
      <w:r>
        <w:rPr>
          <w:rFonts w:ascii="Times New Roman" w:cs="Times New Roman" w:eastAsia="Times New Roman" w:hAnsi="Times New Roman"/>
          <w:sz w:val="20"/>
          <w:szCs w:val="20"/>
          <w:color w:val="auto"/>
        </w:rPr>
        <w:t>optimize processes, achieve substantial improvements, and advance our business objectives. In the cultivation sector, we are utilizing advanced horticulture automation technology throughout our global greenhouse operations. By integrating this technology with AI-driven data insights, we can manage greenhouse conditions in real-time, leading to more efficient operations, increased output, superior quality, and reduced costs for resources such as labor, water, and energy.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Financial Highlights – 2025 Fiscal Fourth Quarter</w:t>
      </w:r>
    </w:p>
    <w:p>
      <w:pPr>
        <w:spacing w:after="0" w:line="20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Net revenue was $224.5 million in the fourth quarter compared to $229.9 million in the prior year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-85725</wp:posOffset>
            </wp:positionV>
            <wp:extent cx="65405" cy="65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405" cy="65405"/>
                    </a:xfrm>
                    <a:prstGeom prst="rect">
                      <a:avLst/>
                    </a:prstGeom>
                    <a:noFill/>
                  </pic:spPr>
                </pic:pic>
              </a:graphicData>
            </a:graphic>
          </wp:anchor>
        </w:drawing>
      </w:r>
    </w:p>
    <w:p>
      <w:pPr>
        <w:spacing w:after="0" w:line="180" w:lineRule="exact"/>
        <w:rPr>
          <w:sz w:val="20"/>
          <w:szCs w:val="20"/>
          <w:color w:val="auto"/>
        </w:rPr>
      </w:pPr>
    </w:p>
    <w:p>
      <w:pPr>
        <w:jc w:val="both"/>
        <w:ind w:left="500"/>
        <w:spacing w:after="0" w:line="248" w:lineRule="auto"/>
        <w:rPr>
          <w:sz w:val="20"/>
          <w:szCs w:val="20"/>
          <w:color w:val="auto"/>
        </w:rPr>
      </w:pPr>
      <w:r>
        <w:rPr>
          <w:rFonts w:ascii="Times New Roman" w:cs="Times New Roman" w:eastAsia="Times New Roman" w:hAnsi="Times New Roman"/>
          <w:sz w:val="20"/>
          <w:szCs w:val="20"/>
          <w:color w:val="auto"/>
        </w:rPr>
        <w:t>Gross profit was $67.6 million in the fourth quarter compared to $82.4 million in the prior year quarter. Gross margin was 30% in the fourth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-241935</wp:posOffset>
            </wp:positionV>
            <wp:extent cx="65405" cy="654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405" cy="65405"/>
                    </a:xfrm>
                    <a:prstGeom prst="rect">
                      <a:avLst/>
                    </a:prstGeom>
                    <a:noFill/>
                  </pic:spPr>
                </pic:pic>
              </a:graphicData>
            </a:graphic>
          </wp:anchor>
        </w:drawing>
      </w:r>
    </w:p>
    <w:p>
      <w:pPr>
        <w:jc w:val="both"/>
        <w:ind w:left="500"/>
        <w:spacing w:after="0" w:line="237" w:lineRule="auto"/>
        <w:rPr>
          <w:sz w:val="20"/>
          <w:szCs w:val="20"/>
          <w:color w:val="auto"/>
        </w:rPr>
      </w:pPr>
      <w:r>
        <w:rPr>
          <w:rFonts w:ascii="Times New Roman" w:cs="Times New Roman" w:eastAsia="Times New Roman" w:hAnsi="Times New Roman"/>
          <w:sz w:val="20"/>
          <w:szCs w:val="20"/>
          <w:color w:val="auto"/>
        </w:rPr>
        <w:t>Cannabis net revenue was $67.8 million in the fourth quarter compared to $71.9 million in the prior year quarter. The year over year decline in revenue was principally driven by pausing vape and infused pre-roll categories to focus on improving profitability and unexpected international medical cannabis permit delays.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-386715</wp:posOffset>
            </wp:positionV>
            <wp:extent cx="65405" cy="654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405" cy="65405"/>
                    </a:xfrm>
                    <a:prstGeom prst="rect">
                      <a:avLst/>
                    </a:prstGeom>
                    <a:noFill/>
                  </pic:spPr>
                </pic:pic>
              </a:graphicData>
            </a:graphic>
          </wp:anchor>
        </w:drawing>
      </w:r>
    </w:p>
    <w:p>
      <w:pPr>
        <w:ind w:left="1020"/>
        <w:spacing w:after="0" w:line="238" w:lineRule="auto"/>
        <w:rPr>
          <w:sz w:val="20"/>
          <w:szCs w:val="20"/>
          <w:color w:val="auto"/>
        </w:rPr>
      </w:pPr>
      <w:r>
        <w:rPr>
          <w:rFonts w:ascii="Times New Roman" w:cs="Times New Roman" w:eastAsia="Times New Roman" w:hAnsi="Times New Roman"/>
          <w:sz w:val="20"/>
          <w:szCs w:val="20"/>
          <w:color w:val="auto"/>
        </w:rPr>
        <w:t>Cannabis gross profit increased to $29.6 million in the fourth quarter from $28.8 million in the prior year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501650</wp:posOffset>
            </wp:positionH>
            <wp:positionV relativeFrom="paragraph">
              <wp:posOffset>-97790</wp:posOffset>
            </wp:positionV>
            <wp:extent cx="65405" cy="654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405" cy="65405"/>
                    </a:xfrm>
                    <a:prstGeom prst="rect">
                      <a:avLst/>
                    </a:prstGeom>
                    <a:noFill/>
                  </pic:spPr>
                </pic:pic>
              </a:graphicData>
            </a:graphic>
          </wp:anchor>
        </w:drawing>
      </w:r>
    </w:p>
    <w:p>
      <w:pPr>
        <w:ind w:left="1020"/>
        <w:spacing w:after="0" w:line="237" w:lineRule="auto"/>
        <w:rPr>
          <w:sz w:val="20"/>
          <w:szCs w:val="20"/>
          <w:color w:val="auto"/>
        </w:rPr>
      </w:pPr>
      <w:r>
        <w:rPr>
          <w:rFonts w:ascii="Times New Roman" w:cs="Times New Roman" w:eastAsia="Times New Roman" w:hAnsi="Times New Roman"/>
          <w:sz w:val="20"/>
          <w:szCs w:val="20"/>
          <w:color w:val="auto"/>
        </w:rPr>
        <w:t>Cannabis gross margin increased to 44% in the fourth quarter compared to 40% in the prior year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501650</wp:posOffset>
            </wp:positionH>
            <wp:positionV relativeFrom="paragraph">
              <wp:posOffset>-97790</wp:posOffset>
            </wp:positionV>
            <wp:extent cx="65405" cy="654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405" cy="65405"/>
                    </a:xfrm>
                    <a:prstGeom prst="rect">
                      <a:avLst/>
                    </a:prstGeom>
                    <a:noFill/>
                  </pic:spPr>
                </pic:pic>
              </a:graphicData>
            </a:graphic>
          </wp:anchor>
        </w:drawing>
      </w:r>
    </w:p>
    <w:p>
      <w:pPr>
        <w:jc w:val="both"/>
        <w:ind w:left="500"/>
        <w:spacing w:after="0" w:line="237" w:lineRule="auto"/>
        <w:rPr>
          <w:sz w:val="20"/>
          <w:szCs w:val="20"/>
          <w:color w:val="auto"/>
        </w:rPr>
      </w:pPr>
      <w:r>
        <w:rPr>
          <w:rFonts w:ascii="Times New Roman" w:cs="Times New Roman" w:eastAsia="Times New Roman" w:hAnsi="Times New Roman"/>
          <w:sz w:val="20"/>
          <w:szCs w:val="20"/>
          <w:color w:val="auto"/>
        </w:rPr>
        <w:t>Beverage net revenue was $65.6 million in the fourth quarter as compared to $76.7 million in the prior year quarter. The decline in revenue was principally driven by Project 420 and national SKU rationalization across our recently acquired craft beverage brands, as well as industry challenges.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-386715</wp:posOffset>
            </wp:positionV>
            <wp:extent cx="65405" cy="654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405" cy="65405"/>
                    </a:xfrm>
                    <a:prstGeom prst="rect">
                      <a:avLst/>
                    </a:prstGeom>
                    <a:noFill/>
                  </pic:spPr>
                </pic:pic>
              </a:graphicData>
            </a:graphic>
          </wp:anchor>
        </w:drawing>
      </w:r>
    </w:p>
    <w:p>
      <w:pPr>
        <w:ind w:left="1020"/>
        <w:spacing w:after="0" w:line="238" w:lineRule="auto"/>
        <w:rPr>
          <w:sz w:val="20"/>
          <w:szCs w:val="20"/>
          <w:color w:val="auto"/>
        </w:rPr>
      </w:pPr>
      <w:r>
        <w:rPr>
          <w:rFonts w:ascii="Times New Roman" w:cs="Times New Roman" w:eastAsia="Times New Roman" w:hAnsi="Times New Roman"/>
          <w:sz w:val="20"/>
          <w:szCs w:val="20"/>
          <w:color w:val="auto"/>
        </w:rPr>
        <w:t>Beverage gross profit was $25.0 million in the fourth quarter compared to $40.8 million in the prior year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501650</wp:posOffset>
            </wp:positionH>
            <wp:positionV relativeFrom="paragraph">
              <wp:posOffset>-97790</wp:posOffset>
            </wp:positionV>
            <wp:extent cx="65405" cy="654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405" cy="65405"/>
                    </a:xfrm>
                    <a:prstGeom prst="rect">
                      <a:avLst/>
                    </a:prstGeom>
                    <a:noFill/>
                  </pic:spPr>
                </pic:pic>
              </a:graphicData>
            </a:graphic>
          </wp:anchor>
        </w:drawing>
      </w:r>
    </w:p>
    <w:p>
      <w:pPr>
        <w:ind w:left="1020"/>
        <w:spacing w:after="0" w:line="237" w:lineRule="auto"/>
        <w:rPr>
          <w:sz w:val="20"/>
          <w:szCs w:val="20"/>
          <w:color w:val="auto"/>
        </w:rPr>
      </w:pPr>
      <w:r>
        <w:rPr>
          <w:rFonts w:ascii="Times New Roman" w:cs="Times New Roman" w:eastAsia="Times New Roman" w:hAnsi="Times New Roman"/>
          <w:sz w:val="20"/>
          <w:szCs w:val="20"/>
          <w:color w:val="auto"/>
        </w:rPr>
        <w:t>Beverage gross margin 38% in the fourth quarter compared to 53% in the prior year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501650</wp:posOffset>
            </wp:positionH>
            <wp:positionV relativeFrom="paragraph">
              <wp:posOffset>-97790</wp:posOffset>
            </wp:positionV>
            <wp:extent cx="65405" cy="654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405" cy="65405"/>
                    </a:xfrm>
                    <a:prstGeom prst="rect">
                      <a:avLst/>
                    </a:prstGeom>
                    <a:noFill/>
                  </pic:spPr>
                </pic:pic>
              </a:graphicData>
            </a:graphic>
          </wp:anchor>
        </w:drawing>
      </w:r>
    </w:p>
    <w:p>
      <w:pPr>
        <w:ind w:left="500"/>
        <w:spacing w:after="0" w:line="238" w:lineRule="auto"/>
        <w:rPr>
          <w:sz w:val="20"/>
          <w:szCs w:val="20"/>
          <w:color w:val="auto"/>
        </w:rPr>
      </w:pPr>
      <w:r>
        <w:rPr>
          <w:rFonts w:ascii="Times New Roman" w:cs="Times New Roman" w:eastAsia="Times New Roman" w:hAnsi="Times New Roman"/>
          <w:sz w:val="20"/>
          <w:szCs w:val="20"/>
          <w:color w:val="auto"/>
        </w:rPr>
        <w:t>Distribution net revenue increased to $74.1 million in the fourth quarter compared to $65.6 million in the prior year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-98425</wp:posOffset>
            </wp:positionV>
            <wp:extent cx="65405" cy="654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405" cy="65405"/>
                    </a:xfrm>
                    <a:prstGeom prst="rect">
                      <a:avLst/>
                    </a:prstGeom>
                    <a:noFill/>
                  </pic:spPr>
                </pic:pic>
              </a:graphicData>
            </a:graphic>
          </wp:anchor>
        </w:drawing>
      </w:r>
    </w:p>
    <w:p>
      <w:pPr>
        <w:ind w:left="500"/>
        <w:spacing w:after="0" w:line="237" w:lineRule="auto"/>
        <w:rPr>
          <w:sz w:val="20"/>
          <w:szCs w:val="20"/>
          <w:color w:val="auto"/>
        </w:rPr>
      </w:pPr>
      <w:r>
        <w:rPr>
          <w:rFonts w:ascii="Times New Roman" w:cs="Times New Roman" w:eastAsia="Times New Roman" w:hAnsi="Times New Roman"/>
          <w:sz w:val="20"/>
          <w:szCs w:val="20"/>
          <w:color w:val="auto"/>
        </w:rPr>
        <w:t>Wellness net revenue increased 9% to $17.0 million in the fourth quarter from $15.7 million in the prior year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-97790</wp:posOffset>
            </wp:positionV>
            <wp:extent cx="65405" cy="654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405" cy="65405"/>
                    </a:xfrm>
                    <a:prstGeom prst="rect">
                      <a:avLst/>
                    </a:prstGeom>
                    <a:noFill/>
                  </pic:spPr>
                </pic:pic>
              </a:graphicData>
            </a:graphic>
          </wp:anchor>
        </w:drawing>
      </w:r>
    </w:p>
    <w:p>
      <w:pPr>
        <w:jc w:val="both"/>
        <w:ind w:left="500"/>
        <w:spacing w:after="0" w:line="238" w:lineRule="auto"/>
        <w:rPr>
          <w:sz w:val="20"/>
          <w:szCs w:val="20"/>
          <w:color w:val="auto"/>
        </w:rPr>
      </w:pPr>
      <w:r>
        <w:rPr>
          <w:rFonts w:ascii="Times New Roman" w:cs="Times New Roman" w:eastAsia="Times New Roman" w:hAnsi="Times New Roman"/>
          <w:sz w:val="20"/>
          <w:szCs w:val="20"/>
          <w:color w:val="auto"/>
        </w:rPr>
        <w:t>Net income (loss) of ($1,267.9) million in the fourth quarter compared to net loss of ($15.4) million in the prior year quarter, almost all of which is a result of non-cash expenses. This change is mainly due to non-cash expenses and accounting charges primarily associated with goodwill and intangible assets recorded during the Aphria and Tilray acquisition in 2021, at which time stock prices and market values for cannabis companies reflected expectations for U.S. cannabis legalization. As a result, an accounting-related non-cash impairment charge of ($1,396.9) million was recognized. Net Income (loss) per share was ($1.30) compared to ($0.04) in the prior year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-822960</wp:posOffset>
            </wp:positionV>
            <wp:extent cx="65405" cy="654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405" cy="65405"/>
                    </a:xfrm>
                    <a:prstGeom prst="rect">
                      <a:avLst/>
                    </a:prstGeom>
                    <a:noFill/>
                  </pic:spPr>
                </pic:pic>
              </a:graphicData>
            </a:graphic>
          </wp:anchor>
        </w:drawing>
      </w:r>
    </w:p>
    <w:p>
      <w:pPr>
        <w:jc w:val="both"/>
        <w:ind w:left="500"/>
        <w:spacing w:after="0" w:line="199" w:lineRule="auto"/>
        <w:rPr>
          <w:sz w:val="20"/>
          <w:szCs w:val="20"/>
          <w:color w:val="auto"/>
        </w:rPr>
      </w:pPr>
      <w:r>
        <w:rPr>
          <w:rFonts w:ascii="Times New Roman" w:cs="Times New Roman" w:eastAsia="Times New Roman" w:hAnsi="Times New Roman"/>
          <w:sz w:val="20"/>
          <w:szCs w:val="20"/>
          <w:color w:val="auto"/>
        </w:rPr>
        <w:t>Adjusted net income</w:t>
      </w:r>
      <w:r>
        <w:rPr>
          <w:rFonts w:ascii="Times New Roman" w:cs="Times New Roman" w:eastAsia="Times New Roman" w:hAnsi="Times New Roman"/>
          <w:sz w:val="33"/>
          <w:szCs w:val="33"/>
          <w:color w:val="auto"/>
          <w:vertAlign w:val="superscript"/>
        </w:rPr>
        <w:t>1</w:t>
      </w:r>
      <w:r>
        <w:rPr>
          <w:rFonts w:ascii="Times New Roman" w:cs="Times New Roman" w:eastAsia="Times New Roman" w:hAnsi="Times New Roman"/>
          <w:sz w:val="20"/>
          <w:szCs w:val="20"/>
          <w:color w:val="auto"/>
        </w:rPr>
        <w:t xml:space="preserve"> was $20.2 million in the fourth quarter and Adjusted net income per share</w:t>
      </w:r>
      <w:r>
        <w:rPr>
          <w:rFonts w:ascii="Times New Roman" w:cs="Times New Roman" w:eastAsia="Times New Roman" w:hAnsi="Times New Roman"/>
          <w:sz w:val="33"/>
          <w:szCs w:val="33"/>
          <w:color w:val="auto"/>
          <w:vertAlign w:val="superscript"/>
        </w:rPr>
        <w:t>1</w:t>
      </w:r>
      <w:r>
        <w:rPr>
          <w:rFonts w:ascii="Times New Roman" w:cs="Times New Roman" w:eastAsia="Times New Roman" w:hAnsi="Times New Roman"/>
          <w:sz w:val="20"/>
          <w:szCs w:val="20"/>
          <w:color w:val="auto"/>
        </w:rPr>
        <w:t xml:space="preserve"> was $0.02 compared to $0.04 in the prior year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-245745</wp:posOffset>
            </wp:positionV>
            <wp:extent cx="65405" cy="654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405" cy="65405"/>
                    </a:xfrm>
                    <a:prstGeom prst="rect">
                      <a:avLst/>
                    </a:prstGeom>
                    <a:noFill/>
                  </pic:spPr>
                </pic:pic>
              </a:graphicData>
            </a:graphic>
          </wp:anchor>
        </w:drawing>
      </w:r>
    </w:p>
    <w:p>
      <w:pPr>
        <w:ind w:left="500"/>
        <w:spacing w:after="0"/>
        <w:rPr>
          <w:sz w:val="20"/>
          <w:szCs w:val="20"/>
          <w:color w:val="auto"/>
        </w:rPr>
      </w:pPr>
      <w:r>
        <w:rPr>
          <w:rFonts w:ascii="Times New Roman" w:cs="Times New Roman" w:eastAsia="Times New Roman" w:hAnsi="Times New Roman"/>
          <w:sz w:val="20"/>
          <w:szCs w:val="20"/>
          <w:color w:val="auto"/>
        </w:rPr>
        <w:t>Adjusted EBITDA</w:t>
      </w:r>
      <w:r>
        <w:rPr>
          <w:rFonts w:ascii="Times New Roman" w:cs="Times New Roman" w:eastAsia="Times New Roman" w:hAnsi="Times New Roman"/>
          <w:sz w:val="33"/>
          <w:szCs w:val="33"/>
          <w:color w:val="auto"/>
          <w:vertAlign w:val="superscript"/>
        </w:rPr>
        <w:t>1</w:t>
      </w:r>
      <w:r>
        <w:rPr>
          <w:rFonts w:ascii="Times New Roman" w:cs="Times New Roman" w:eastAsia="Times New Roman" w:hAnsi="Times New Roman"/>
          <w:sz w:val="20"/>
          <w:szCs w:val="20"/>
          <w:color w:val="auto"/>
        </w:rPr>
        <w:t xml:space="preserve"> was $27.6 million in the fourth quarter compared to $29.5 million in the prior year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-165735</wp:posOffset>
            </wp:positionV>
            <wp:extent cx="65405" cy="654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5405" cy="65405"/>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Financial Highlights – 2025 Fiscal Year</w:t>
      </w:r>
    </w:p>
    <w:p>
      <w:pPr>
        <w:spacing w:after="0" w:line="212" w:lineRule="exact"/>
        <w:rPr>
          <w:sz w:val="20"/>
          <w:szCs w:val="20"/>
          <w:color w:val="auto"/>
        </w:rPr>
      </w:pPr>
    </w:p>
    <w:p>
      <w:pPr>
        <w:jc w:val="both"/>
        <w:ind w:left="500"/>
        <w:spacing w:after="0" w:line="209" w:lineRule="auto"/>
        <w:rPr>
          <w:sz w:val="20"/>
          <w:szCs w:val="20"/>
          <w:color w:val="auto"/>
        </w:rPr>
      </w:pPr>
      <w:r>
        <w:rPr>
          <w:rFonts w:ascii="Times New Roman" w:cs="Times New Roman" w:eastAsia="Times New Roman" w:hAnsi="Times New Roman"/>
          <w:sz w:val="20"/>
          <w:szCs w:val="20"/>
          <w:color w:val="auto"/>
        </w:rPr>
        <w:t>Net revenue increased 4% to $821.3 million and increased 6% to $833.7 million on a constant currency basis</w:t>
      </w:r>
      <w:r>
        <w:rPr>
          <w:rFonts w:ascii="Times New Roman" w:cs="Times New Roman" w:eastAsia="Times New Roman" w:hAnsi="Times New Roman"/>
          <w:sz w:val="33"/>
          <w:szCs w:val="33"/>
          <w:color w:val="auto"/>
          <w:vertAlign w:val="superscript"/>
        </w:rPr>
        <w:t>1</w:t>
      </w:r>
      <w:r>
        <w:rPr>
          <w:rFonts w:ascii="Times New Roman" w:cs="Times New Roman" w:eastAsia="Times New Roman" w:hAnsi="Times New Roman"/>
          <w:sz w:val="20"/>
          <w:szCs w:val="20"/>
          <w:color w:val="auto"/>
        </w:rPr>
        <w:t xml:space="preserve"> in fiscal 2025 compared to $788.9 million in the prior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-250190</wp:posOffset>
            </wp:positionV>
            <wp:extent cx="65405" cy="654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5405" cy="65405"/>
                    </a:xfrm>
                    <a:prstGeom prst="rect">
                      <a:avLst/>
                    </a:prstGeom>
                    <a:noFill/>
                  </pic:spPr>
                </pic:pic>
              </a:graphicData>
            </a:graphic>
          </wp:anchor>
        </w:drawing>
      </w:r>
    </w:p>
    <w:p>
      <w:pPr>
        <w:spacing w:after="0" w:line="14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Gross profit increased 8% to $240.6 million from the prior fiscal year and Gross margin was 29% for the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-85725</wp:posOffset>
            </wp:positionV>
            <wp:extent cx="65405" cy="654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405" cy="65405"/>
                    </a:xfrm>
                    <a:prstGeom prst="rect">
                      <a:avLst/>
                    </a:prstGeom>
                    <a:noFill/>
                  </pic:spPr>
                </pic:pic>
              </a:graphicData>
            </a:graphic>
          </wp:anchor>
        </w:drawing>
      </w:r>
    </w:p>
    <w:p>
      <w:pPr>
        <w:jc w:val="both"/>
        <w:ind w:left="500"/>
        <w:spacing w:after="0" w:line="237" w:lineRule="auto"/>
        <w:rPr>
          <w:sz w:val="20"/>
          <w:szCs w:val="20"/>
          <w:color w:val="auto"/>
        </w:rPr>
      </w:pPr>
      <w:r>
        <w:rPr>
          <w:rFonts w:ascii="Times New Roman" w:cs="Times New Roman" w:eastAsia="Times New Roman" w:hAnsi="Times New Roman"/>
          <w:sz w:val="20"/>
          <w:szCs w:val="20"/>
          <w:color w:val="auto"/>
        </w:rPr>
        <w:t>Cannabis net revenue was $249.0 million in fiscal 2025 compared to $272.8 million in the prior fiscal year, due to unexpected international medical cannabis permit delays, and strategic decisions to preserve margin in Canadian cannabis. For example, we deemphasized production and sales of vapes, which negatively impacted revenue by $15 million, and we deprioritized wholesale channels as they are less accretive to margins.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-530860</wp:posOffset>
            </wp:positionV>
            <wp:extent cx="65405" cy="654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5405" cy="65405"/>
                    </a:xfrm>
                    <a:prstGeom prst="rect">
                      <a:avLst/>
                    </a:prstGeom>
                    <a:noFill/>
                  </pic:spPr>
                </pic:pic>
              </a:graphicData>
            </a:graphic>
          </wp:anchor>
        </w:drawing>
      </w:r>
    </w:p>
    <w:p>
      <w:pPr>
        <w:ind w:left="1020"/>
        <w:spacing w:after="0" w:line="200" w:lineRule="auto"/>
        <w:rPr>
          <w:sz w:val="20"/>
          <w:szCs w:val="20"/>
          <w:color w:val="auto"/>
        </w:rPr>
      </w:pPr>
      <w:r>
        <w:rPr>
          <w:rFonts w:ascii="Times New Roman" w:cs="Times New Roman" w:eastAsia="Times New Roman" w:hAnsi="Times New Roman"/>
          <w:sz w:val="20"/>
          <w:szCs w:val="20"/>
          <w:color w:val="auto"/>
        </w:rPr>
        <w:t>Cannabis gross profit increased 10% to $99.0 million in fiscal 2025 from $90.2 million in the prior fiscal year. Adjusted gross profit</w:t>
      </w:r>
      <w:r>
        <w:rPr>
          <w:rFonts w:ascii="Times New Roman" w:cs="Times New Roman" w:eastAsia="Times New Roman" w:hAnsi="Times New Roman"/>
          <w:sz w:val="33"/>
          <w:szCs w:val="33"/>
          <w:color w:val="auto"/>
          <w:vertAlign w:val="superscript"/>
        </w:rPr>
        <w:t>1</w:t>
      </w:r>
      <w:r>
        <w:rPr>
          <w:rFonts w:ascii="Times New Roman" w:cs="Times New Roman" w:eastAsia="Times New Roman" w:hAnsi="Times New Roman"/>
          <w:sz w:val="20"/>
          <w:szCs w:val="20"/>
          <w:color w:val="auto"/>
        </w:rPr>
        <w:t xml:space="preserve"> increased 1% to $99.0 million compared to $97.8 million in the prior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501650</wp:posOffset>
            </wp:positionH>
            <wp:positionV relativeFrom="paragraph">
              <wp:posOffset>-276225</wp:posOffset>
            </wp:positionV>
            <wp:extent cx="65405" cy="654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405" cy="65405"/>
                    </a:xfrm>
                    <a:prstGeom prst="rect">
                      <a:avLst/>
                    </a:prstGeom>
                    <a:noFill/>
                  </pic:spPr>
                </pic:pic>
              </a:graphicData>
            </a:graphic>
          </wp:anchor>
        </w:drawing>
      </w:r>
    </w:p>
    <w:p>
      <w:pPr>
        <w:ind w:left="1020"/>
        <w:spacing w:after="0" w:line="197" w:lineRule="auto"/>
        <w:rPr>
          <w:sz w:val="20"/>
          <w:szCs w:val="20"/>
          <w:color w:val="auto"/>
        </w:rPr>
      </w:pPr>
      <w:r>
        <w:rPr>
          <w:rFonts w:ascii="Times New Roman" w:cs="Times New Roman" w:eastAsia="Times New Roman" w:hAnsi="Times New Roman"/>
          <w:sz w:val="20"/>
          <w:szCs w:val="20"/>
          <w:color w:val="auto"/>
        </w:rPr>
        <w:t>Cannabis gross margin increased to 40% in fiscal 2025 from 33% in the prior fiscal year. Adjusted cannabis gross margin</w:t>
      </w:r>
      <w:r>
        <w:rPr>
          <w:rFonts w:ascii="Times New Roman" w:cs="Times New Roman" w:eastAsia="Times New Roman" w:hAnsi="Times New Roman"/>
          <w:sz w:val="33"/>
          <w:szCs w:val="33"/>
          <w:color w:val="auto"/>
          <w:vertAlign w:val="superscript"/>
        </w:rPr>
        <w:t>1</w:t>
      </w:r>
      <w:r>
        <w:rPr>
          <w:rFonts w:ascii="Times New Roman" w:cs="Times New Roman" w:eastAsia="Times New Roman" w:hAnsi="Times New Roman"/>
          <w:sz w:val="20"/>
          <w:szCs w:val="20"/>
          <w:color w:val="auto"/>
        </w:rPr>
        <w:t xml:space="preserve"> increased to 40% from 36% in the prior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501650</wp:posOffset>
            </wp:positionH>
            <wp:positionV relativeFrom="paragraph">
              <wp:posOffset>-242570</wp:posOffset>
            </wp:positionV>
            <wp:extent cx="65405" cy="654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5405" cy="65405"/>
                    </a:xfrm>
                    <a:prstGeom prst="rect">
                      <a:avLst/>
                    </a:prstGeom>
                    <a:noFill/>
                  </pic:spPr>
                </pic:pic>
              </a:graphicData>
            </a:graphic>
          </wp:anchor>
        </w:drawing>
      </w:r>
    </w:p>
    <w:p>
      <w:pPr>
        <w:jc w:val="both"/>
        <w:ind w:left="500"/>
        <w:spacing w:after="0" w:line="237" w:lineRule="auto"/>
        <w:rPr>
          <w:sz w:val="20"/>
          <w:szCs w:val="20"/>
          <w:color w:val="auto"/>
        </w:rPr>
      </w:pPr>
      <w:r>
        <w:rPr>
          <w:rFonts w:ascii="Times New Roman" w:cs="Times New Roman" w:eastAsia="Times New Roman" w:hAnsi="Times New Roman"/>
          <w:sz w:val="20"/>
          <w:szCs w:val="20"/>
          <w:color w:val="auto"/>
        </w:rPr>
        <w:t>Beverage net revenue increased 19% to $240.6 million in fiscal 2025 from $202.1 million in the prior fiscal year primarily due to our recent acquisition of craft beverage brands effective Sept 1, 2024, offset by our strategic SKU rationalization which impacted revenue by $20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-386715</wp:posOffset>
            </wp:positionV>
            <wp:extent cx="65405" cy="654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5405" cy="65405"/>
                    </a:xfrm>
                    <a:prstGeom prst="rect">
                      <a:avLst/>
                    </a:prstGeom>
                    <a:noFill/>
                  </pic:spPr>
                </pic:pic>
              </a:graphicData>
            </a:graphic>
          </wp:anchor>
        </w:drawing>
      </w:r>
    </w:p>
    <w:p>
      <w:pPr>
        <w:ind w:left="1020"/>
        <w:spacing w:after="0" w:line="200" w:lineRule="auto"/>
        <w:rPr>
          <w:sz w:val="20"/>
          <w:szCs w:val="20"/>
          <w:color w:val="auto"/>
        </w:rPr>
      </w:pPr>
      <w:r>
        <w:rPr>
          <w:rFonts w:ascii="Times New Roman" w:cs="Times New Roman" w:eastAsia="Times New Roman" w:hAnsi="Times New Roman"/>
          <w:sz w:val="20"/>
          <w:szCs w:val="20"/>
          <w:color w:val="auto"/>
        </w:rPr>
        <w:t>Beverage gross profit increased 5% to $93.0 million in fiscal 2025 from $88.6 million in the prior fiscal year. Adjusted beverage gross profit</w:t>
      </w:r>
      <w:r>
        <w:rPr>
          <w:rFonts w:ascii="Times New Roman" w:cs="Times New Roman" w:eastAsia="Times New Roman" w:hAnsi="Times New Roman"/>
          <w:sz w:val="33"/>
          <w:szCs w:val="33"/>
          <w:color w:val="auto"/>
          <w:vertAlign w:val="superscript"/>
        </w:rPr>
        <w:t>1</w:t>
      </w:r>
      <w:r>
        <w:rPr>
          <w:rFonts w:ascii="Times New Roman" w:cs="Times New Roman" w:eastAsia="Times New Roman" w:hAnsi="Times New Roman"/>
          <w:sz w:val="20"/>
          <w:szCs w:val="20"/>
          <w:color w:val="auto"/>
        </w:rPr>
        <w:t xml:space="preserve"> increased 2% to $94.6 million from $93.2 million in the prior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501650</wp:posOffset>
            </wp:positionH>
            <wp:positionV relativeFrom="paragraph">
              <wp:posOffset>-276225</wp:posOffset>
            </wp:positionV>
            <wp:extent cx="65405" cy="654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5405" cy="65405"/>
                    </a:xfrm>
                    <a:prstGeom prst="rect">
                      <a:avLst/>
                    </a:prstGeom>
                    <a:noFill/>
                  </pic:spPr>
                </pic:pic>
              </a:graphicData>
            </a:graphic>
          </wp:anchor>
        </w:drawing>
      </w:r>
    </w:p>
    <w:p>
      <w:pPr>
        <w:ind w:left="1020"/>
        <w:spacing w:after="0" w:line="197" w:lineRule="auto"/>
        <w:rPr>
          <w:sz w:val="20"/>
          <w:szCs w:val="20"/>
          <w:color w:val="auto"/>
        </w:rPr>
      </w:pPr>
      <w:r>
        <w:rPr>
          <w:rFonts w:ascii="Times New Roman" w:cs="Times New Roman" w:eastAsia="Times New Roman" w:hAnsi="Times New Roman"/>
          <w:sz w:val="20"/>
          <w:szCs w:val="20"/>
          <w:color w:val="auto"/>
        </w:rPr>
        <w:t>Beverage gross margin was 39% in fiscal 2025 compared to 44% in the prior fiscal year and adjusted gross beverage margin</w:t>
      </w:r>
      <w:r>
        <w:rPr>
          <w:rFonts w:ascii="Times New Roman" w:cs="Times New Roman" w:eastAsia="Times New Roman" w:hAnsi="Times New Roman"/>
          <w:sz w:val="33"/>
          <w:szCs w:val="33"/>
          <w:color w:val="auto"/>
          <w:vertAlign w:val="superscript"/>
        </w:rPr>
        <w:t>1</w:t>
      </w:r>
      <w:r>
        <w:rPr>
          <w:rFonts w:ascii="Times New Roman" w:cs="Times New Roman" w:eastAsia="Times New Roman" w:hAnsi="Times New Roman"/>
          <w:sz w:val="20"/>
          <w:szCs w:val="20"/>
          <w:color w:val="auto"/>
        </w:rPr>
        <w:t xml:space="preserve"> was 39% in fiscal 2025 compared to 46% in the prior fiscal year, reflecting lower margins from the acquired brands.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501650</wp:posOffset>
            </wp:positionH>
            <wp:positionV relativeFrom="paragraph">
              <wp:posOffset>-242570</wp:posOffset>
            </wp:positionV>
            <wp:extent cx="65405" cy="654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5405" cy="65405"/>
                    </a:xfrm>
                    <a:prstGeom prst="rect">
                      <a:avLst/>
                    </a:prstGeom>
                    <a:noFill/>
                  </pic:spPr>
                </pic:pic>
              </a:graphicData>
            </a:graphic>
          </wp:anchor>
        </w:drawing>
      </w:r>
    </w:p>
    <w:p>
      <w:pPr>
        <w:jc w:val="both"/>
        <w:ind w:left="500"/>
        <w:spacing w:after="0" w:line="237" w:lineRule="auto"/>
        <w:rPr>
          <w:sz w:val="20"/>
          <w:szCs w:val="20"/>
          <w:color w:val="auto"/>
        </w:rPr>
      </w:pPr>
      <w:r>
        <w:rPr>
          <w:rFonts w:ascii="Times New Roman" w:cs="Times New Roman" w:eastAsia="Times New Roman" w:hAnsi="Times New Roman"/>
          <w:sz w:val="20"/>
          <w:szCs w:val="20"/>
          <w:color w:val="auto"/>
        </w:rPr>
        <w:t>Distribution net revenue increased 5% to $271.2 million compared to $258.7 million in the prior fiscal year. Distribution gross margin remained consistent at 11% in fiscal 2025 compared to the prior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-242570</wp:posOffset>
            </wp:positionV>
            <wp:extent cx="65405" cy="654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5405" cy="65405"/>
                    </a:xfrm>
                    <a:prstGeom prst="rect">
                      <a:avLst/>
                    </a:prstGeom>
                    <a:noFill/>
                  </pic:spPr>
                </pic:pic>
              </a:graphicData>
            </a:graphic>
          </wp:anchor>
        </w:drawing>
      </w:r>
    </w:p>
    <w:p>
      <w:pPr>
        <w:jc w:val="center"/>
        <w:ind w:right="1420"/>
        <w:spacing w:after="0" w:line="238" w:lineRule="auto"/>
        <w:rPr>
          <w:sz w:val="20"/>
          <w:szCs w:val="20"/>
          <w:color w:val="auto"/>
        </w:rPr>
      </w:pPr>
      <w:r>
        <w:rPr>
          <w:rFonts w:ascii="Times New Roman" w:cs="Times New Roman" w:eastAsia="Times New Roman" w:hAnsi="Times New Roman"/>
          <w:sz w:val="20"/>
          <w:szCs w:val="20"/>
          <w:color w:val="auto"/>
        </w:rPr>
        <w:t>Wellness net revenue increased 9% to $60.5 million in fiscal 2025 from $55.3 million in the prior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-98425</wp:posOffset>
            </wp:positionV>
            <wp:extent cx="65405" cy="654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5405" cy="65405"/>
                    </a:xfrm>
                    <a:prstGeom prst="rect">
                      <a:avLst/>
                    </a:prstGeom>
                    <a:noFill/>
                  </pic:spPr>
                </pic:pic>
              </a:graphicData>
            </a:graphic>
          </wp:anchor>
        </w:drawing>
      </w:r>
    </w:p>
    <w:p>
      <w:pPr>
        <w:jc w:val="center"/>
        <w:ind w:right="1440"/>
        <w:spacing w:after="0" w:line="237" w:lineRule="auto"/>
        <w:rPr>
          <w:sz w:val="20"/>
          <w:szCs w:val="20"/>
          <w:color w:val="auto"/>
        </w:rPr>
      </w:pPr>
      <w:r>
        <w:rPr>
          <w:rFonts w:ascii="Times New Roman" w:cs="Times New Roman" w:eastAsia="Times New Roman" w:hAnsi="Times New Roman"/>
          <w:sz w:val="20"/>
          <w:szCs w:val="20"/>
          <w:color w:val="auto"/>
        </w:rPr>
        <w:t>Wellness gross margin increased to 32% in fiscal 2025 compared to 30% in the prior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501650</wp:posOffset>
            </wp:positionH>
            <wp:positionV relativeFrom="paragraph">
              <wp:posOffset>-97790</wp:posOffset>
            </wp:positionV>
            <wp:extent cx="65405" cy="654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5405" cy="65405"/>
                    </a:xfrm>
                    <a:prstGeom prst="rect">
                      <a:avLst/>
                    </a:prstGeom>
                    <a:noFill/>
                  </pic:spPr>
                </pic:pic>
              </a:graphicData>
            </a:graphic>
          </wp:anchor>
        </w:drawing>
      </w:r>
    </w:p>
    <w:p>
      <w:pPr>
        <w:jc w:val="both"/>
        <w:ind w:left="500"/>
        <w:spacing w:after="0" w:line="239" w:lineRule="auto"/>
        <w:rPr>
          <w:sz w:val="20"/>
          <w:szCs w:val="20"/>
          <w:color w:val="auto"/>
        </w:rPr>
      </w:pPr>
      <w:r>
        <w:rPr>
          <w:rFonts w:ascii="Times New Roman" w:cs="Times New Roman" w:eastAsia="Times New Roman" w:hAnsi="Times New Roman"/>
          <w:sz w:val="20"/>
          <w:szCs w:val="20"/>
          <w:color w:val="auto"/>
        </w:rPr>
        <w:t>Net income (loss) was ($2,181.4) million in fiscal 2025, compared to a net loss of ($222.4) million in the previous fiscal year. This change is mainly due to non-cash impairment of goodwill and intangible assets, as stated in Q4 financial highlights, of ($2,096.1) million. Net income (loss) per share was ($2.46), compared to a net income (loss) of ($0.33) per share in the prior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-389890</wp:posOffset>
            </wp:positionV>
            <wp:extent cx="65405" cy="654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5405" cy="65405"/>
                    </a:xfrm>
                    <a:prstGeom prst="rect">
                      <a:avLst/>
                    </a:prstGeom>
                    <a:noFill/>
                  </pic:spPr>
                </pic:pic>
              </a:graphicData>
            </a:graphic>
          </wp:anchor>
        </w:drawing>
      </w:r>
    </w:p>
    <w:p>
      <w:pPr>
        <w:jc w:val="both"/>
        <w:ind w:left="500"/>
        <w:spacing w:after="0" w:line="181" w:lineRule="auto"/>
        <w:rPr>
          <w:sz w:val="20"/>
          <w:szCs w:val="20"/>
          <w:color w:val="auto"/>
        </w:rPr>
      </w:pPr>
      <w:r>
        <w:rPr>
          <w:rFonts w:ascii="Times New Roman" w:cs="Times New Roman" w:eastAsia="Times New Roman" w:hAnsi="Times New Roman"/>
          <w:sz w:val="20"/>
          <w:szCs w:val="20"/>
          <w:color w:val="auto"/>
        </w:rPr>
        <w:t>Adjusted net income</w:t>
      </w:r>
      <w:r>
        <w:rPr>
          <w:rFonts w:ascii="Times New Roman" w:cs="Times New Roman" w:eastAsia="Times New Roman" w:hAnsi="Times New Roman"/>
          <w:sz w:val="32"/>
          <w:szCs w:val="32"/>
          <w:color w:val="auto"/>
          <w:vertAlign w:val="superscript"/>
        </w:rPr>
        <w:t>1</w:t>
      </w:r>
      <w:r>
        <w:rPr>
          <w:rFonts w:ascii="Times New Roman" w:cs="Times New Roman" w:eastAsia="Times New Roman" w:hAnsi="Times New Roman"/>
          <w:sz w:val="20"/>
          <w:szCs w:val="20"/>
          <w:color w:val="auto"/>
        </w:rPr>
        <w:t xml:space="preserve"> increased 45% to $9.0 million in fiscal 2025 compared to adjusted net income</w:t>
      </w:r>
      <w:r>
        <w:rPr>
          <w:rFonts w:ascii="Times New Roman" w:cs="Times New Roman" w:eastAsia="Times New Roman" w:hAnsi="Times New Roman"/>
          <w:sz w:val="32"/>
          <w:szCs w:val="32"/>
          <w:color w:val="auto"/>
          <w:vertAlign w:val="superscript"/>
        </w:rPr>
        <w:t>2</w:t>
      </w:r>
      <w:r>
        <w:rPr>
          <w:rFonts w:ascii="Times New Roman" w:cs="Times New Roman" w:eastAsia="Times New Roman" w:hAnsi="Times New Roman"/>
          <w:sz w:val="20"/>
          <w:szCs w:val="20"/>
          <w:color w:val="auto"/>
        </w:rPr>
        <w:t xml:space="preserve"> of $6.2 million in the prior fiscal year. Adjusted net income per share</w:t>
      </w:r>
      <w:r>
        <w:rPr>
          <w:rFonts w:ascii="Times New Roman" w:cs="Times New Roman" w:eastAsia="Times New Roman" w:hAnsi="Times New Roman"/>
          <w:sz w:val="32"/>
          <w:szCs w:val="32"/>
          <w:color w:val="auto"/>
          <w:vertAlign w:val="superscript"/>
        </w:rPr>
        <w:t>2</w:t>
      </w:r>
      <w:r>
        <w:rPr>
          <w:rFonts w:ascii="Times New Roman" w:cs="Times New Roman" w:eastAsia="Times New Roman" w:hAnsi="Times New Roman"/>
          <w:sz w:val="20"/>
          <w:szCs w:val="20"/>
          <w:color w:val="auto"/>
        </w:rPr>
        <w:t xml:space="preserve"> remained at $0.01 for the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-277495</wp:posOffset>
            </wp:positionV>
            <wp:extent cx="65405" cy="654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5405" cy="65405"/>
                    </a:xfrm>
                    <a:prstGeom prst="rect">
                      <a:avLst/>
                    </a:prstGeom>
                    <a:noFill/>
                  </pic:spPr>
                </pic:pic>
              </a:graphicData>
            </a:graphic>
          </wp:anchor>
        </w:drawing>
      </w:r>
    </w:p>
    <w:p>
      <w:pPr>
        <w:ind w:left="500"/>
        <w:spacing w:after="0" w:line="184" w:lineRule="auto"/>
        <w:rPr>
          <w:sz w:val="20"/>
          <w:szCs w:val="20"/>
          <w:color w:val="auto"/>
        </w:rPr>
      </w:pPr>
      <w:r>
        <w:rPr>
          <w:rFonts w:ascii="Times New Roman" w:cs="Times New Roman" w:eastAsia="Times New Roman" w:hAnsi="Times New Roman"/>
          <w:sz w:val="19"/>
          <w:szCs w:val="19"/>
          <w:color w:val="auto"/>
        </w:rPr>
        <w:t>Adjusted EBITDA</w:t>
      </w:r>
      <w:r>
        <w:rPr>
          <w:rFonts w:ascii="Times New Roman" w:cs="Times New Roman" w:eastAsia="Times New Roman" w:hAnsi="Times New Roman"/>
          <w:sz w:val="31"/>
          <w:szCs w:val="31"/>
          <w:color w:val="auto"/>
          <w:vertAlign w:val="superscript"/>
        </w:rPr>
        <w:t>1</w:t>
      </w:r>
      <w:r>
        <w:rPr>
          <w:rFonts w:ascii="Times New Roman" w:cs="Times New Roman" w:eastAsia="Times New Roman" w:hAnsi="Times New Roman"/>
          <w:sz w:val="19"/>
          <w:szCs w:val="19"/>
          <w:color w:val="auto"/>
        </w:rPr>
        <w:t xml:space="preserve"> was $55.0 million in fiscal 2025 compared to $60.5 million in the prior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-97790</wp:posOffset>
            </wp:positionV>
            <wp:extent cx="65405" cy="654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5405" cy="65405"/>
                    </a:xfrm>
                    <a:prstGeom prst="rect">
                      <a:avLst/>
                    </a:prstGeom>
                    <a:noFill/>
                  </pic:spPr>
                </pic:pic>
              </a:graphicData>
            </a:graphic>
          </wp:anchor>
        </w:drawing>
      </w:r>
    </w:p>
    <w:p>
      <w:pPr>
        <w:jc w:val="both"/>
        <w:ind w:left="500"/>
        <w:spacing w:after="0"/>
        <w:rPr>
          <w:sz w:val="20"/>
          <w:szCs w:val="20"/>
          <w:color w:val="auto"/>
        </w:rPr>
      </w:pPr>
      <w:r>
        <w:rPr>
          <w:rFonts w:ascii="Times New Roman" w:cs="Times New Roman" w:eastAsia="Times New Roman" w:hAnsi="Times New Roman"/>
          <w:sz w:val="20"/>
          <w:szCs w:val="20"/>
          <w:color w:val="auto"/>
        </w:rPr>
        <w:t>Strong financial liquidity position of $256.4 million, consisting of $221.7 million in cash and $34.7 million in marketable securities. Strengthened balance sheet and reduced bank indebtedness $10.9 million, net long-term debt $12.1 million and outstanding principal of the net convertible debt by $67.8 million from the previous fiscal year with another $5.0 million occurring subsequent to the fiscal year end totaling ~$100 million of debt repayments to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-537845</wp:posOffset>
            </wp:positionV>
            <wp:extent cx="65405" cy="654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5405" cy="65405"/>
                    </a:xfrm>
                    <a:prstGeom prst="rect">
                      <a:avLst/>
                    </a:prstGeom>
                    <a:noFill/>
                  </pic:spPr>
                </pic:pic>
              </a:graphicData>
            </a:graphic>
          </wp:anchor>
        </w:drawing>
        <w:drawing>
          <wp:anchor simplePos="0" relativeHeight="251657728" behindDoc="1" locked="0" layoutInCell="0" allowOverlap="1">
            <wp:simplePos x="0" y="0"/>
            <wp:positionH relativeFrom="column">
              <wp:posOffset>180340</wp:posOffset>
            </wp:positionH>
            <wp:positionV relativeFrom="paragraph">
              <wp:posOffset>-393700</wp:posOffset>
            </wp:positionV>
            <wp:extent cx="65405" cy="654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5405" cy="65405"/>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Fiscal Year 2026 Guidance</w:t>
      </w:r>
    </w:p>
    <w:p>
      <w:pPr>
        <w:sectPr>
          <w:pgSz w:w="11900" w:h="16838" w:orient="portrait"/>
          <w:cols w:equalWidth="0" w:num="1">
            <w:col w:w="11240"/>
          </w:cols>
          <w:pgMar w:left="320" w:top="114" w:right="339" w:bottom="0" w:gutter="0" w:footer="0" w:header="0"/>
        </w:sectPr>
      </w:pPr>
    </w:p>
    <w:bookmarkStart w:id="5" w:name="page6"/>
    <w:bookmarkEnd w:id="5"/>
    <w:p>
      <w:pPr>
        <w:spacing w:after="0" w:line="1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0"/>
          <w:szCs w:val="20"/>
          <w:color w:val="auto"/>
        </w:rPr>
        <w:t>For its fiscal year ended May 31, 2026, the Company expects to achieve adjusted EBITDA of $62 million to $72 million, representing growth of 13% to 31% as compared to fiscal year 2025.</w:t>
      </w:r>
    </w:p>
    <w:p>
      <w:pPr>
        <w:spacing w:after="0" w:line="13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Management’s guidance for adjusted EBITDA is provided on a non-GAAP basis and excludes stock-based compensation; change in fair value of contingent consideration; purchase price accounting step-up; impairments of intangible assets and goodwill; inventory valuation allowance; Other than temporary change in fair value of convertible notes receivable; facility start-up and closure costs; litigation costs; restructuring costs, transaction (income) costs and (Gain) loss on sale of capital assets – non-operating facility and other non-operating income (expenses) and other non-recurring items that may be incurred during the Company's fiscal year 2026, which the Company will continue to identify as it reports its future financial results.</w:t>
      </w:r>
    </w:p>
    <w:p>
      <w:pPr>
        <w:spacing w:after="0" w:line="16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Company cannot reconcile its expected adjusted EBITDA to net income “Fiscal Year 2026 Guidance” without unreasonable effort because of certain items that impact net income, and other reconciling metrics are out of the Company’s control and/or cannot be reasonably predicted at this time.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Live Audio Webcast</w:t>
      </w:r>
    </w:p>
    <w:p>
      <w:pPr>
        <w:spacing w:after="0" w:line="20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0"/>
          <w:szCs w:val="20"/>
          <w:color w:val="auto"/>
        </w:rPr>
        <w:t>Tilray Brands will host a webcast to discuss these results today at 4:30 p.m. Eastern Time. Investors may join the live webcast available on the Investors section of the Company’s website at www.Tilray.com. A replay will be available and archived on the Company’s website.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Tilray Brands</w:t>
      </w:r>
    </w:p>
    <w:p>
      <w:pPr>
        <w:spacing w:after="0" w:line="20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Tilray Brands, Inc. (“Tilray”) (Nasdaq: TLRY; TSX: TLRY), is a leading global lifestyle and consumer packaged goods company with operations in Canada, the United States, Europe, Australia, and Latin America that is leading as a transformative force at the nexus of cannabis, beverage, wellness, and entertainment, elevating lives through moments of connection. Tilray’s mission is to be a leading premium lifestyle company with a house of brands and innovative products that inspire joy, wellness and create memorable experiences. Tilray’s unprecedented platform supports over 40 brands in over 20 countries, including comprehensive cannabis offerings, hemp-based foods, and craft beverages.</w:t>
      </w:r>
    </w:p>
    <w:p>
      <w:pPr>
        <w:spacing w:after="0" w:line="1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0"/>
          <w:szCs w:val="20"/>
          <w:color w:val="auto"/>
        </w:rPr>
        <w:t>For more information on how we are elevating lives through moments of connection, visit Tilray.com and follow @Tilray on all social platforms.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Cautionary Statement Concerning Forward-Looking Statements</w:t>
      </w:r>
    </w:p>
    <w:p>
      <w:pPr>
        <w:spacing w:after="0" w:line="20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Certain statements in this press release constitute forward-looking information or forward-looking statements (together, “forward-looking statements”) under Canadian securities laws and within the meaning of Section 27A of the Securities Act of 1933, as amended, and Section 21E of the Securities Exchange Act of 1934, as amended, that are intended to be subject to the “safe harbor” created by those sections and other applicable laws. Forward-looking statements can be identified by words such as “forecast,” “future,” “should,” “could,” “enable,” “potential,” “contemplate,” “believe,” “anticipate,” “estimate,” “plan,” “expect,” “intend,” “position,” “may,” “project,” “will,” “would” and the negative of these terms or similar expressions, although not all forward-looking statements contain these identifying words. Certain material factors, estimates, goals, projections or assumptions were used in drawing the conclusions contained in the forward-looking statements throughout this communication.</w:t>
      </w:r>
    </w:p>
    <w:p>
      <w:pPr>
        <w:spacing w:after="0" w:line="16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Forward-looking statements include statements regarding our intentions, beliefs, projections, outlook, analyses or current expectations concerning, among other things: the Company’s ability to become a leading lifestyle consumer packaged goods company; the Company’s ability to become a leading beverage alcohol Company; the Company’s ability to achieve long term profitability; the Company’s ability to achieve operational scale, market share, distribution, profitability and revenue growth in particular business lines and markets; the Company’s ability to successfully achieve revenue growth, margin and profitability improvements, production and supply chain efficiencies, synergies and cost savings; the Company’s ability to achieve fiscal year 2026 financial guidance, including expected Adjusted EBITDA of $62 to $72 million and synergy optimizations; the Company’s expected revenue growth, sales volume, profitability, synergies and accretion related to any of its acquisitions; expected opportunities in the U.S., including upon U.S. federal cannabis legalization or rescheduling; the Company’s ability to successfully leverage artificial intelligence strategies; the Company’s anticipated investments and acquisitions, including in organic and strategic growth, partnership efforts, product offerings and other initiatives; and the Company’s ability to commercialize new and innovative products.</w:t>
      </w:r>
    </w:p>
    <w:p>
      <w:pPr>
        <w:spacing w:after="0" w:line="17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Many factors could cause actual results, performance or achievement to be materially different from any forward-looking statements, and other risks and uncertainties not presently known to the Company or that the Company deems immaterial could also cause actual results or events to differ materially from those expressed in the forward-looking statements contained herein. For a more detailed discussion of these risks and other factors, see the most recently filed annual information form of the Company and the Annual Report on Form 10-K (and other periodic reports filed with the SEC) of the Company made with the SEC and available on EDGAR. The forward-looking statements included in this communication are made as of the date of this communication and the Company does not undertake any obligation to publicly update such forward-looking statements to reflect new information, subsequent events or otherwise unless required by applicable securities laws.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Use of Non-U.S. GAAP Financial Measures</w:t>
      </w:r>
    </w:p>
    <w:p>
      <w:pPr>
        <w:spacing w:after="0" w:line="20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This press release and the accompanying tables include non-GAAP financial measures, including Adjusted gross margin (consolidated and for each of our reporting segments), Adjusted gross profit (consolidated and for each of our reporting segments), Adjusted EBITDA, Adjusted net income (loss), Adjusted net income (loss) per share, free cash flow, adjusted free cash flow, constant currency presentations of revenue, cash and marketable securities, net debt and net debt to adjusted EBITDA. Management believes that the non-GAAP financial measures presented provide useful additional information to investors about current trends in the Company's operations and are useful for period-over-period comparisons of operations. These non-GAAP financial measures should not be considered in isolation or as a substitute for the comparable GAAP measures. In addition, these non-GAAP measures may not be the same as similar measures provided by other companies due to potential differences in methods of calculation and items being excluded. They should be read only in connection with the Company's Consolidated Statements of Operations and Cash Flows presented in accordance with GAAP.</w:t>
      </w:r>
    </w:p>
    <w:p>
      <w:pPr>
        <w:sectPr>
          <w:pgSz w:w="11900" w:h="16848" w:orient="portrait"/>
          <w:cols w:equalWidth="0" w:num="1">
            <w:col w:w="11240"/>
          </w:cols>
          <w:pgMar w:left="320" w:top="114" w:right="339" w:bottom="0" w:gutter="0" w:footer="0" w:header="0"/>
        </w:sectPr>
      </w:pPr>
    </w:p>
    <w:bookmarkStart w:id="6" w:name="page7"/>
    <w:bookmarkEnd w:id="6"/>
    <w:p>
      <w:pPr>
        <w:jc w:val="both"/>
        <w:spacing w:after="0" w:line="243" w:lineRule="auto"/>
        <w:rPr>
          <w:sz w:val="20"/>
          <w:szCs w:val="20"/>
          <w:color w:val="auto"/>
        </w:rPr>
      </w:pPr>
      <w:r>
        <w:rPr>
          <w:rFonts w:ascii="Times New Roman" w:cs="Times New Roman" w:eastAsia="Times New Roman" w:hAnsi="Times New Roman"/>
          <w:sz w:val="20"/>
          <w:szCs w:val="20"/>
          <w:color w:val="auto"/>
        </w:rPr>
        <w:t>Certain forward-looking non-GAAP financial measures included in this press release are not reconciled to the comparable forward-looking GAAP financial measures. The Company is not able to reconcile these forward-looking non-GAAP financial measures to their most directly comparable forward-looking GAAP financial measures without unreasonable efforts because the Company is unable to predict with a reasonable degree of certainty the type and extent of certain items that would be expected to impact GAAP measures but would not impact the non-GAAP measures. Such items may include litigation and related expenses, transaction costs, impairments of intangible assets and goodwill, foreign exchange movements and other items. The unavailable information could have a significant impact on the Company's GAAP financial results.</w:t>
      </w:r>
    </w:p>
    <w:p>
      <w:pPr>
        <w:spacing w:after="0" w:line="16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The Company believes presenting net sales at constant currency provides useful information to investors because it provides transparency to underlying performance in the Company's consolidated net sales by excluding the effect that foreign currency exchange rate fluctuations have on period-to-period comparability given the volatility in foreign currency exchange markets. To present this information for historical periods, current period net sales for entities reporting in currencies other than the U.S. dollar are translated into U.S. dollars at the average monthly exchange rates in effect during the corresponding period of the prior fiscal year, rather than at the actual average monthly exchange rate in effect during the current period of the current fiscal year. As a result, the foreign currency impact is equal to the current year results in local currencies multiplied by the change in average foreign currency exchange rate between the current fiscal period and the corresponding period of the prior fiscal year. A reconciliation of prior year revenue to constant currency revenue the most directly comparable GAAP measure, has been provided in the financial statement tables included above in this press release.</w:t>
      </w:r>
    </w:p>
    <w:p>
      <w:pPr>
        <w:spacing w:after="0" w:line="17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Adjusted EBITDA is calculated as net income (loss) before income tax benefits, net; interest expense, net; non-operating income (expense), net; amortization; stock-based compensation; change in fair value of contingent consideration; purchase price accounting step-up; impairments of intangible assets and goodwill, other than temporary change in fair value of convertible notes receivable, project 420 optimization costs facility start-up and closure costs; litigation costs; restructuring costs, and transaction (income) costs, net. A reconciliation of Adjusted EBITDA to net loss, the most directly comparable GAAP measure, has been provided in the financial statement tables included below in this press release.</w:t>
      </w:r>
    </w:p>
    <w:p>
      <w:pPr>
        <w:spacing w:after="0" w:line="16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Adjusted net income (loss) is calculated as net loss attributable to stockholders of Tilray Brands, Inc., less; non-operating income (expense), net; amortization; stock-based compensation; change in fair value of contingent consideration; impairments of intangible assets and goodwill, Income tax recovery on impairment of intangible assets, other than temporary change in fair value of convertible notes receivable, project 420 optimization costs facility start-up and closure costs; litigation costs; restructuring costs and transaction (income) costs, net. A reconciliation of Adjusted net income (loss) to net loss attributable to stockholders of Tilray Brands, Inc., the most directly comparable GAAP measure, has been included below in this press release.</w:t>
      </w:r>
    </w:p>
    <w:p>
      <w:pPr>
        <w:spacing w:after="0" w:line="16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Adjusted net income (loss) per share is calculated as net loss attributable to stockholders of Tilray Brands, Inc., net; non-operating income (expense), net; amortization; stock-based compensation; change in fair value of contingent consideration; impairments of intangible assets and goodwill, Income tax recovery on impairment of intangible assets, other than temporary change in fair value of convertible notes receivable, project 420 optimization costs facility start-up and closure costs; litigation costs; restructuring costs and transaction (income) costs, divided by weighted average number of common shares outstanding. A reconciliation of Adjusted net income (loss) per share to net loss attributable to stockholders of Tilray Brands, Inc., the most directly comparable GAAP measure, has been included below in this press release. Adjusted net income (loss) per share is not calculated in accordance with GAAP and should not be considered an alternative for GAAP net income (loss) per share or as a measure of liquidity.</w:t>
      </w:r>
    </w:p>
    <w:p>
      <w:pPr>
        <w:spacing w:after="0" w:line="16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Adjusted gross profit (consolidated and for each of our reporting segments), is calculated as gross profit adjusted to exclude the impact of purchase price accounting valuation step-up. A reconciliation of Adjusted gross profit, excluding purchase price accounting valuation step-up, to gross profit, the most directly comparable GAAP measure, has been provided in the financial statement tables included above in this press release. Adjusted gross margin (consolidated and for each of our reporting segments), excluding purchase price accounting valuation step-up, is calculated as revenue less cost of sales adjusted to add back amortization of inventory step-up, divided by revenue. A reconciliation of Adjusted gross margin, excluding purchase price accounting valuation step-up, to gross margin, the most directly comparable GAAP measure, has been provided in the financial statement tables included above in this press release.</w:t>
      </w:r>
    </w:p>
    <w:p>
      <w:pPr>
        <w:spacing w:after="0" w:line="17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Free cash flow is comprised of two GAAP measures which are net cash flow provided by (used in) operating activities less investments in capital and intangible assets, net. A reconciliation of net cash flow provided by (used in) operating activities to free cash flow, the most directly comparable GAAP measure, has been provided in the financial statement tables included above in this press release. Adjusted free cash flow is comprised of two GAAP measures which are net cash flow provided by (used in) operating activities less investments in capital and intangible assets, net, and the exclusion of growth CAPEX from investments in capital and intangible assets, net, which excludes the amount of capital expenditures that are considered to be associated with growth of future operations rather than to maintain the existing operations of the Company, and excludes our integration costs related to HEXO and the cash income taxes related to Aphria Diamond to align with management’s prescribed guidance. A reconciliation of net cash flow provided by (used in) operating activities to adjusted free cash flow, the most directly comparable GAAP measure, has been provided in the financial statement tables included above in this press release.</w:t>
      </w:r>
    </w:p>
    <w:p>
      <w:pPr>
        <w:spacing w:after="0" w:line="1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Cash and marketable securities are comprised of two GAAP measures, cash and cash equivalents added to marketable securities. The Company’s management believes that this presentation provides useful information to management, analysts and investors regarding certain additional financial and business trends relating to its short-term liquidity position by combing these two GAAP metrics.</w:t>
      </w:r>
    </w:p>
    <w:p>
      <w:pPr>
        <w:spacing w:after="0" w:line="15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Net debt is comprised of GAAP measures and reduces bank indebtedness, current and non-current portions of long-term debt, the principal balance of convertible debt by cash and cash equivalents and marketable securities. The company believes this metric provides useful information to management, analysts, and investors regarding its liquidity and the Company’s ability to repay all of its debt. Net debt to adjusted EBITDA is a liquidity ratio used by management and is computed as the ratio of net debt to the trailing 12 months of adjusted EBITDA defined above.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Contacts: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Investor Relations</w:t>
      </w:r>
    </w:p>
    <w:p>
      <w:pPr>
        <w:sectPr>
          <w:pgSz w:w="11900" w:h="16838" w:orient="portrait"/>
          <w:cols w:equalWidth="0" w:num="1">
            <w:col w:w="11240"/>
          </w:cols>
          <w:pgMar w:left="320" w:top="114" w:right="339" w:bottom="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0"/>
          <w:szCs w:val="20"/>
          <w:u w:val="single" w:color="auto"/>
          <w:color w:val="auto"/>
        </w:rPr>
        <w:t>investors@tilray.com</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Pro-TLRY@prosek.com</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Media</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news@tilray.com</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266"/>
        </w:trPr>
        <w:tc>
          <w:tcPr>
            <w:tcW w:w="83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Consolidated Statements of Financial Position</w:t>
            </w:r>
          </w:p>
        </w:tc>
        <w:tc>
          <w:tcPr>
            <w:tcW w:w="240" w:type="dxa"/>
            <w:vAlign w:val="bottom"/>
          </w:tcPr>
          <w:p>
            <w:pPr>
              <w:spacing w:after="0"/>
              <w:rPr>
                <w:sz w:val="23"/>
                <w:szCs w:val="23"/>
                <w:color w:val="auto"/>
              </w:rPr>
            </w:pPr>
          </w:p>
        </w:tc>
        <w:tc>
          <w:tcPr>
            <w:tcW w:w="1240" w:type="dxa"/>
            <w:vAlign w:val="bottom"/>
            <w:gridSpan w:val="2"/>
            <w:vMerge w:val="restart"/>
          </w:tcPr>
          <w:p>
            <w:pPr>
              <w:ind w:left="100"/>
              <w:spacing w:after="0"/>
              <w:rPr>
                <w:sz w:val="20"/>
                <w:szCs w:val="20"/>
                <w:color w:val="auto"/>
              </w:rPr>
            </w:pPr>
            <w:r>
              <w:rPr>
                <w:rFonts w:ascii="Times New Roman" w:cs="Times New Roman" w:eastAsia="Times New Roman" w:hAnsi="Times New Roman"/>
                <w:sz w:val="20"/>
                <w:szCs w:val="20"/>
                <w:b w:val="1"/>
                <w:bCs w:val="1"/>
                <w:color w:val="auto"/>
              </w:rPr>
              <w:t>May 31,</w:t>
            </w:r>
          </w:p>
        </w:tc>
        <w:tc>
          <w:tcPr>
            <w:tcW w:w="220" w:type="dxa"/>
            <w:vAlign w:val="bottom"/>
          </w:tcPr>
          <w:p>
            <w:pPr>
              <w:spacing w:after="0"/>
              <w:rPr>
                <w:sz w:val="23"/>
                <w:szCs w:val="23"/>
                <w:color w:val="auto"/>
              </w:rPr>
            </w:pPr>
          </w:p>
        </w:tc>
        <w:tc>
          <w:tcPr>
            <w:tcW w:w="1120" w:type="dxa"/>
            <w:vAlign w:val="bottom"/>
            <w:vMerge w:val="restart"/>
          </w:tcPr>
          <w:p>
            <w:pPr>
              <w:jc w:val="right"/>
              <w:ind w:right="219"/>
              <w:spacing w:after="0"/>
              <w:rPr>
                <w:sz w:val="20"/>
                <w:szCs w:val="20"/>
                <w:color w:val="auto"/>
              </w:rPr>
            </w:pPr>
            <w:r>
              <w:rPr>
                <w:rFonts w:ascii="Times New Roman" w:cs="Times New Roman" w:eastAsia="Times New Roman" w:hAnsi="Times New Roman"/>
                <w:sz w:val="20"/>
                <w:szCs w:val="20"/>
                <w:b w:val="1"/>
                <w:bCs w:val="1"/>
                <w:color w:val="auto"/>
              </w:rPr>
              <w:t>May 31,</w:t>
            </w:r>
          </w:p>
        </w:tc>
        <w:tc>
          <w:tcPr>
            <w:tcW w:w="0" w:type="dxa"/>
            <w:vAlign w:val="bottom"/>
          </w:tcPr>
          <w:p>
            <w:pPr>
              <w:spacing w:after="0"/>
              <w:rPr>
                <w:sz w:val="1"/>
                <w:szCs w:val="1"/>
                <w:color w:val="auto"/>
              </w:rPr>
            </w:pPr>
          </w:p>
        </w:tc>
      </w:tr>
      <w:tr>
        <w:trPr>
          <w:trHeight w:val="239"/>
        </w:trPr>
        <w:tc>
          <w:tcPr>
            <w:tcW w:w="8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6"/>
        </w:trPr>
        <w:tc>
          <w:tcPr>
            <w:tcW w:w="83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(in thousands of US dollars)</w:t>
            </w:r>
          </w:p>
        </w:tc>
        <w:tc>
          <w:tcPr>
            <w:tcW w:w="2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20"/>
                <w:szCs w:val="20"/>
                <w:b w:val="1"/>
                <w:bCs w:val="1"/>
                <w:color w:val="auto"/>
              </w:rPr>
              <w:t>2025</w:t>
            </w:r>
          </w:p>
        </w:tc>
        <w:tc>
          <w:tcPr>
            <w:tcW w:w="1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20"/>
                <w:szCs w:val="20"/>
                <w:b w:val="1"/>
                <w:bCs w:val="1"/>
                <w:color w:val="auto"/>
              </w:rPr>
              <w:t>2024</w:t>
            </w:r>
          </w:p>
        </w:tc>
        <w:tc>
          <w:tcPr>
            <w:tcW w:w="0" w:type="dxa"/>
            <w:vAlign w:val="bottom"/>
          </w:tcPr>
          <w:p>
            <w:pPr>
              <w:spacing w:after="0"/>
              <w:rPr>
                <w:sz w:val="1"/>
                <w:szCs w:val="1"/>
                <w:color w:val="auto"/>
              </w:rPr>
            </w:pPr>
          </w:p>
        </w:tc>
      </w:tr>
      <w:tr>
        <w:trPr>
          <w:trHeight w:val="232"/>
        </w:trPr>
        <w:tc>
          <w:tcPr>
            <w:tcW w:w="83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83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Current assets</w:t>
            </w: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83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221,666</w:t>
            </w:r>
          </w:p>
        </w:tc>
        <w:tc>
          <w:tcPr>
            <w:tcW w:w="10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228,340</w:t>
            </w:r>
          </w:p>
        </w:tc>
        <w:tc>
          <w:tcPr>
            <w:tcW w:w="0" w:type="dxa"/>
            <w:vAlign w:val="bottom"/>
          </w:tcPr>
          <w:p>
            <w:pPr>
              <w:spacing w:after="0"/>
              <w:rPr>
                <w:sz w:val="1"/>
                <w:szCs w:val="1"/>
                <w:color w:val="auto"/>
              </w:rPr>
            </w:pPr>
          </w:p>
        </w:tc>
      </w:tr>
      <w:tr>
        <w:trPr>
          <w:trHeight w:val="253"/>
        </w:trPr>
        <w:tc>
          <w:tcPr>
            <w:tcW w:w="83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Marketable securities</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34,697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32,182</w:t>
            </w:r>
          </w:p>
        </w:tc>
        <w:tc>
          <w:tcPr>
            <w:tcW w:w="0" w:type="dxa"/>
            <w:vAlign w:val="bottom"/>
          </w:tcPr>
          <w:p>
            <w:pPr>
              <w:spacing w:after="0"/>
              <w:rPr>
                <w:sz w:val="1"/>
                <w:szCs w:val="1"/>
                <w:color w:val="auto"/>
              </w:rPr>
            </w:pPr>
          </w:p>
        </w:tc>
      </w:tr>
      <w:tr>
        <w:trPr>
          <w:trHeight w:val="253"/>
        </w:trPr>
        <w:tc>
          <w:tcPr>
            <w:tcW w:w="83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Accounts receivable, net</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121,489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101,695</w:t>
            </w:r>
          </w:p>
        </w:tc>
        <w:tc>
          <w:tcPr>
            <w:tcW w:w="0" w:type="dxa"/>
            <w:vAlign w:val="bottom"/>
          </w:tcPr>
          <w:p>
            <w:pPr>
              <w:spacing w:after="0"/>
              <w:rPr>
                <w:sz w:val="1"/>
                <w:szCs w:val="1"/>
                <w:color w:val="auto"/>
              </w:rPr>
            </w:pPr>
          </w:p>
        </w:tc>
      </w:tr>
      <w:tr>
        <w:trPr>
          <w:trHeight w:val="253"/>
        </w:trPr>
        <w:tc>
          <w:tcPr>
            <w:tcW w:w="83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Inventory</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270,882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252,087</w:t>
            </w:r>
          </w:p>
        </w:tc>
        <w:tc>
          <w:tcPr>
            <w:tcW w:w="0" w:type="dxa"/>
            <w:vAlign w:val="bottom"/>
          </w:tcPr>
          <w:p>
            <w:pPr>
              <w:spacing w:after="0"/>
              <w:rPr>
                <w:sz w:val="1"/>
                <w:szCs w:val="1"/>
                <w:color w:val="auto"/>
              </w:rPr>
            </w:pPr>
          </w:p>
        </w:tc>
      </w:tr>
      <w:tr>
        <w:trPr>
          <w:trHeight w:val="253"/>
        </w:trPr>
        <w:tc>
          <w:tcPr>
            <w:tcW w:w="83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Prepaids and other current assets</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34,092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31,332</w:t>
            </w:r>
          </w:p>
        </w:tc>
        <w:tc>
          <w:tcPr>
            <w:tcW w:w="0" w:type="dxa"/>
            <w:vAlign w:val="bottom"/>
          </w:tcPr>
          <w:p>
            <w:pPr>
              <w:spacing w:after="0"/>
              <w:rPr>
                <w:sz w:val="1"/>
                <w:szCs w:val="1"/>
                <w:color w:val="auto"/>
              </w:rPr>
            </w:pPr>
          </w:p>
        </w:tc>
      </w:tr>
      <w:tr>
        <w:trPr>
          <w:trHeight w:val="262"/>
        </w:trPr>
        <w:tc>
          <w:tcPr>
            <w:tcW w:w="83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Assets held for sale</w:t>
            </w: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5,800</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32,074</w:t>
            </w:r>
          </w:p>
        </w:tc>
        <w:tc>
          <w:tcPr>
            <w:tcW w:w="0" w:type="dxa"/>
            <w:vAlign w:val="bottom"/>
          </w:tcPr>
          <w:p>
            <w:pPr>
              <w:spacing w:after="0"/>
              <w:rPr>
                <w:sz w:val="1"/>
                <w:szCs w:val="1"/>
                <w:color w:val="auto"/>
              </w:rPr>
            </w:pPr>
          </w:p>
        </w:tc>
      </w:tr>
      <w:tr>
        <w:trPr>
          <w:trHeight w:val="236"/>
        </w:trPr>
        <w:tc>
          <w:tcPr>
            <w:tcW w:w="83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current assets</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688,626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677,710</w:t>
            </w:r>
          </w:p>
        </w:tc>
        <w:tc>
          <w:tcPr>
            <w:tcW w:w="0" w:type="dxa"/>
            <w:vAlign w:val="bottom"/>
          </w:tcPr>
          <w:p>
            <w:pPr>
              <w:spacing w:after="0"/>
              <w:rPr>
                <w:sz w:val="1"/>
                <w:szCs w:val="1"/>
                <w:color w:val="auto"/>
              </w:rPr>
            </w:pPr>
          </w:p>
        </w:tc>
      </w:tr>
      <w:tr>
        <w:trPr>
          <w:trHeight w:val="253"/>
        </w:trPr>
        <w:tc>
          <w:tcPr>
            <w:tcW w:w="83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Capital assets</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568,433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558,247</w:t>
            </w:r>
          </w:p>
        </w:tc>
        <w:tc>
          <w:tcPr>
            <w:tcW w:w="0" w:type="dxa"/>
            <w:vAlign w:val="bottom"/>
          </w:tcPr>
          <w:p>
            <w:pPr>
              <w:spacing w:after="0"/>
              <w:rPr>
                <w:sz w:val="1"/>
                <w:szCs w:val="1"/>
                <w:color w:val="auto"/>
              </w:rPr>
            </w:pPr>
          </w:p>
        </w:tc>
      </w:tr>
      <w:tr>
        <w:trPr>
          <w:trHeight w:val="253"/>
        </w:trPr>
        <w:tc>
          <w:tcPr>
            <w:tcW w:w="83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Operating lease, right-of-use assets</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22,279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16,101</w:t>
            </w:r>
          </w:p>
        </w:tc>
        <w:tc>
          <w:tcPr>
            <w:tcW w:w="0" w:type="dxa"/>
            <w:vAlign w:val="bottom"/>
          </w:tcPr>
          <w:p>
            <w:pPr>
              <w:spacing w:after="0"/>
              <w:rPr>
                <w:sz w:val="1"/>
                <w:szCs w:val="1"/>
                <w:color w:val="auto"/>
              </w:rPr>
            </w:pPr>
          </w:p>
        </w:tc>
      </w:tr>
      <w:tr>
        <w:trPr>
          <w:trHeight w:val="253"/>
        </w:trPr>
        <w:tc>
          <w:tcPr>
            <w:tcW w:w="83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Intangible assets</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21,423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915,469</w:t>
            </w:r>
          </w:p>
        </w:tc>
        <w:tc>
          <w:tcPr>
            <w:tcW w:w="0" w:type="dxa"/>
            <w:vAlign w:val="bottom"/>
          </w:tcPr>
          <w:p>
            <w:pPr>
              <w:spacing w:after="0"/>
              <w:rPr>
                <w:sz w:val="1"/>
                <w:szCs w:val="1"/>
                <w:color w:val="auto"/>
              </w:rPr>
            </w:pPr>
          </w:p>
        </w:tc>
      </w:tr>
      <w:tr>
        <w:trPr>
          <w:trHeight w:val="253"/>
        </w:trPr>
        <w:tc>
          <w:tcPr>
            <w:tcW w:w="83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Goodwill</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752,350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2,008,884</w:t>
            </w:r>
          </w:p>
        </w:tc>
        <w:tc>
          <w:tcPr>
            <w:tcW w:w="0" w:type="dxa"/>
            <w:vAlign w:val="bottom"/>
          </w:tcPr>
          <w:p>
            <w:pPr>
              <w:spacing w:after="0"/>
              <w:rPr>
                <w:sz w:val="1"/>
                <w:szCs w:val="1"/>
                <w:color w:val="auto"/>
              </w:rPr>
            </w:pPr>
          </w:p>
        </w:tc>
      </w:tr>
      <w:tr>
        <w:trPr>
          <w:trHeight w:val="253"/>
        </w:trPr>
        <w:tc>
          <w:tcPr>
            <w:tcW w:w="83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Long-term investments</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7,859</w:t>
            </w:r>
          </w:p>
        </w:tc>
        <w:tc>
          <w:tcPr>
            <w:tcW w:w="0" w:type="dxa"/>
            <w:vAlign w:val="bottom"/>
          </w:tcPr>
          <w:p>
            <w:pPr>
              <w:spacing w:after="0"/>
              <w:rPr>
                <w:sz w:val="1"/>
                <w:szCs w:val="1"/>
                <w:color w:val="auto"/>
              </w:rPr>
            </w:pPr>
          </w:p>
        </w:tc>
      </w:tr>
      <w:tr>
        <w:trPr>
          <w:trHeight w:val="253"/>
        </w:trPr>
        <w:tc>
          <w:tcPr>
            <w:tcW w:w="83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Convertible notes receivable</w:t>
            </w:r>
          </w:p>
        </w:tc>
        <w:tc>
          <w:tcPr>
            <w:tcW w:w="2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32,000</w:t>
            </w:r>
          </w:p>
        </w:tc>
        <w:tc>
          <w:tcPr>
            <w:tcW w:w="0" w:type="dxa"/>
            <w:vAlign w:val="bottom"/>
          </w:tcPr>
          <w:p>
            <w:pPr>
              <w:spacing w:after="0"/>
              <w:rPr>
                <w:sz w:val="1"/>
                <w:szCs w:val="1"/>
                <w:color w:val="auto"/>
              </w:rPr>
            </w:pPr>
          </w:p>
        </w:tc>
      </w:tr>
      <w:tr>
        <w:trPr>
          <w:trHeight w:val="262"/>
        </w:trPr>
        <w:tc>
          <w:tcPr>
            <w:tcW w:w="83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Other assets</w:t>
            </w: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11,084</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5,395</w:t>
            </w:r>
          </w:p>
        </w:tc>
        <w:tc>
          <w:tcPr>
            <w:tcW w:w="0" w:type="dxa"/>
            <w:vAlign w:val="bottom"/>
          </w:tcPr>
          <w:p>
            <w:pPr>
              <w:spacing w:after="0"/>
              <w:rPr>
                <w:sz w:val="1"/>
                <w:szCs w:val="1"/>
                <w:color w:val="auto"/>
              </w:rPr>
            </w:pPr>
          </w:p>
        </w:tc>
      </w:tr>
      <w:tr>
        <w:trPr>
          <w:trHeight w:val="249"/>
        </w:trPr>
        <w:tc>
          <w:tcPr>
            <w:tcW w:w="83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assets</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2,074,327</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4,221,665</w:t>
            </w:r>
          </w:p>
        </w:tc>
        <w:tc>
          <w:tcPr>
            <w:tcW w:w="0" w:type="dxa"/>
            <w:vAlign w:val="bottom"/>
          </w:tcPr>
          <w:p>
            <w:pPr>
              <w:spacing w:after="0"/>
              <w:rPr>
                <w:sz w:val="1"/>
                <w:szCs w:val="1"/>
                <w:color w:val="auto"/>
              </w:rPr>
            </w:pPr>
          </w:p>
        </w:tc>
      </w:tr>
      <w:tr>
        <w:trPr>
          <w:trHeight w:val="20"/>
        </w:trPr>
        <w:tc>
          <w:tcPr>
            <w:tcW w:w="830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Liabilities</w:t>
            </w: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83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83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Current liabilities</w:t>
            </w: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83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Bank indebtedness</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7,181</w:t>
            </w:r>
          </w:p>
        </w:tc>
        <w:tc>
          <w:tcPr>
            <w:tcW w:w="10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18,033</w:t>
            </w:r>
          </w:p>
        </w:tc>
        <w:tc>
          <w:tcPr>
            <w:tcW w:w="0" w:type="dxa"/>
            <w:vAlign w:val="bottom"/>
          </w:tcPr>
          <w:p>
            <w:pPr>
              <w:spacing w:after="0"/>
              <w:rPr>
                <w:sz w:val="1"/>
                <w:szCs w:val="1"/>
                <w:color w:val="auto"/>
              </w:rPr>
            </w:pPr>
          </w:p>
        </w:tc>
      </w:tr>
      <w:tr>
        <w:trPr>
          <w:trHeight w:val="253"/>
        </w:trPr>
        <w:tc>
          <w:tcPr>
            <w:tcW w:w="83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Accounts payable and accrued liabilities</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235,322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241,957</w:t>
            </w:r>
          </w:p>
        </w:tc>
        <w:tc>
          <w:tcPr>
            <w:tcW w:w="0" w:type="dxa"/>
            <w:vAlign w:val="bottom"/>
          </w:tcPr>
          <w:p>
            <w:pPr>
              <w:spacing w:after="0"/>
              <w:rPr>
                <w:sz w:val="1"/>
                <w:szCs w:val="1"/>
                <w:color w:val="auto"/>
              </w:rPr>
            </w:pPr>
          </w:p>
        </w:tc>
      </w:tr>
      <w:tr>
        <w:trPr>
          <w:trHeight w:val="253"/>
        </w:trPr>
        <w:tc>
          <w:tcPr>
            <w:tcW w:w="83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Contingent consideration</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15,000</w:t>
            </w:r>
          </w:p>
        </w:tc>
        <w:tc>
          <w:tcPr>
            <w:tcW w:w="0" w:type="dxa"/>
            <w:vAlign w:val="bottom"/>
          </w:tcPr>
          <w:p>
            <w:pPr>
              <w:spacing w:after="0"/>
              <w:rPr>
                <w:sz w:val="1"/>
                <w:szCs w:val="1"/>
                <w:color w:val="auto"/>
              </w:rPr>
            </w:pPr>
          </w:p>
        </w:tc>
      </w:tr>
      <w:tr>
        <w:trPr>
          <w:trHeight w:val="253"/>
        </w:trPr>
        <w:tc>
          <w:tcPr>
            <w:tcW w:w="83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Warrant liability</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3,253</w:t>
            </w:r>
          </w:p>
        </w:tc>
        <w:tc>
          <w:tcPr>
            <w:tcW w:w="0" w:type="dxa"/>
            <w:vAlign w:val="bottom"/>
          </w:tcPr>
          <w:p>
            <w:pPr>
              <w:spacing w:after="0"/>
              <w:rPr>
                <w:sz w:val="1"/>
                <w:szCs w:val="1"/>
                <w:color w:val="auto"/>
              </w:rPr>
            </w:pPr>
          </w:p>
        </w:tc>
      </w:tr>
      <w:tr>
        <w:trPr>
          <w:trHeight w:val="253"/>
        </w:trPr>
        <w:tc>
          <w:tcPr>
            <w:tcW w:w="83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Current portion of lease liabilities</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5,091</w:t>
            </w:r>
          </w:p>
        </w:tc>
        <w:tc>
          <w:tcPr>
            <w:tcW w:w="0" w:type="dxa"/>
            <w:vAlign w:val="bottom"/>
          </w:tcPr>
          <w:p>
            <w:pPr>
              <w:spacing w:after="0"/>
              <w:rPr>
                <w:sz w:val="1"/>
                <w:szCs w:val="1"/>
                <w:color w:val="auto"/>
              </w:rPr>
            </w:pPr>
          </w:p>
        </w:tc>
      </w:tr>
      <w:tr>
        <w:trPr>
          <w:trHeight w:val="253"/>
        </w:trPr>
        <w:tc>
          <w:tcPr>
            <w:tcW w:w="83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Current portion of long-term debt</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14,767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15,506</w:t>
            </w:r>
          </w:p>
        </w:tc>
        <w:tc>
          <w:tcPr>
            <w:tcW w:w="0" w:type="dxa"/>
            <w:vAlign w:val="bottom"/>
          </w:tcPr>
          <w:p>
            <w:pPr>
              <w:spacing w:after="0"/>
              <w:rPr>
                <w:sz w:val="1"/>
                <w:szCs w:val="1"/>
                <w:color w:val="auto"/>
              </w:rPr>
            </w:pPr>
          </w:p>
        </w:tc>
      </w:tr>
      <w:tr>
        <w:trPr>
          <w:trHeight w:val="262"/>
        </w:trPr>
        <w:tc>
          <w:tcPr>
            <w:tcW w:w="83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Current portion of convertible debentures payable</w:t>
            </w:r>
          </w:p>
        </w:tc>
        <w:tc>
          <w:tcPr>
            <w:tcW w:w="24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330</w:t>
            </w:r>
          </w:p>
        </w:tc>
        <w:tc>
          <w:tcPr>
            <w:tcW w:w="0" w:type="dxa"/>
            <w:vAlign w:val="bottom"/>
          </w:tcPr>
          <w:p>
            <w:pPr>
              <w:spacing w:after="0"/>
              <w:rPr>
                <w:sz w:val="1"/>
                <w:szCs w:val="1"/>
                <w:color w:val="auto"/>
              </w:rPr>
            </w:pPr>
          </w:p>
        </w:tc>
      </w:tr>
      <w:tr>
        <w:trPr>
          <w:trHeight w:val="232"/>
        </w:trPr>
        <w:tc>
          <w:tcPr>
            <w:tcW w:w="83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current liabilities</w:t>
            </w: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280,303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299,170</w:t>
            </w:r>
          </w:p>
        </w:tc>
        <w:tc>
          <w:tcPr>
            <w:tcW w:w="0" w:type="dxa"/>
            <w:vAlign w:val="bottom"/>
          </w:tcPr>
          <w:p>
            <w:pPr>
              <w:spacing w:after="0"/>
              <w:rPr>
                <w:sz w:val="1"/>
                <w:szCs w:val="1"/>
                <w:color w:val="auto"/>
              </w:rPr>
            </w:pPr>
          </w:p>
        </w:tc>
      </w:tr>
      <w:tr>
        <w:trPr>
          <w:trHeight w:val="257"/>
        </w:trPr>
        <w:tc>
          <w:tcPr>
            <w:tcW w:w="83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Long - term liabilities</w:t>
            </w: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83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Lease liabilities</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64,925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60,422</w:t>
            </w:r>
          </w:p>
        </w:tc>
        <w:tc>
          <w:tcPr>
            <w:tcW w:w="0" w:type="dxa"/>
            <w:vAlign w:val="bottom"/>
          </w:tcPr>
          <w:p>
            <w:pPr>
              <w:spacing w:after="0"/>
              <w:rPr>
                <w:sz w:val="1"/>
                <w:szCs w:val="1"/>
                <w:color w:val="auto"/>
              </w:rPr>
            </w:pPr>
          </w:p>
        </w:tc>
      </w:tr>
      <w:tr>
        <w:trPr>
          <w:trHeight w:val="253"/>
        </w:trPr>
        <w:tc>
          <w:tcPr>
            <w:tcW w:w="83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Long-term debt</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148,493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158,352</w:t>
            </w:r>
          </w:p>
        </w:tc>
        <w:tc>
          <w:tcPr>
            <w:tcW w:w="0" w:type="dxa"/>
            <w:vAlign w:val="bottom"/>
          </w:tcPr>
          <w:p>
            <w:pPr>
              <w:spacing w:after="0"/>
              <w:rPr>
                <w:sz w:val="1"/>
                <w:szCs w:val="1"/>
                <w:color w:val="auto"/>
              </w:rPr>
            </w:pPr>
          </w:p>
        </w:tc>
      </w:tr>
      <w:tr>
        <w:trPr>
          <w:trHeight w:val="253"/>
        </w:trPr>
        <w:tc>
          <w:tcPr>
            <w:tcW w:w="83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Convertible debentures payable</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86,428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129,583</w:t>
            </w:r>
          </w:p>
        </w:tc>
        <w:tc>
          <w:tcPr>
            <w:tcW w:w="0" w:type="dxa"/>
            <w:vAlign w:val="bottom"/>
          </w:tcPr>
          <w:p>
            <w:pPr>
              <w:spacing w:after="0"/>
              <w:rPr>
                <w:sz w:val="1"/>
                <w:szCs w:val="1"/>
                <w:color w:val="auto"/>
              </w:rPr>
            </w:pPr>
          </w:p>
        </w:tc>
      </w:tr>
      <w:tr>
        <w:trPr>
          <w:trHeight w:val="253"/>
        </w:trPr>
        <w:tc>
          <w:tcPr>
            <w:tcW w:w="83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Deferred tax liabilities, net</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130,870</w:t>
            </w:r>
          </w:p>
        </w:tc>
        <w:tc>
          <w:tcPr>
            <w:tcW w:w="0" w:type="dxa"/>
            <w:vAlign w:val="bottom"/>
          </w:tcPr>
          <w:p>
            <w:pPr>
              <w:spacing w:after="0"/>
              <w:rPr>
                <w:sz w:val="1"/>
                <w:szCs w:val="1"/>
                <w:color w:val="auto"/>
              </w:rPr>
            </w:pPr>
          </w:p>
        </w:tc>
      </w:tr>
      <w:tr>
        <w:trPr>
          <w:trHeight w:val="262"/>
        </w:trPr>
        <w:tc>
          <w:tcPr>
            <w:tcW w:w="83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Other liabilities</w:t>
            </w: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855</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90</w:t>
            </w:r>
          </w:p>
        </w:tc>
        <w:tc>
          <w:tcPr>
            <w:tcW w:w="0" w:type="dxa"/>
            <w:vAlign w:val="bottom"/>
          </w:tcPr>
          <w:p>
            <w:pPr>
              <w:spacing w:after="0"/>
              <w:rPr>
                <w:sz w:val="1"/>
                <w:szCs w:val="1"/>
                <w:color w:val="auto"/>
              </w:rPr>
            </w:pPr>
          </w:p>
        </w:tc>
      </w:tr>
      <w:tr>
        <w:trPr>
          <w:trHeight w:val="232"/>
        </w:trPr>
        <w:tc>
          <w:tcPr>
            <w:tcW w:w="83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liabilities</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584,752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778,487</w:t>
            </w:r>
          </w:p>
        </w:tc>
        <w:tc>
          <w:tcPr>
            <w:tcW w:w="0" w:type="dxa"/>
            <w:vAlign w:val="bottom"/>
          </w:tcPr>
          <w:p>
            <w:pPr>
              <w:spacing w:after="0"/>
              <w:rPr>
                <w:sz w:val="1"/>
                <w:szCs w:val="1"/>
                <w:color w:val="auto"/>
              </w:rPr>
            </w:pPr>
          </w:p>
        </w:tc>
      </w:tr>
      <w:tr>
        <w:trPr>
          <w:trHeight w:val="257"/>
        </w:trPr>
        <w:tc>
          <w:tcPr>
            <w:tcW w:w="83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Stockholders' equity</w:t>
            </w: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8300" w:type="dxa"/>
            <w:vAlign w:val="bottom"/>
          </w:tcPr>
          <w:p>
            <w:pPr>
              <w:ind w:left="240"/>
              <w:spacing w:after="0" w:line="228" w:lineRule="exact"/>
              <w:rPr>
                <w:sz w:val="20"/>
                <w:szCs w:val="20"/>
                <w:color w:val="auto"/>
              </w:rPr>
            </w:pPr>
            <w:r>
              <w:rPr>
                <w:rFonts w:ascii="Times New Roman" w:cs="Times New Roman" w:eastAsia="Times New Roman" w:hAnsi="Times New Roman"/>
                <w:sz w:val="20"/>
                <w:szCs w:val="20"/>
                <w:color w:val="auto"/>
              </w:rPr>
              <w:t>Common stock ($0.0001 par value; 1,416,000,000 common shares authorized; 1,060,678,745 and</w:t>
            </w:r>
          </w:p>
        </w:tc>
        <w:tc>
          <w:tcPr>
            <w:tcW w:w="240" w:type="dxa"/>
            <w:vAlign w:val="bottom"/>
          </w:tcPr>
          <w:p>
            <w:pPr>
              <w:spacing w:after="0"/>
              <w:rPr>
                <w:sz w:val="19"/>
                <w:szCs w:val="19"/>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106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83</w:t>
            </w:r>
          </w:p>
        </w:tc>
        <w:tc>
          <w:tcPr>
            <w:tcW w:w="0" w:type="dxa"/>
            <w:vAlign w:val="bottom"/>
          </w:tcPr>
          <w:p>
            <w:pPr>
              <w:spacing w:after="0"/>
              <w:rPr>
                <w:sz w:val="1"/>
                <w:szCs w:val="1"/>
                <w:color w:val="auto"/>
              </w:rPr>
            </w:pPr>
          </w:p>
        </w:tc>
      </w:tr>
      <w:tr>
        <w:trPr>
          <w:trHeight w:val="148"/>
        </w:trPr>
        <w:tc>
          <w:tcPr>
            <w:tcW w:w="830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auto"/>
              </w:rPr>
              <w:t>831,925,373 common shares issued and outstanding, respectively)</w:t>
            </w:r>
          </w:p>
        </w:tc>
        <w:tc>
          <w:tcPr>
            <w:tcW w:w="2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8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3"/>
        </w:trPr>
        <w:tc>
          <w:tcPr>
            <w:tcW w:w="83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Treasury Stock (2,004,218 and nil treasury shares issued and outstanding, respectively)</w:t>
            </w:r>
          </w:p>
        </w:tc>
        <w:tc>
          <w:tcPr>
            <w:tcW w:w="2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7"/>
        </w:trPr>
        <w:tc>
          <w:tcPr>
            <w:tcW w:w="8300" w:type="dxa"/>
            <w:vAlign w:val="bottom"/>
          </w:tcPr>
          <w:p>
            <w:pPr>
              <w:ind w:left="240"/>
              <w:spacing w:after="0" w:line="228" w:lineRule="exact"/>
              <w:rPr>
                <w:sz w:val="20"/>
                <w:szCs w:val="20"/>
                <w:color w:val="auto"/>
              </w:rPr>
            </w:pPr>
            <w:r>
              <w:rPr>
                <w:rFonts w:ascii="Times New Roman" w:cs="Times New Roman" w:eastAsia="Times New Roman" w:hAnsi="Times New Roman"/>
                <w:sz w:val="20"/>
                <w:szCs w:val="20"/>
                <w:color w:val="auto"/>
              </w:rPr>
              <w:t>Preferred shares ($0.0001 par value; 10,000,000 preferred shares authorized; nil and nil preferred</w:t>
            </w:r>
          </w:p>
        </w:tc>
        <w:tc>
          <w:tcPr>
            <w:tcW w:w="240" w:type="dxa"/>
            <w:vAlign w:val="bottom"/>
          </w:tcPr>
          <w:p>
            <w:pPr>
              <w:spacing w:after="0"/>
              <w:rPr>
                <w:sz w:val="19"/>
                <w:szCs w:val="19"/>
                <w:color w:val="auto"/>
              </w:rPr>
            </w:pPr>
          </w:p>
        </w:tc>
        <w:tc>
          <w:tcPr>
            <w:tcW w:w="12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19"/>
                <w:szCs w:val="19"/>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148"/>
        </w:trPr>
        <w:tc>
          <w:tcPr>
            <w:tcW w:w="830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auto"/>
              </w:rPr>
              <w:t>shares issued and outstanding, respectively)</w:t>
            </w:r>
          </w:p>
        </w:tc>
        <w:tc>
          <w:tcPr>
            <w:tcW w:w="2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8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3"/>
        </w:trPr>
        <w:tc>
          <w:tcPr>
            <w:tcW w:w="83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Additional paid-in capital</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6,401,657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6,146,810</w:t>
            </w:r>
          </w:p>
        </w:tc>
        <w:tc>
          <w:tcPr>
            <w:tcW w:w="0" w:type="dxa"/>
            <w:vAlign w:val="bottom"/>
          </w:tcPr>
          <w:p>
            <w:pPr>
              <w:spacing w:after="0"/>
              <w:rPr>
                <w:sz w:val="1"/>
                <w:szCs w:val="1"/>
                <w:color w:val="auto"/>
              </w:rPr>
            </w:pPr>
          </w:p>
        </w:tc>
      </w:tr>
      <w:tr>
        <w:trPr>
          <w:trHeight w:val="253"/>
        </w:trPr>
        <w:tc>
          <w:tcPr>
            <w:tcW w:w="83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Accumulated other comprehensive loss</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(43,063)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(43,499)</w:t>
            </w:r>
          </w:p>
        </w:tc>
        <w:tc>
          <w:tcPr>
            <w:tcW w:w="0" w:type="dxa"/>
            <w:vAlign w:val="bottom"/>
          </w:tcPr>
          <w:p>
            <w:pPr>
              <w:spacing w:after="0"/>
              <w:rPr>
                <w:sz w:val="1"/>
                <w:szCs w:val="1"/>
                <w:color w:val="auto"/>
              </w:rPr>
            </w:pPr>
          </w:p>
        </w:tc>
      </w:tr>
      <w:tr>
        <w:trPr>
          <w:trHeight w:val="262"/>
        </w:trPr>
        <w:tc>
          <w:tcPr>
            <w:tcW w:w="83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Accumulated Deficit</w:t>
            </w: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(4,847,226)</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(2,660,488)</w:t>
            </w:r>
          </w:p>
        </w:tc>
        <w:tc>
          <w:tcPr>
            <w:tcW w:w="0" w:type="dxa"/>
            <w:vAlign w:val="bottom"/>
          </w:tcPr>
          <w:p>
            <w:pPr>
              <w:spacing w:after="0"/>
              <w:rPr>
                <w:sz w:val="1"/>
                <w:szCs w:val="1"/>
                <w:color w:val="auto"/>
              </w:rPr>
            </w:pPr>
          </w:p>
        </w:tc>
      </w:tr>
      <w:tr>
        <w:trPr>
          <w:trHeight w:val="236"/>
        </w:trPr>
        <w:tc>
          <w:tcPr>
            <w:tcW w:w="83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Tilray Brands, Inc. stockholders' equity</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1,511,474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3,442,906</w:t>
            </w:r>
          </w:p>
        </w:tc>
        <w:tc>
          <w:tcPr>
            <w:tcW w:w="0" w:type="dxa"/>
            <w:vAlign w:val="bottom"/>
          </w:tcPr>
          <w:p>
            <w:pPr>
              <w:spacing w:after="0"/>
              <w:rPr>
                <w:sz w:val="1"/>
                <w:szCs w:val="1"/>
                <w:color w:val="auto"/>
              </w:rPr>
            </w:pPr>
          </w:p>
        </w:tc>
      </w:tr>
      <w:tr>
        <w:trPr>
          <w:trHeight w:val="262"/>
        </w:trPr>
        <w:tc>
          <w:tcPr>
            <w:tcW w:w="83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Non-controlling interests</w:t>
            </w: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(21,899)</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272</w:t>
            </w:r>
          </w:p>
        </w:tc>
        <w:tc>
          <w:tcPr>
            <w:tcW w:w="0" w:type="dxa"/>
            <w:vAlign w:val="bottom"/>
          </w:tcPr>
          <w:p>
            <w:pPr>
              <w:spacing w:after="0"/>
              <w:rPr>
                <w:sz w:val="1"/>
                <w:szCs w:val="1"/>
                <w:color w:val="auto"/>
              </w:rPr>
            </w:pPr>
          </w:p>
        </w:tc>
      </w:tr>
      <w:tr>
        <w:trPr>
          <w:trHeight w:val="249"/>
        </w:trPr>
        <w:tc>
          <w:tcPr>
            <w:tcW w:w="83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stockholders' equity</w:t>
            </w: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1,489,575</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3,443,178</w:t>
            </w:r>
          </w:p>
        </w:tc>
        <w:tc>
          <w:tcPr>
            <w:tcW w:w="0" w:type="dxa"/>
            <w:vAlign w:val="bottom"/>
          </w:tcPr>
          <w:p>
            <w:pPr>
              <w:spacing w:after="0"/>
              <w:rPr>
                <w:sz w:val="1"/>
                <w:szCs w:val="1"/>
                <w:color w:val="auto"/>
              </w:rPr>
            </w:pPr>
          </w:p>
        </w:tc>
      </w:tr>
      <w:tr>
        <w:trPr>
          <w:trHeight w:val="245"/>
        </w:trPr>
        <w:tc>
          <w:tcPr>
            <w:tcW w:w="83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liabilities and stockholders' equity</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2,074,327</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4,221,665</w:t>
            </w: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60"/>
          </w:cols>
          <w:pgMar w:left="320" w:top="114" w:right="3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Net Income (Loss) and Comprehensive Income (Loss)</w:t>
      </w:r>
    </w:p>
    <w:p>
      <w:pPr>
        <w:spacing w:after="0" w:line="36" w:lineRule="exact"/>
        <w:rPr>
          <w:sz w:val="20"/>
          <w:szCs w:val="20"/>
          <w:color w:val="auto"/>
        </w:rPr>
      </w:pPr>
    </w:p>
    <w:p>
      <w:pPr>
        <w:ind w:left="1840"/>
        <w:spacing w:after="0"/>
        <w:tabs>
          <w:tab w:leader="none" w:pos="6760" w:val="left"/>
        </w:tabs>
        <w:rPr>
          <w:sz w:val="20"/>
          <w:szCs w:val="20"/>
          <w:color w:val="auto"/>
        </w:rPr>
      </w:pPr>
      <w:r>
        <w:rPr>
          <w:rFonts w:ascii="Times New Roman" w:cs="Times New Roman" w:eastAsia="Times New Roman" w:hAnsi="Times New Roman"/>
          <w:sz w:val="20"/>
          <w:szCs w:val="20"/>
          <w:b w:val="1"/>
          <w:bCs w:val="1"/>
          <w:color w:val="auto"/>
        </w:rPr>
        <w:t>For the three months</w:t>
      </w:r>
      <w:r>
        <w:rPr>
          <w:sz w:val="20"/>
          <w:szCs w:val="20"/>
          <w:color w:val="auto"/>
        </w:rPr>
        <w:tab/>
      </w:r>
      <w:r>
        <w:rPr>
          <w:rFonts w:ascii="Times New Roman" w:cs="Times New Roman" w:eastAsia="Times New Roman" w:hAnsi="Times New Roman"/>
          <w:sz w:val="20"/>
          <w:szCs w:val="20"/>
          <w:b w:val="1"/>
          <w:bCs w:val="1"/>
          <w:color w:val="auto"/>
        </w:rPr>
        <w:t>For the twelve months</w:t>
      </w:r>
    </w:p>
    <w:p>
      <w:pPr>
        <w:spacing w:after="0" w:line="23" w:lineRule="exact"/>
        <w:rPr>
          <w:sz w:val="20"/>
          <w:szCs w:val="20"/>
          <w:color w:val="auto"/>
        </w:rPr>
      </w:pPr>
    </w:p>
    <w:p>
      <w:pPr>
        <w:ind w:left="2120"/>
        <w:spacing w:after="0"/>
        <w:tabs>
          <w:tab w:leader="none" w:pos="4340" w:val="left"/>
          <w:tab w:leader="none" w:pos="5400" w:val="left"/>
          <w:tab w:leader="none" w:pos="7060" w:val="left"/>
        </w:tabs>
        <w:rPr>
          <w:sz w:val="20"/>
          <w:szCs w:val="20"/>
          <w:color w:val="auto"/>
        </w:rPr>
      </w:pPr>
      <w:r>
        <w:rPr>
          <w:rFonts w:ascii="Times New Roman" w:cs="Times New Roman" w:eastAsia="Times New Roman" w:hAnsi="Times New Roman"/>
          <w:sz w:val="20"/>
          <w:szCs w:val="20"/>
          <w:b w:val="1"/>
          <w:bCs w:val="1"/>
          <w:color w:val="auto"/>
        </w:rPr>
        <w:t>ended May 31,</w:t>
      </w:r>
      <w:r>
        <w:rPr>
          <w:sz w:val="20"/>
          <w:szCs w:val="20"/>
          <w:color w:val="auto"/>
        </w:rPr>
        <w:tab/>
      </w:r>
      <w:r>
        <w:rPr>
          <w:rFonts w:ascii="Times New Roman" w:cs="Times New Roman" w:eastAsia="Times New Roman" w:hAnsi="Times New Roman"/>
          <w:sz w:val="20"/>
          <w:szCs w:val="20"/>
          <w:b w:val="1"/>
          <w:bCs w:val="1"/>
          <w:color w:val="auto"/>
        </w:rPr>
        <w:t>Change</w:t>
      </w:r>
      <w:r>
        <w:rPr>
          <w:sz w:val="20"/>
          <w:szCs w:val="20"/>
          <w:color w:val="auto"/>
        </w:rPr>
        <w:tab/>
      </w:r>
      <w:r>
        <w:rPr>
          <w:rFonts w:ascii="Times New Roman" w:cs="Times New Roman" w:eastAsia="Times New Roman" w:hAnsi="Times New Roman"/>
          <w:sz w:val="20"/>
          <w:szCs w:val="20"/>
          <w:b w:val="1"/>
          <w:bCs w:val="1"/>
          <w:color w:val="auto"/>
        </w:rPr>
        <w:t>% Change</w:t>
      </w:r>
      <w:r>
        <w:rPr>
          <w:sz w:val="20"/>
          <w:szCs w:val="20"/>
          <w:color w:val="auto"/>
        </w:rPr>
        <w:tab/>
      </w:r>
      <w:r>
        <w:rPr>
          <w:rFonts w:ascii="Times New Roman" w:cs="Times New Roman" w:eastAsia="Times New Roman" w:hAnsi="Times New Roman"/>
          <w:sz w:val="20"/>
          <w:szCs w:val="20"/>
          <w:b w:val="1"/>
          <w:bCs w:val="1"/>
          <w:color w:val="auto"/>
        </w:rPr>
        <w:t>ended May 31,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Change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Change</w:t>
      </w:r>
    </w:p>
    <w:p>
      <w:pPr>
        <w:sectPr>
          <w:pgSz w:w="11900" w:h="16838" w:orient="portrait"/>
          <w:cols w:equalWidth="0" w:num="3">
            <w:col w:w="8700" w:space="620"/>
            <w:col w:w="660" w:space="360"/>
            <w:col w:w="920"/>
          </w:cols>
          <w:pgMar w:left="320" w:top="114" w:right="319" w:bottom="0" w:gutter="0" w:footer="0" w:header="0"/>
          <w:type w:val="continuous"/>
        </w:sectPr>
      </w:pPr>
    </w:p>
    <w:bookmarkStart w:id="8" w:name="page9"/>
    <w:bookmarkEnd w:id="8"/>
    <w:p>
      <w:pPr>
        <w:ind w:right="20"/>
        <w:spacing w:after="0" w:line="257" w:lineRule="auto"/>
        <w:rPr>
          <w:sz w:val="20"/>
          <w:szCs w:val="20"/>
          <w:color w:val="auto"/>
        </w:rPr>
      </w:pPr>
      <w:r>
        <w:rPr>
          <w:rFonts w:ascii="Times New Roman" w:cs="Times New Roman" w:eastAsia="Times New Roman" w:hAnsi="Times New Roman"/>
          <w:sz w:val="20"/>
          <w:szCs w:val="20"/>
          <w:b w:val="1"/>
          <w:bCs w:val="1"/>
          <w:color w:val="auto"/>
        </w:rPr>
        <w:t>(in thousands of U.S. dollars,</w:t>
      </w:r>
    </w:p>
    <w:p>
      <w:pPr>
        <w:spacing w:after="0" w:line="2"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20"/>
          <w:szCs w:val="20"/>
          <w:b w:val="1"/>
          <w:bCs w:val="1"/>
          <w:color w:val="auto"/>
        </w:rPr>
        <w:t>except for per share data)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Net revenue</w:t>
      </w:r>
    </w:p>
    <w:p>
      <w:pPr>
        <w:spacing w:after="0" w:line="23" w:lineRule="exact"/>
        <w:rPr>
          <w:sz w:val="20"/>
          <w:szCs w:val="20"/>
          <w:color w:val="auto"/>
        </w:rPr>
      </w:pPr>
    </w:p>
    <w:p>
      <w:pPr>
        <w:ind w:right="280"/>
        <w:spacing w:after="0" w:line="250" w:lineRule="auto"/>
        <w:rPr>
          <w:sz w:val="20"/>
          <w:szCs w:val="20"/>
          <w:color w:val="auto"/>
        </w:rPr>
      </w:pPr>
      <w:r>
        <w:rPr>
          <w:rFonts w:ascii="Times New Roman" w:cs="Times New Roman" w:eastAsia="Times New Roman" w:hAnsi="Times New Roman"/>
          <w:sz w:val="20"/>
          <w:szCs w:val="20"/>
          <w:color w:val="auto"/>
        </w:rPr>
        <w:t>Cost of goods sold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Gross profit</w:t>
      </w:r>
    </w:p>
    <w:p>
      <w:pPr>
        <w:spacing w:after="0" w:line="26" w:lineRule="exact"/>
        <w:rPr>
          <w:sz w:val="20"/>
          <w:szCs w:val="20"/>
          <w:color w:val="auto"/>
        </w:rPr>
      </w:pPr>
    </w:p>
    <w:p>
      <w:pPr>
        <w:jc w:val="both"/>
        <w:ind w:right="600"/>
        <w:spacing w:after="0" w:line="255" w:lineRule="auto"/>
        <w:rPr>
          <w:sz w:val="20"/>
          <w:szCs w:val="20"/>
          <w:color w:val="auto"/>
        </w:rPr>
      </w:pPr>
      <w:r>
        <w:rPr>
          <w:rFonts w:ascii="Times New Roman" w:cs="Times New Roman" w:eastAsia="Times New Roman" w:hAnsi="Times New Roman"/>
          <w:sz w:val="20"/>
          <w:szCs w:val="20"/>
          <w:color w:val="auto"/>
        </w:rPr>
        <w:t>Operating expenses:</w:t>
      </w:r>
    </w:p>
    <w:p>
      <w:pPr>
        <w:spacing w:after="0" w:line="1" w:lineRule="exact"/>
        <w:rPr>
          <w:sz w:val="20"/>
          <w:szCs w:val="20"/>
          <w:color w:val="auto"/>
        </w:rPr>
      </w:pPr>
    </w:p>
    <w:p>
      <w:pPr>
        <w:ind w:left="240"/>
        <w:spacing w:after="0" w:line="250" w:lineRule="auto"/>
        <w:rPr>
          <w:sz w:val="20"/>
          <w:szCs w:val="20"/>
          <w:color w:val="auto"/>
        </w:rPr>
      </w:pPr>
      <w:r>
        <w:rPr>
          <w:rFonts w:ascii="Times New Roman" w:cs="Times New Roman" w:eastAsia="Times New Roman" w:hAnsi="Times New Roman"/>
          <w:sz w:val="20"/>
          <w:szCs w:val="20"/>
          <w:color w:val="auto"/>
        </w:rPr>
        <w:t>General and administrative</w:t>
      </w:r>
    </w:p>
    <w:p>
      <w:pPr>
        <w:spacing w:after="0" w:line="1" w:lineRule="exact"/>
        <w:rPr>
          <w:sz w:val="20"/>
          <w:szCs w:val="20"/>
          <w:color w:val="auto"/>
        </w:rPr>
      </w:pPr>
    </w:p>
    <w:p>
      <w:pPr>
        <w:ind w:left="240" w:right="80"/>
        <w:spacing w:after="0" w:line="259" w:lineRule="auto"/>
        <w:rPr>
          <w:sz w:val="20"/>
          <w:szCs w:val="20"/>
          <w:color w:val="auto"/>
        </w:rPr>
      </w:pPr>
      <w:r>
        <w:rPr>
          <w:rFonts w:ascii="Times New Roman" w:cs="Times New Roman" w:eastAsia="Times New Roman" w:hAnsi="Times New Roman"/>
          <w:sz w:val="20"/>
          <w:szCs w:val="20"/>
          <w:color w:val="auto"/>
        </w:rPr>
        <w:t>Selling Amortization Marketing</w:t>
      </w:r>
    </w:p>
    <w:p>
      <w:pPr>
        <w:ind w:left="240"/>
        <w:spacing w:after="0" w:line="238" w:lineRule="auto"/>
        <w:rPr>
          <w:sz w:val="20"/>
          <w:szCs w:val="20"/>
          <w:color w:val="auto"/>
        </w:rPr>
      </w:pPr>
      <w:r>
        <w:rPr>
          <w:rFonts w:ascii="Times New Roman" w:cs="Times New Roman" w:eastAsia="Times New Roman" w:hAnsi="Times New Roman"/>
          <w:sz w:val="20"/>
          <w:szCs w:val="20"/>
          <w:color w:val="auto"/>
        </w:rPr>
        <w:t>and</w:t>
      </w:r>
    </w:p>
    <w:p>
      <w:pPr>
        <w:ind w:left="240"/>
        <w:spacing w:after="0"/>
        <w:rPr>
          <w:sz w:val="20"/>
          <w:szCs w:val="20"/>
          <w:color w:val="auto"/>
        </w:rPr>
      </w:pPr>
      <w:r>
        <w:rPr>
          <w:rFonts w:ascii="Times New Roman" w:cs="Times New Roman" w:eastAsia="Times New Roman" w:hAnsi="Times New Roman"/>
          <w:sz w:val="20"/>
          <w:szCs w:val="20"/>
          <w:color w:val="auto"/>
        </w:rPr>
        <w:t>promotion</w:t>
      </w:r>
    </w:p>
    <w:p>
      <w:pPr>
        <w:spacing w:after="0" w:line="10" w:lineRule="exact"/>
        <w:rPr>
          <w:sz w:val="20"/>
          <w:szCs w:val="20"/>
          <w:color w:val="auto"/>
        </w:rPr>
      </w:pPr>
    </w:p>
    <w:p>
      <w:pPr>
        <w:ind w:left="240" w:right="80"/>
        <w:spacing w:after="0" w:line="250" w:lineRule="auto"/>
        <w:rPr>
          <w:sz w:val="20"/>
          <w:szCs w:val="20"/>
          <w:color w:val="auto"/>
        </w:rPr>
      </w:pPr>
      <w:r>
        <w:rPr>
          <w:rFonts w:ascii="Times New Roman" w:cs="Times New Roman" w:eastAsia="Times New Roman" w:hAnsi="Times New Roman"/>
          <w:sz w:val="20"/>
          <w:szCs w:val="20"/>
          <w:color w:val="auto"/>
        </w:rPr>
        <w:t>Research and development</w:t>
      </w:r>
    </w:p>
    <w:p>
      <w:pPr>
        <w:spacing w:after="0" w:line="1" w:lineRule="exact"/>
        <w:rPr>
          <w:sz w:val="20"/>
          <w:szCs w:val="20"/>
          <w:color w:val="auto"/>
        </w:rPr>
      </w:pPr>
    </w:p>
    <w:p>
      <w:pPr>
        <w:ind w:left="240"/>
        <w:spacing w:after="0" w:line="243" w:lineRule="auto"/>
        <w:rPr>
          <w:sz w:val="20"/>
          <w:szCs w:val="20"/>
          <w:color w:val="auto"/>
        </w:rPr>
      </w:pPr>
      <w:r>
        <w:rPr>
          <w:rFonts w:ascii="Times New Roman" w:cs="Times New Roman" w:eastAsia="Times New Roman" w:hAnsi="Times New Roman"/>
          <w:sz w:val="20"/>
          <w:szCs w:val="20"/>
          <w:color w:val="auto"/>
        </w:rPr>
        <w:t>Change in fair value of contingent consideration</w:t>
      </w:r>
    </w:p>
    <w:p>
      <w:pPr>
        <w:spacing w:after="0" w:line="4" w:lineRule="exact"/>
        <w:rPr>
          <w:sz w:val="20"/>
          <w:szCs w:val="20"/>
          <w:color w:val="auto"/>
        </w:rPr>
      </w:pPr>
    </w:p>
    <w:p>
      <w:pPr>
        <w:ind w:left="240"/>
        <w:spacing w:after="0" w:line="243" w:lineRule="auto"/>
        <w:rPr>
          <w:sz w:val="20"/>
          <w:szCs w:val="20"/>
          <w:color w:val="auto"/>
        </w:rPr>
      </w:pPr>
      <w:r>
        <w:rPr>
          <w:rFonts w:ascii="Times New Roman" w:cs="Times New Roman" w:eastAsia="Times New Roman" w:hAnsi="Times New Roman"/>
          <w:sz w:val="20"/>
          <w:szCs w:val="20"/>
          <w:color w:val="auto"/>
        </w:rPr>
        <w:t>Impairment of intangible assets and goodwill</w:t>
      </w:r>
    </w:p>
    <w:p>
      <w:pPr>
        <w:spacing w:after="0" w:line="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auto"/>
        </w:rPr>
        <w:t>Other than</w:t>
      </w:r>
    </w:p>
    <w:p>
      <w:pPr>
        <w:spacing w:after="0" w:line="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auto"/>
        </w:rPr>
        <w:t>temporary</w:t>
      </w:r>
    </w:p>
    <w:p>
      <w:pPr>
        <w:ind w:left="240"/>
        <w:spacing w:after="0" w:line="237" w:lineRule="auto"/>
        <w:rPr>
          <w:sz w:val="20"/>
          <w:szCs w:val="20"/>
          <w:color w:val="auto"/>
        </w:rPr>
      </w:pPr>
      <w:r>
        <w:rPr>
          <w:rFonts w:ascii="Times New Roman" w:cs="Times New Roman" w:eastAsia="Times New Roman" w:hAnsi="Times New Roman"/>
          <w:sz w:val="20"/>
          <w:szCs w:val="20"/>
          <w:color w:val="auto"/>
        </w:rPr>
        <w:t>change in fair</w:t>
      </w:r>
    </w:p>
    <w:p>
      <w:pPr>
        <w:ind w:left="240"/>
        <w:spacing w:after="0" w:line="237" w:lineRule="auto"/>
        <w:rPr>
          <w:sz w:val="20"/>
          <w:szCs w:val="20"/>
          <w:color w:val="auto"/>
        </w:rPr>
      </w:pPr>
      <w:r>
        <w:rPr>
          <w:rFonts w:ascii="Times New Roman" w:cs="Times New Roman" w:eastAsia="Times New Roman" w:hAnsi="Times New Roman"/>
          <w:sz w:val="20"/>
          <w:szCs w:val="20"/>
          <w:color w:val="auto"/>
        </w:rPr>
        <w:t>value of</w:t>
      </w:r>
    </w:p>
    <w:p>
      <w:pPr>
        <w:ind w:left="240"/>
        <w:spacing w:after="0" w:line="238" w:lineRule="auto"/>
        <w:rPr>
          <w:sz w:val="20"/>
          <w:szCs w:val="20"/>
          <w:color w:val="auto"/>
        </w:rPr>
      </w:pPr>
      <w:r>
        <w:rPr>
          <w:rFonts w:ascii="Times New Roman" w:cs="Times New Roman" w:eastAsia="Times New Roman" w:hAnsi="Times New Roman"/>
          <w:sz w:val="20"/>
          <w:szCs w:val="20"/>
          <w:color w:val="auto"/>
        </w:rPr>
        <w:t>convertible</w:t>
      </w:r>
    </w:p>
    <w:p>
      <w:pPr>
        <w:ind w:left="240"/>
        <w:spacing w:after="0" w:line="237" w:lineRule="auto"/>
        <w:rPr>
          <w:sz w:val="20"/>
          <w:szCs w:val="20"/>
          <w:color w:val="auto"/>
        </w:rPr>
      </w:pPr>
      <w:r>
        <w:rPr>
          <w:rFonts w:ascii="Times New Roman" w:cs="Times New Roman" w:eastAsia="Times New Roman" w:hAnsi="Times New Roman"/>
          <w:sz w:val="20"/>
          <w:szCs w:val="20"/>
          <w:color w:val="auto"/>
        </w:rPr>
        <w:t>notes</w:t>
      </w:r>
    </w:p>
    <w:p>
      <w:pPr>
        <w:ind w:left="240"/>
        <w:spacing w:after="0"/>
        <w:rPr>
          <w:sz w:val="20"/>
          <w:szCs w:val="20"/>
          <w:color w:val="auto"/>
        </w:rPr>
      </w:pPr>
      <w:r>
        <w:rPr>
          <w:rFonts w:ascii="Times New Roman" w:cs="Times New Roman" w:eastAsia="Times New Roman" w:hAnsi="Times New Roman"/>
          <w:sz w:val="20"/>
          <w:szCs w:val="20"/>
          <w:color w:val="auto"/>
        </w:rPr>
        <w:t>receivable</w:t>
      </w:r>
    </w:p>
    <w:p>
      <w:pPr>
        <w:spacing w:after="0" w:line="10" w:lineRule="exact"/>
        <w:rPr>
          <w:sz w:val="20"/>
          <w:szCs w:val="20"/>
          <w:color w:val="auto"/>
        </w:rPr>
      </w:pPr>
    </w:p>
    <w:p>
      <w:pPr>
        <w:ind w:left="240" w:right="200"/>
        <w:spacing w:after="0" w:line="259" w:lineRule="auto"/>
        <w:rPr>
          <w:sz w:val="20"/>
          <w:szCs w:val="20"/>
          <w:color w:val="auto"/>
        </w:rPr>
      </w:pPr>
      <w:r>
        <w:rPr>
          <w:rFonts w:ascii="Times New Roman" w:cs="Times New Roman" w:eastAsia="Times New Roman" w:hAnsi="Times New Roman"/>
          <w:sz w:val="19"/>
          <w:szCs w:val="19"/>
          <w:color w:val="auto"/>
        </w:rPr>
        <w:t>Litigation costs, net of recoveries</w:t>
      </w:r>
    </w:p>
    <w:p>
      <w:pPr>
        <w:ind w:left="240" w:right="60"/>
        <w:spacing w:after="0" w:line="250" w:lineRule="auto"/>
        <w:rPr>
          <w:sz w:val="20"/>
          <w:szCs w:val="20"/>
          <w:color w:val="auto"/>
        </w:rPr>
      </w:pPr>
      <w:r>
        <w:rPr>
          <w:rFonts w:ascii="Times New Roman" w:cs="Times New Roman" w:eastAsia="Times New Roman" w:hAnsi="Times New Roman"/>
          <w:sz w:val="20"/>
          <w:szCs w:val="20"/>
          <w:color w:val="auto"/>
        </w:rPr>
        <w:t>Restructuring costs</w:t>
      </w:r>
    </w:p>
    <w:p>
      <w:pPr>
        <w:spacing w:after="0" w:line="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auto"/>
        </w:rPr>
        <w:t>Transaction</w:t>
      </w:r>
    </w:p>
    <w:p>
      <w:pPr>
        <w:spacing w:after="0" w:line="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auto"/>
        </w:rPr>
        <w:t>costs</w:t>
      </w:r>
    </w:p>
    <w:p>
      <w:pPr>
        <w:ind w:left="240"/>
        <w:spacing w:after="0"/>
        <w:rPr>
          <w:sz w:val="20"/>
          <w:szCs w:val="20"/>
          <w:color w:val="auto"/>
        </w:rPr>
      </w:pPr>
      <w:r>
        <w:rPr>
          <w:rFonts w:ascii="Times New Roman" w:cs="Times New Roman" w:eastAsia="Times New Roman" w:hAnsi="Times New Roman"/>
          <w:sz w:val="20"/>
          <w:szCs w:val="20"/>
          <w:color w:val="auto"/>
        </w:rPr>
        <w:t>(income), net</w:t>
      </w:r>
    </w:p>
    <w:p>
      <w:pPr>
        <w:spacing w:after="0" w:line="10" w:lineRule="exact"/>
        <w:rPr>
          <w:sz w:val="20"/>
          <w:szCs w:val="20"/>
          <w:color w:val="auto"/>
        </w:rPr>
      </w:pPr>
    </w:p>
    <w:p>
      <w:pPr>
        <w:ind w:right="180"/>
        <w:spacing w:after="0" w:line="263" w:lineRule="auto"/>
        <w:rPr>
          <w:sz w:val="20"/>
          <w:szCs w:val="20"/>
          <w:color w:val="auto"/>
        </w:rPr>
      </w:pPr>
      <w:r>
        <w:rPr>
          <w:rFonts w:ascii="Times New Roman" w:cs="Times New Roman" w:eastAsia="Times New Roman" w:hAnsi="Times New Roman"/>
          <w:sz w:val="19"/>
          <w:szCs w:val="19"/>
          <w:color w:val="auto"/>
        </w:rPr>
        <w:t>Total operating expenses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Operating loss</w:t>
      </w:r>
    </w:p>
    <w:p>
      <w:pPr>
        <w:spacing w:after="0" w:line="26" w:lineRule="exact"/>
        <w:rPr>
          <w:sz w:val="20"/>
          <w:szCs w:val="20"/>
          <w:color w:val="auto"/>
        </w:rPr>
      </w:pPr>
    </w:p>
    <w:p>
      <w:pPr>
        <w:ind w:left="240" w:right="160"/>
        <w:spacing w:after="0" w:line="255" w:lineRule="auto"/>
        <w:rPr>
          <w:sz w:val="20"/>
          <w:szCs w:val="20"/>
          <w:color w:val="auto"/>
        </w:rPr>
      </w:pPr>
      <w:r>
        <w:rPr>
          <w:rFonts w:ascii="Times New Roman" w:cs="Times New Roman" w:eastAsia="Times New Roman" w:hAnsi="Times New Roman"/>
          <w:sz w:val="20"/>
          <w:szCs w:val="20"/>
          <w:color w:val="auto"/>
        </w:rPr>
        <w:t>Interest expense, net</w:t>
      </w:r>
    </w:p>
    <w:p>
      <w:pPr>
        <w:spacing w:after="0" w:line="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auto"/>
        </w:rPr>
        <w:t>Non-</w:t>
      </w:r>
    </w:p>
    <w:p>
      <w:pPr>
        <w:spacing w:after="0" w:line="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auto"/>
        </w:rPr>
        <w:t>operating</w:t>
      </w:r>
    </w:p>
    <w:p>
      <w:pPr>
        <w:ind w:left="240"/>
        <w:spacing w:after="0" w:line="237" w:lineRule="auto"/>
        <w:rPr>
          <w:sz w:val="20"/>
          <w:szCs w:val="20"/>
          <w:color w:val="auto"/>
        </w:rPr>
      </w:pPr>
      <w:r>
        <w:rPr>
          <w:rFonts w:ascii="Times New Roman" w:cs="Times New Roman" w:eastAsia="Times New Roman" w:hAnsi="Times New Roman"/>
          <w:sz w:val="20"/>
          <w:szCs w:val="20"/>
          <w:color w:val="auto"/>
        </w:rPr>
        <w:t>income</w:t>
      </w:r>
    </w:p>
    <w:p>
      <w:pPr>
        <w:ind w:left="240"/>
        <w:spacing w:after="0"/>
        <w:rPr>
          <w:sz w:val="20"/>
          <w:szCs w:val="20"/>
          <w:color w:val="auto"/>
        </w:rPr>
      </w:pPr>
      <w:r>
        <w:rPr>
          <w:rFonts w:ascii="Times New Roman" w:cs="Times New Roman" w:eastAsia="Times New Roman" w:hAnsi="Times New Roman"/>
          <w:sz w:val="20"/>
          <w:szCs w:val="20"/>
          <w:color w:val="auto"/>
        </w:rPr>
        <w:t>(expense), net</w:t>
      </w:r>
    </w:p>
    <w:p>
      <w:pPr>
        <w:spacing w:after="0" w:line="10" w:lineRule="exact"/>
        <w:rPr>
          <w:sz w:val="20"/>
          <w:szCs w:val="20"/>
          <w:color w:val="auto"/>
        </w:rPr>
      </w:pPr>
    </w:p>
    <w:p>
      <w:pPr>
        <w:ind w:right="340"/>
        <w:spacing w:after="0" w:line="250" w:lineRule="auto"/>
        <w:rPr>
          <w:sz w:val="20"/>
          <w:szCs w:val="20"/>
          <w:color w:val="auto"/>
        </w:rPr>
      </w:pPr>
      <w:r>
        <w:rPr>
          <w:rFonts w:ascii="Times New Roman" w:cs="Times New Roman" w:eastAsia="Times New Roman" w:hAnsi="Times New Roman"/>
          <w:sz w:val="20"/>
          <w:szCs w:val="20"/>
          <w:color w:val="auto"/>
        </w:rPr>
        <w:t>Loss before income taxes</w:t>
      </w:r>
    </w:p>
    <w:p>
      <w:pPr>
        <w:spacing w:after="0" w:line="1" w:lineRule="exact"/>
        <w:rPr>
          <w:sz w:val="20"/>
          <w:szCs w:val="20"/>
          <w:color w:val="auto"/>
        </w:rPr>
      </w:pPr>
    </w:p>
    <w:p>
      <w:pPr>
        <w:jc w:val="both"/>
        <w:ind w:left="240" w:right="260"/>
        <w:spacing w:after="0" w:line="247" w:lineRule="auto"/>
        <w:rPr>
          <w:sz w:val="20"/>
          <w:szCs w:val="20"/>
          <w:color w:val="auto"/>
        </w:rPr>
      </w:pPr>
      <w:r>
        <w:rPr>
          <w:rFonts w:ascii="Times New Roman" w:cs="Times New Roman" w:eastAsia="Times New Roman" w:hAnsi="Times New Roman"/>
          <w:sz w:val="20"/>
          <w:szCs w:val="20"/>
          <w:color w:val="auto"/>
        </w:rPr>
        <w:t>Income tax (recovery) expense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Net loss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Total net income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(loss)</w:t>
      </w:r>
    </w:p>
    <w:p>
      <w:pPr>
        <w:spacing w:after="0"/>
        <w:rPr>
          <w:sz w:val="20"/>
          <w:szCs w:val="20"/>
          <w:color w:val="auto"/>
        </w:rPr>
      </w:pPr>
      <w:r>
        <w:rPr>
          <w:rFonts w:ascii="Times New Roman" w:cs="Times New Roman" w:eastAsia="Times New Roman" w:hAnsi="Times New Roman"/>
          <w:sz w:val="20"/>
          <w:szCs w:val="20"/>
          <w:color w:val="auto"/>
        </w:rPr>
        <w:t>attributable to:</w:t>
      </w:r>
    </w:p>
    <w:p>
      <w:pPr>
        <w:spacing w:after="0" w:line="10" w:lineRule="exact"/>
        <w:rPr>
          <w:sz w:val="20"/>
          <w:szCs w:val="20"/>
          <w:color w:val="auto"/>
        </w:rPr>
      </w:pPr>
    </w:p>
    <w:p>
      <w:pPr>
        <w:ind w:left="240" w:right="120"/>
        <w:spacing w:after="0" w:line="259" w:lineRule="auto"/>
        <w:rPr>
          <w:sz w:val="20"/>
          <w:szCs w:val="20"/>
          <w:color w:val="auto"/>
        </w:rPr>
      </w:pPr>
      <w:r>
        <w:rPr>
          <w:rFonts w:ascii="Times New Roman" w:cs="Times New Roman" w:eastAsia="Times New Roman" w:hAnsi="Times New Roman"/>
          <w:sz w:val="19"/>
          <w:szCs w:val="19"/>
          <w:color w:val="auto"/>
        </w:rPr>
        <w:t>Stockholders of Tilray Brands, Inc.</w:t>
      </w:r>
    </w:p>
    <w:p>
      <w:pPr>
        <w:ind w:left="240"/>
        <w:spacing w:after="0"/>
        <w:rPr>
          <w:sz w:val="20"/>
          <w:szCs w:val="20"/>
          <w:color w:val="auto"/>
        </w:rPr>
      </w:pPr>
      <w:r>
        <w:rPr>
          <w:rFonts w:ascii="Times New Roman" w:cs="Times New Roman" w:eastAsia="Times New Roman" w:hAnsi="Times New Roman"/>
          <w:sz w:val="20"/>
          <w:szCs w:val="20"/>
          <w:color w:val="auto"/>
        </w:rPr>
        <w:t>Non-</w:t>
      </w:r>
    </w:p>
    <w:p>
      <w:pPr>
        <w:spacing w:after="0" w:line="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auto"/>
        </w:rPr>
        <w:t>controlling</w:t>
      </w:r>
    </w:p>
    <w:p>
      <w:pPr>
        <w:ind w:left="240"/>
        <w:spacing w:after="0"/>
        <w:rPr>
          <w:sz w:val="20"/>
          <w:szCs w:val="20"/>
          <w:color w:val="auto"/>
        </w:rPr>
      </w:pPr>
      <w:r>
        <w:rPr>
          <w:rFonts w:ascii="Times New Roman" w:cs="Times New Roman" w:eastAsia="Times New Roman" w:hAnsi="Times New Roman"/>
          <w:sz w:val="20"/>
          <w:szCs w:val="20"/>
          <w:color w:val="auto"/>
        </w:rPr>
        <w:t>interests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Other</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comprehensive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7"/>
        </w:trPr>
        <w:tc>
          <w:tcPr>
            <w:tcW w:w="120" w:type="dxa"/>
            <w:vAlign w:val="bottom"/>
          </w:tcPr>
          <w:p>
            <w:pPr>
              <w:spacing w:after="0"/>
              <w:rPr>
                <w:sz w:val="23"/>
                <w:szCs w:val="23"/>
                <w:color w:val="auto"/>
              </w:rPr>
            </w:pPr>
          </w:p>
        </w:tc>
        <w:tc>
          <w:tcPr>
            <w:tcW w:w="1100" w:type="dxa"/>
            <w:vAlign w:val="bottom"/>
          </w:tcPr>
          <w:p>
            <w:pPr>
              <w:jc w:val="right"/>
              <w:ind w:right="299"/>
              <w:spacing w:after="0"/>
              <w:rPr>
                <w:sz w:val="20"/>
                <w:szCs w:val="20"/>
                <w:color w:val="auto"/>
              </w:rPr>
            </w:pPr>
            <w:r>
              <w:rPr>
                <w:rFonts w:ascii="Times New Roman" w:cs="Times New Roman" w:eastAsia="Times New Roman" w:hAnsi="Times New Roman"/>
                <w:sz w:val="20"/>
                <w:szCs w:val="20"/>
                <w:b w:val="1"/>
                <w:bCs w:val="1"/>
                <w:color w:val="auto"/>
              </w:rPr>
              <w:t>2025</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ind w:right="279"/>
              <w:spacing w:after="0"/>
              <w:rPr>
                <w:sz w:val="20"/>
                <w:szCs w:val="20"/>
                <w:color w:val="auto"/>
              </w:rPr>
            </w:pPr>
            <w:r>
              <w:rPr>
                <w:rFonts w:ascii="Times New Roman" w:cs="Times New Roman" w:eastAsia="Times New Roman" w:hAnsi="Times New Roman"/>
                <w:sz w:val="20"/>
                <w:szCs w:val="20"/>
                <w:b w:val="1"/>
                <w:bCs w:val="1"/>
                <w:color w:val="auto"/>
              </w:rPr>
              <w:t>2024</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0" w:type="dxa"/>
            <w:vAlign w:val="bottom"/>
            <w:gridSpan w:val="4"/>
          </w:tcPr>
          <w:p>
            <w:pPr>
              <w:ind w:left="400"/>
              <w:spacing w:after="0"/>
              <w:rPr>
                <w:sz w:val="20"/>
                <w:szCs w:val="20"/>
                <w:color w:val="auto"/>
              </w:rPr>
            </w:pPr>
            <w:r>
              <w:rPr>
                <w:rFonts w:ascii="Times New Roman" w:cs="Times New Roman" w:eastAsia="Times New Roman" w:hAnsi="Times New Roman"/>
                <w:sz w:val="20"/>
                <w:szCs w:val="20"/>
                <w:b w:val="1"/>
                <w:bCs w:val="1"/>
                <w:color w:val="auto"/>
              </w:rPr>
              <w:t>2025 vs. 2024</w:t>
            </w:r>
          </w:p>
        </w:tc>
        <w:tc>
          <w:tcPr>
            <w:tcW w:w="180" w:type="dxa"/>
            <w:vAlign w:val="bottom"/>
          </w:tcPr>
          <w:p>
            <w:pPr>
              <w:spacing w:after="0"/>
              <w:rPr>
                <w:sz w:val="23"/>
                <w:szCs w:val="23"/>
                <w:color w:val="auto"/>
              </w:rPr>
            </w:pPr>
          </w:p>
        </w:tc>
        <w:tc>
          <w:tcPr>
            <w:tcW w:w="1040" w:type="dxa"/>
            <w:vAlign w:val="bottom"/>
          </w:tcPr>
          <w:p>
            <w:pPr>
              <w:jc w:val="right"/>
              <w:ind w:right="299"/>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ind w:right="299"/>
              <w:spacing w:after="0"/>
              <w:rPr>
                <w:sz w:val="20"/>
                <w:szCs w:val="20"/>
                <w:color w:val="auto"/>
              </w:rPr>
            </w:pPr>
            <w:r>
              <w:rPr>
                <w:rFonts w:ascii="Times New Roman" w:cs="Times New Roman" w:eastAsia="Times New Roman" w:hAnsi="Times New Roman"/>
                <w:sz w:val="20"/>
                <w:szCs w:val="20"/>
                <w:b w:val="1"/>
                <w:bCs w:val="1"/>
                <w:color w:val="auto"/>
              </w:rPr>
              <w:t>2024</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60" w:type="dxa"/>
            <w:vAlign w:val="bottom"/>
            <w:gridSpan w:val="3"/>
          </w:tcPr>
          <w:p>
            <w:pPr>
              <w:jc w:val="right"/>
              <w:ind w:right="459"/>
              <w:spacing w:after="0"/>
              <w:rPr>
                <w:sz w:val="20"/>
                <w:szCs w:val="20"/>
                <w:color w:val="auto"/>
              </w:rPr>
            </w:pPr>
            <w:r>
              <w:rPr>
                <w:rFonts w:ascii="Times New Roman" w:cs="Times New Roman" w:eastAsia="Times New Roman" w:hAnsi="Times New Roman"/>
                <w:sz w:val="20"/>
                <w:szCs w:val="20"/>
                <w:b w:val="1"/>
                <w:bCs w:val="1"/>
                <w:color w:val="auto"/>
              </w:rPr>
              <w:t>2025 vs. 2024</w:t>
            </w:r>
          </w:p>
        </w:tc>
      </w:tr>
      <w:tr>
        <w:trPr>
          <w:trHeight w:val="231"/>
        </w:trPr>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r>
      <w:tr>
        <w:trPr>
          <w:trHeight w:val="94"/>
        </w:trPr>
        <w:tc>
          <w:tcPr>
            <w:tcW w:w="120" w:type="dxa"/>
            <w:vAlign w:val="bottom"/>
            <w:tcBorders>
              <w:bottom w:val="single" w:sz="8" w:color="auto"/>
            </w:tcBorders>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gridSpan w:val="2"/>
          </w:tcPr>
          <w:p>
            <w:pPr>
              <w:spacing w:after="0"/>
              <w:rPr>
                <w:sz w:val="8"/>
                <w:szCs w:val="8"/>
                <w:color w:val="auto"/>
              </w:rPr>
            </w:pPr>
          </w:p>
        </w:tc>
        <w:tc>
          <w:tcPr>
            <w:tcW w:w="10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gridSpan w:val="2"/>
          </w:tcPr>
          <w:p>
            <w:pPr>
              <w:spacing w:after="0"/>
              <w:rPr>
                <w:sz w:val="8"/>
                <w:szCs w:val="8"/>
                <w:color w:val="auto"/>
              </w:rPr>
            </w:pPr>
          </w:p>
        </w:tc>
        <w:tc>
          <w:tcPr>
            <w:tcW w:w="102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r>
      <w:tr>
        <w:trPr>
          <w:trHeight w:val="20"/>
        </w:trPr>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556"/>
        </w:trPr>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224,535</w:t>
            </w:r>
          </w:p>
        </w:tc>
        <w:tc>
          <w:tcPr>
            <w:tcW w:w="80" w:type="dxa"/>
            <w:vAlign w:val="bottom"/>
          </w:tcPr>
          <w:p>
            <w:pPr>
              <w:spacing w:after="0"/>
              <w:rPr>
                <w:sz w:val="24"/>
                <w:szCs w:val="24"/>
                <w:color w:val="auto"/>
              </w:rPr>
            </w:pP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229,882</w:t>
            </w:r>
          </w:p>
        </w:tc>
        <w:tc>
          <w:tcPr>
            <w:tcW w:w="80" w:type="dxa"/>
            <w:vAlign w:val="bottom"/>
          </w:tcPr>
          <w:p>
            <w:pPr>
              <w:spacing w:after="0"/>
              <w:rPr>
                <w:sz w:val="24"/>
                <w:szCs w:val="24"/>
                <w:color w:val="auto"/>
              </w:rPr>
            </w:pPr>
          </w:p>
        </w:tc>
        <w:tc>
          <w:tcPr>
            <w:tcW w:w="1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(5,347)</w:t>
            </w:r>
          </w:p>
        </w:tc>
        <w:tc>
          <w:tcPr>
            <w:tcW w:w="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821,309</w:t>
            </w:r>
          </w:p>
        </w:tc>
        <w:tc>
          <w:tcPr>
            <w:tcW w:w="60" w:type="dxa"/>
            <w:vAlign w:val="bottom"/>
          </w:tcPr>
          <w:p>
            <w:pPr>
              <w:spacing w:after="0"/>
              <w:rPr>
                <w:sz w:val="24"/>
                <w:szCs w:val="24"/>
                <w:color w:val="auto"/>
              </w:rPr>
            </w:pPr>
          </w:p>
        </w:tc>
        <w:tc>
          <w:tcPr>
            <w:tcW w:w="260" w:type="dxa"/>
            <w:vAlign w:val="bottom"/>
          </w:tcPr>
          <w:p>
            <w:pPr>
              <w:jc w:val="right"/>
              <w:ind w:right="39"/>
              <w:spacing w:after="0"/>
              <w:rPr>
                <w:sz w:val="20"/>
                <w:szCs w:val="20"/>
                <w:color w:val="auto"/>
              </w:rPr>
            </w:pPr>
            <w:r>
              <w:rPr>
                <w:rFonts w:ascii="Times New Roman" w:cs="Times New Roman" w:eastAsia="Times New Roman" w:hAnsi="Times New Roman"/>
                <w:sz w:val="20"/>
                <w:szCs w:val="20"/>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788,942</w:t>
            </w:r>
          </w:p>
        </w:tc>
        <w:tc>
          <w:tcPr>
            <w:tcW w:w="80" w:type="dxa"/>
            <w:vAlign w:val="bottom"/>
          </w:tcPr>
          <w:p>
            <w:pPr>
              <w:spacing w:after="0"/>
              <w:rPr>
                <w:sz w:val="24"/>
                <w:szCs w:val="24"/>
                <w:color w:val="auto"/>
              </w:rPr>
            </w:pPr>
          </w:p>
        </w:tc>
        <w:tc>
          <w:tcPr>
            <w:tcW w:w="1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32,367</w:t>
            </w:r>
          </w:p>
        </w:tc>
        <w:tc>
          <w:tcPr>
            <w:tcW w:w="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r>
      <w:tr>
        <w:trPr>
          <w:trHeight w:val="366"/>
        </w:trPr>
        <w:tc>
          <w:tcPr>
            <w:tcW w:w="1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156,902</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147,532</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9,370</w:t>
            </w:r>
          </w:p>
        </w:tc>
        <w:tc>
          <w:tcPr>
            <w:tcW w:w="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580,739</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565,591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15,148</w:t>
            </w:r>
          </w:p>
        </w:tc>
        <w:tc>
          <w:tcPr>
            <w:tcW w:w="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r>
      <w:tr>
        <w:trPr>
          <w:trHeight w:val="117"/>
        </w:trPr>
        <w:tc>
          <w:tcPr>
            <w:tcW w:w="1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r>
      <w:tr>
        <w:trPr>
          <w:trHeight w:val="255"/>
        </w:trPr>
        <w:tc>
          <w:tcPr>
            <w:tcW w:w="1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67,633</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82,350</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(14,717)</w:t>
            </w:r>
          </w:p>
        </w:tc>
        <w:tc>
          <w:tcPr>
            <w:tcW w:w="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240,570</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223,351</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17,219</w:t>
            </w:r>
          </w:p>
        </w:tc>
        <w:tc>
          <w:tcPr>
            <w:tcW w:w="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r>
      <w:tr>
        <w:trPr>
          <w:trHeight w:val="834"/>
        </w:trPr>
        <w:tc>
          <w:tcPr>
            <w:tcW w:w="1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37,968</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43,589</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(5,621)</w:t>
            </w:r>
          </w:p>
        </w:tc>
        <w:tc>
          <w:tcPr>
            <w:tcW w:w="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167,324</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167,358</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w:t>
            </w:r>
          </w:p>
        </w:tc>
        <w:tc>
          <w:tcPr>
            <w:tcW w:w="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r>
      <w:tr>
        <w:trPr>
          <w:trHeight w:val="357"/>
        </w:trPr>
        <w:tc>
          <w:tcPr>
            <w:tcW w:w="1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14,282</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12,796</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1,486</w:t>
            </w:r>
          </w:p>
        </w:tc>
        <w:tc>
          <w:tcPr>
            <w:tcW w:w="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56,039</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37,233</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18,806</w:t>
            </w:r>
          </w:p>
        </w:tc>
        <w:tc>
          <w:tcPr>
            <w:tcW w:w="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w:t>
            </w:r>
          </w:p>
        </w:tc>
      </w:tr>
      <w:tr>
        <w:trPr>
          <w:trHeight w:val="262"/>
        </w:trPr>
        <w:tc>
          <w:tcPr>
            <w:tcW w:w="1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20,703</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19,052</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1,651</w:t>
            </w:r>
          </w:p>
        </w:tc>
        <w:tc>
          <w:tcPr>
            <w:tcW w:w="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88,616</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84,752</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3,864</w:t>
            </w:r>
          </w:p>
        </w:tc>
        <w:tc>
          <w:tcPr>
            <w:tcW w:w="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r>
      <w:tr>
        <w:trPr>
          <w:trHeight w:val="480"/>
        </w:trPr>
        <w:tc>
          <w:tcPr>
            <w:tcW w:w="1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8,969</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12,999</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(4,030)</w:t>
            </w:r>
          </w:p>
        </w:tc>
        <w:tc>
          <w:tcPr>
            <w:tcW w:w="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37,048</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41,933</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(4,885)</w:t>
            </w:r>
          </w:p>
        </w:tc>
        <w:tc>
          <w:tcPr>
            <w:tcW w:w="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r>
      <w:tr>
        <w:trPr>
          <w:trHeight w:val="594"/>
        </w:trPr>
        <w:tc>
          <w:tcPr>
            <w:tcW w:w="1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394</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(360)</w:t>
            </w:r>
          </w:p>
        </w:tc>
        <w:tc>
          <w:tcPr>
            <w:tcW w:w="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284</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635</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(351)</w:t>
            </w:r>
          </w:p>
        </w:tc>
        <w:tc>
          <w:tcPr>
            <w:tcW w:w="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w:t>
            </w:r>
          </w:p>
        </w:tc>
      </w:tr>
      <w:tr>
        <w:trPr>
          <w:trHeight w:val="708"/>
        </w:trPr>
        <w:tc>
          <w:tcPr>
            <w:tcW w:w="120" w:type="dxa"/>
            <w:vAlign w:val="bottom"/>
          </w:tcPr>
          <w:p>
            <w:pPr>
              <w:spacing w:after="0"/>
              <w:rPr>
                <w:sz w:val="24"/>
                <w:szCs w:val="24"/>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w:t>
            </w:r>
          </w:p>
        </w:tc>
        <w:tc>
          <w:tcPr>
            <w:tcW w:w="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(15,790)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15,790</w:t>
            </w:r>
          </w:p>
        </w:tc>
        <w:tc>
          <w:tcPr>
            <w:tcW w:w="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w:t>
            </w:r>
          </w:p>
        </w:tc>
      </w:tr>
      <w:tr>
        <w:trPr>
          <w:trHeight w:val="935"/>
        </w:trPr>
        <w:tc>
          <w:tcPr>
            <w:tcW w:w="1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1,396,904</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1,396,904</w:t>
            </w:r>
          </w:p>
        </w:tc>
        <w:tc>
          <w:tcPr>
            <w:tcW w:w="80" w:type="dxa"/>
            <w:vAlign w:val="bottom"/>
          </w:tcPr>
          <w:p>
            <w:pPr>
              <w:spacing w:after="0"/>
              <w:rPr>
                <w:sz w:val="24"/>
                <w:szCs w:val="24"/>
                <w:color w:val="auto"/>
              </w:rPr>
            </w:pPr>
          </w:p>
        </w:tc>
        <w:tc>
          <w:tcPr>
            <w:tcW w:w="108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NM</w:t>
            </w:r>
          </w:p>
        </w:tc>
        <w:tc>
          <w:tcPr>
            <w:tcW w:w="1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2,096,139</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2,096,139</w:t>
            </w:r>
          </w:p>
        </w:tc>
        <w:tc>
          <w:tcPr>
            <w:tcW w:w="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NM</w:t>
            </w:r>
          </w:p>
        </w:tc>
      </w:tr>
      <w:tr>
        <w:trPr>
          <w:trHeight w:val="1276"/>
        </w:trPr>
        <w:tc>
          <w:tcPr>
            <w:tcW w:w="1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1,661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1,661</w:t>
            </w:r>
          </w:p>
        </w:tc>
        <w:tc>
          <w:tcPr>
            <w:tcW w:w="80" w:type="dxa"/>
            <w:vAlign w:val="bottom"/>
          </w:tcPr>
          <w:p>
            <w:pPr>
              <w:spacing w:after="0"/>
              <w:rPr>
                <w:sz w:val="24"/>
                <w:szCs w:val="24"/>
                <w:color w:val="auto"/>
              </w:rPr>
            </w:pPr>
          </w:p>
        </w:tc>
        <w:tc>
          <w:tcPr>
            <w:tcW w:w="108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NM</w:t>
            </w:r>
          </w:p>
        </w:tc>
        <w:tc>
          <w:tcPr>
            <w:tcW w:w="1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21,661</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42,681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(21,020)</w:t>
            </w:r>
          </w:p>
        </w:tc>
        <w:tc>
          <w:tcPr>
            <w:tcW w:w="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w:t>
            </w:r>
          </w:p>
        </w:tc>
      </w:tr>
      <w:tr>
        <w:trPr>
          <w:trHeight w:val="1162"/>
        </w:trPr>
        <w:tc>
          <w:tcPr>
            <w:tcW w:w="1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12,093</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(188)</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12,281</w:t>
            </w:r>
          </w:p>
        </w:tc>
        <w:tc>
          <w:tcPr>
            <w:tcW w:w="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(6,532)%</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17,347</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8,251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9,096</w:t>
            </w:r>
          </w:p>
        </w:tc>
        <w:tc>
          <w:tcPr>
            <w:tcW w:w="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w:t>
            </w:r>
          </w:p>
        </w:tc>
      </w:tr>
      <w:tr>
        <w:trPr>
          <w:trHeight w:val="594"/>
        </w:trPr>
        <w:tc>
          <w:tcPr>
            <w:tcW w:w="1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17,034</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6,833</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10,201</w:t>
            </w:r>
          </w:p>
        </w:tc>
        <w:tc>
          <w:tcPr>
            <w:tcW w:w="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34,283</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15,581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18,702</w:t>
            </w:r>
          </w:p>
        </w:tc>
        <w:tc>
          <w:tcPr>
            <w:tcW w:w="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w:t>
            </w:r>
          </w:p>
        </w:tc>
      </w:tr>
      <w:tr>
        <w:trPr>
          <w:trHeight w:val="594"/>
        </w:trPr>
        <w:tc>
          <w:tcPr>
            <w:tcW w:w="1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1,971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2,401</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(430)</w:t>
            </w:r>
          </w:p>
        </w:tc>
        <w:tc>
          <w:tcPr>
            <w:tcW w:w="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4,534</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15,462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(10,928)</w:t>
            </w:r>
          </w:p>
        </w:tc>
        <w:tc>
          <w:tcPr>
            <w:tcW w:w="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w:t>
            </w:r>
          </w:p>
        </w:tc>
      </w:tr>
      <w:tr>
        <w:trPr>
          <w:trHeight w:val="231"/>
        </w:trPr>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r>
      <w:tr>
        <w:trPr>
          <w:trHeight w:val="343"/>
        </w:trPr>
        <w:tc>
          <w:tcPr>
            <w:tcW w:w="1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1,511,619</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98,876</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1,412,743</w:t>
            </w:r>
          </w:p>
        </w:tc>
        <w:tc>
          <w:tcPr>
            <w:tcW w:w="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1,429%</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2,523,275</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398,096</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2,125,179</w:t>
            </w:r>
          </w:p>
        </w:tc>
        <w:tc>
          <w:tcPr>
            <w:tcW w:w="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534%</w:t>
            </w:r>
          </w:p>
        </w:tc>
      </w:tr>
      <w:tr>
        <w:trPr>
          <w:trHeight w:val="117"/>
        </w:trPr>
        <w:tc>
          <w:tcPr>
            <w:tcW w:w="1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r>
      <w:tr>
        <w:trPr>
          <w:trHeight w:val="255"/>
        </w:trPr>
        <w:tc>
          <w:tcPr>
            <w:tcW w:w="1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(1,443,986)</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(16,526)</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(1,427,460)</w:t>
            </w:r>
          </w:p>
        </w:tc>
        <w:tc>
          <w:tcPr>
            <w:tcW w:w="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8,638%</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(2,282,705)</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(174,745)</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(2,107,960)</w:t>
            </w:r>
          </w:p>
        </w:tc>
        <w:tc>
          <w:tcPr>
            <w:tcW w:w="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1,206%</w:t>
            </w:r>
          </w:p>
        </w:tc>
      </w:tr>
      <w:tr>
        <w:trPr>
          <w:trHeight w:val="354"/>
        </w:trPr>
        <w:tc>
          <w:tcPr>
            <w:tcW w:w="1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(3,966)</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(9,456)</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5,490</w:t>
            </w:r>
          </w:p>
        </w:tc>
        <w:tc>
          <w:tcPr>
            <w:tcW w:w="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(29,952)</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(36,433)</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6,481</w:t>
            </w:r>
          </w:p>
        </w:tc>
        <w:tc>
          <w:tcPr>
            <w:tcW w:w="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r>
      <w:tr>
        <w:trPr>
          <w:trHeight w:val="708"/>
        </w:trPr>
        <w:tc>
          <w:tcPr>
            <w:tcW w:w="1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54,915</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(17,022)</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71,937</w:t>
            </w:r>
          </w:p>
        </w:tc>
        <w:tc>
          <w:tcPr>
            <w:tcW w:w="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(423)%</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10,284</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(37,842)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48,126</w:t>
            </w:r>
          </w:p>
        </w:tc>
        <w:tc>
          <w:tcPr>
            <w:tcW w:w="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w:t>
            </w:r>
          </w:p>
        </w:tc>
      </w:tr>
      <w:tr>
        <w:trPr>
          <w:trHeight w:val="344"/>
        </w:trPr>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343"/>
        </w:trPr>
        <w:tc>
          <w:tcPr>
            <w:tcW w:w="1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(1,393,037)</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(43,004)</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(1,350,033)</w:t>
            </w:r>
          </w:p>
        </w:tc>
        <w:tc>
          <w:tcPr>
            <w:tcW w:w="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3,139%</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(2,302,373)</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(249,020)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(2,053,353)</w:t>
            </w:r>
          </w:p>
        </w:tc>
        <w:tc>
          <w:tcPr>
            <w:tcW w:w="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825%</w:t>
            </w:r>
          </w:p>
        </w:tc>
      </w:tr>
      <w:tr>
        <w:trPr>
          <w:trHeight w:val="594"/>
        </w:trPr>
        <w:tc>
          <w:tcPr>
            <w:tcW w:w="1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(125,142)</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(27,629)</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(97,513)</w:t>
            </w:r>
          </w:p>
        </w:tc>
        <w:tc>
          <w:tcPr>
            <w:tcW w:w="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353%</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(121,017)</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(26,616)</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(94,401)</w:t>
            </w:r>
          </w:p>
        </w:tc>
        <w:tc>
          <w:tcPr>
            <w:tcW w:w="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355%</w:t>
            </w:r>
          </w:p>
        </w:tc>
      </w:tr>
      <w:tr>
        <w:trPr>
          <w:trHeight w:val="231"/>
        </w:trPr>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r>
      <w:tr>
        <w:trPr>
          <w:trHeight w:val="245"/>
        </w:trPr>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(1,267,895)</w:t>
            </w:r>
          </w:p>
        </w:tc>
        <w:tc>
          <w:tcPr>
            <w:tcW w:w="80" w:type="dxa"/>
            <w:vAlign w:val="bottom"/>
          </w:tcPr>
          <w:p>
            <w:pPr>
              <w:spacing w:after="0"/>
              <w:rPr>
                <w:sz w:val="21"/>
                <w:szCs w:val="21"/>
                <w:color w:val="auto"/>
              </w:rPr>
            </w:pPr>
          </w:p>
        </w:tc>
        <w:tc>
          <w:tcPr>
            <w:tcW w:w="2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(15,375)</w:t>
            </w:r>
          </w:p>
        </w:tc>
        <w:tc>
          <w:tcPr>
            <w:tcW w:w="80" w:type="dxa"/>
            <w:vAlign w:val="bottom"/>
          </w:tcPr>
          <w:p>
            <w:pPr>
              <w:spacing w:after="0"/>
              <w:rPr>
                <w:sz w:val="21"/>
                <w:szCs w:val="21"/>
                <w:color w:val="auto"/>
              </w:rPr>
            </w:pPr>
          </w:p>
        </w:tc>
        <w:tc>
          <w:tcPr>
            <w:tcW w:w="1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(1,252,520)</w:t>
            </w:r>
          </w:p>
        </w:tc>
        <w:tc>
          <w:tcPr>
            <w:tcW w:w="80" w:type="dxa"/>
            <w:vAlign w:val="bottom"/>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8,146%</w:t>
            </w:r>
          </w:p>
        </w:tc>
        <w:tc>
          <w:tcPr>
            <w:tcW w:w="8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(2,181,356)</w:t>
            </w:r>
          </w:p>
        </w:tc>
        <w:tc>
          <w:tcPr>
            <w:tcW w:w="60" w:type="dxa"/>
            <w:vAlign w:val="bottom"/>
          </w:tcPr>
          <w:p>
            <w:pPr>
              <w:spacing w:after="0"/>
              <w:rPr>
                <w:sz w:val="21"/>
                <w:szCs w:val="21"/>
                <w:color w:val="auto"/>
              </w:rPr>
            </w:pPr>
          </w:p>
        </w:tc>
        <w:tc>
          <w:tcPr>
            <w:tcW w:w="2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20"/>
                <w:szCs w:val="20"/>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(222,404)</w:t>
            </w:r>
          </w:p>
        </w:tc>
        <w:tc>
          <w:tcPr>
            <w:tcW w:w="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(1,958,952)</w:t>
            </w:r>
          </w:p>
        </w:tc>
        <w:tc>
          <w:tcPr>
            <w:tcW w:w="80" w:type="dxa"/>
            <w:vAlign w:val="bottom"/>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881%</w:t>
            </w: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150"/>
        </w:trPr>
        <w:tc>
          <w:tcPr>
            <w:tcW w:w="1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(1,272,795)</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(31,747)</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(1,241,048)</w:t>
            </w:r>
          </w:p>
        </w:tc>
        <w:tc>
          <w:tcPr>
            <w:tcW w:w="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3,909%</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(2,186,738)</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(244,981)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(1,941,757)</w:t>
            </w:r>
          </w:p>
        </w:tc>
        <w:tc>
          <w:tcPr>
            <w:tcW w:w="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793%</w:t>
            </w:r>
          </w:p>
        </w:tc>
      </w:tr>
      <w:tr>
        <w:trPr>
          <w:trHeight w:val="708"/>
        </w:trPr>
        <w:tc>
          <w:tcPr>
            <w:tcW w:w="1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4,900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16,372</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(11,472)</w:t>
            </w:r>
          </w:p>
        </w:tc>
        <w:tc>
          <w:tcPr>
            <w:tcW w:w="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5,382</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22,577</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(17,195)</w:t>
            </w:r>
          </w:p>
        </w:tc>
        <w:tc>
          <w:tcPr>
            <w:tcW w:w="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w:t>
            </w:r>
          </w:p>
        </w:tc>
      </w:tr>
    </w:tbl>
    <w:p>
      <w:pPr>
        <w:sectPr>
          <w:pgSz w:w="11900" w:h="16838" w:orient="portrait"/>
          <w:cols w:equalWidth="0" w:num="2">
            <w:col w:w="1400" w:space="80"/>
            <w:col w:w="9780"/>
          </w:cols>
          <w:pgMar w:left="340" w:top="110" w:right="299" w:bottom="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0"/>
          <w:szCs w:val="20"/>
          <w:color w:val="auto"/>
        </w:rPr>
        <w:t>gain (loss), net</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of tax</w:t>
      </w:r>
    </w:p>
    <w:tbl>
      <w:tblPr>
        <w:tblLayout w:type="fixed"/>
        <w:tblInd w:w="0" w:type="dxa"/>
        <w:tblCellMar>
          <w:top w:w="0" w:type="dxa"/>
          <w:left w:w="0" w:type="dxa"/>
          <w:bottom w:w="0" w:type="dxa"/>
          <w:right w:w="0" w:type="dxa"/>
        </w:tblCellMar>
      </w:tblPr>
      <w:tr>
        <w:trPr>
          <w:trHeight w:val="228"/>
        </w:trPr>
        <w:tc>
          <w:tcPr>
            <w:tcW w:w="1480" w:type="dxa"/>
            <w:vAlign w:val="bottom"/>
          </w:tcPr>
          <w:p>
            <w:pPr>
              <w:ind w:left="240"/>
              <w:spacing w:after="0" w:line="229" w:lineRule="exact"/>
              <w:rPr>
                <w:sz w:val="20"/>
                <w:szCs w:val="20"/>
                <w:color w:val="auto"/>
              </w:rPr>
            </w:pPr>
            <w:r>
              <w:rPr>
                <w:rFonts w:ascii="Times New Roman" w:cs="Times New Roman" w:eastAsia="Times New Roman" w:hAnsi="Times New Roman"/>
                <w:sz w:val="20"/>
                <w:szCs w:val="20"/>
                <w:color w:val="auto"/>
              </w:rPr>
              <w:t>Foreign</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480" w:type="dxa"/>
            <w:vAlign w:val="bottom"/>
          </w:tcPr>
          <w:p>
            <w:pPr>
              <w:ind w:left="240"/>
              <w:spacing w:after="0" w:line="228" w:lineRule="exact"/>
              <w:rPr>
                <w:sz w:val="20"/>
                <w:szCs w:val="20"/>
                <w:color w:val="auto"/>
              </w:rPr>
            </w:pPr>
            <w:r>
              <w:rPr>
                <w:rFonts w:ascii="Times New Roman" w:cs="Times New Roman" w:eastAsia="Times New Roman" w:hAnsi="Times New Roman"/>
                <w:sz w:val="20"/>
                <w:szCs w:val="20"/>
                <w:color w:val="auto"/>
              </w:rPr>
              <w:t>currency</w:t>
            </w:r>
          </w:p>
        </w:tc>
        <w:tc>
          <w:tcPr>
            <w:tcW w:w="120" w:type="dxa"/>
            <w:vAlign w:val="bottom"/>
          </w:tcPr>
          <w:p>
            <w:pPr>
              <w:spacing w:after="0"/>
              <w:rPr>
                <w:sz w:val="19"/>
                <w:szCs w:val="19"/>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10,625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(595)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11,220</w:t>
            </w:r>
          </w:p>
        </w:tc>
        <w:tc>
          <w:tcPr>
            <w:tcW w:w="80" w:type="dxa"/>
            <w:vAlign w:val="bottom"/>
          </w:tcPr>
          <w:p>
            <w:pPr>
              <w:spacing w:after="0"/>
              <w:rPr>
                <w:sz w:val="19"/>
                <w:szCs w:val="19"/>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(1,886)%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430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3,121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(2,691)</w:t>
            </w:r>
          </w:p>
        </w:tc>
        <w:tc>
          <w:tcPr>
            <w:tcW w:w="80" w:type="dxa"/>
            <w:vAlign w:val="bottom"/>
          </w:tcPr>
          <w:p>
            <w:pPr>
              <w:spacing w:after="0"/>
              <w:rPr>
                <w:sz w:val="19"/>
                <w:szCs w:val="19"/>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(86)%</w:t>
            </w:r>
          </w:p>
        </w:tc>
        <w:tc>
          <w:tcPr>
            <w:tcW w:w="0" w:type="dxa"/>
            <w:vAlign w:val="bottom"/>
          </w:tcPr>
          <w:p>
            <w:pPr>
              <w:spacing w:after="0"/>
              <w:rPr>
                <w:sz w:val="1"/>
                <w:szCs w:val="1"/>
                <w:color w:val="auto"/>
              </w:rPr>
            </w:pPr>
          </w:p>
        </w:tc>
      </w:tr>
      <w:tr>
        <w:trPr>
          <w:trHeight w:val="148"/>
        </w:trPr>
        <w:tc>
          <w:tcPr>
            <w:tcW w:w="1480" w:type="dxa"/>
            <w:vAlign w:val="bottom"/>
            <w:vMerge w:val="restart"/>
          </w:tcPr>
          <w:p>
            <w:pPr>
              <w:ind w:left="240"/>
              <w:spacing w:after="0" w:line="228" w:lineRule="exact"/>
              <w:rPr>
                <w:sz w:val="20"/>
                <w:szCs w:val="20"/>
                <w:color w:val="auto"/>
              </w:rPr>
            </w:pPr>
            <w:r>
              <w:rPr>
                <w:rFonts w:ascii="Times New Roman" w:cs="Times New Roman" w:eastAsia="Times New Roman" w:hAnsi="Times New Roman"/>
                <w:sz w:val="20"/>
                <w:szCs w:val="20"/>
                <w:color w:val="auto"/>
              </w:rPr>
              <w:t>translation</w:t>
            </w:r>
          </w:p>
        </w:tc>
        <w:tc>
          <w:tcPr>
            <w:tcW w:w="1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9"/>
        </w:trPr>
        <w:tc>
          <w:tcPr>
            <w:tcW w:w="14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 w:type="dxa"/>
            <w:vAlign w:val="bottom"/>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2"/>
        </w:trPr>
        <w:tc>
          <w:tcPr>
            <w:tcW w:w="14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gain (loss)</w:t>
            </w:r>
          </w:p>
        </w:tc>
        <w:tc>
          <w:tcPr>
            <w:tcW w:w="1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1480" w:type="dxa"/>
            <w:vAlign w:val="bottom"/>
          </w:tcPr>
          <w:p>
            <w:pPr>
              <w:spacing w:after="0" w:line="198" w:lineRule="exact"/>
              <w:rPr>
                <w:sz w:val="20"/>
                <w:szCs w:val="20"/>
                <w:color w:val="auto"/>
              </w:rPr>
            </w:pPr>
            <w:r>
              <w:rPr>
                <w:rFonts w:ascii="Times New Roman" w:cs="Times New Roman" w:eastAsia="Times New Roman" w:hAnsi="Times New Roman"/>
                <w:sz w:val="20"/>
                <w:szCs w:val="20"/>
                <w:color w:val="auto"/>
              </w:rPr>
              <w:t>Total other</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148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comprehensive</w:t>
            </w:r>
          </w:p>
        </w:tc>
        <w:tc>
          <w:tcPr>
            <w:tcW w:w="120" w:type="dxa"/>
            <w:vAlign w:val="bottom"/>
          </w:tcPr>
          <w:p>
            <w:pPr>
              <w:spacing w:after="0"/>
              <w:rPr>
                <w:sz w:val="19"/>
                <w:szCs w:val="19"/>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10,625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(595)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11,220</w:t>
            </w:r>
          </w:p>
        </w:tc>
        <w:tc>
          <w:tcPr>
            <w:tcW w:w="80" w:type="dxa"/>
            <w:vAlign w:val="bottom"/>
          </w:tcPr>
          <w:p>
            <w:pPr>
              <w:spacing w:after="0"/>
              <w:rPr>
                <w:sz w:val="19"/>
                <w:szCs w:val="19"/>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(1,886)%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430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3,121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(2,691)</w:t>
            </w:r>
          </w:p>
        </w:tc>
        <w:tc>
          <w:tcPr>
            <w:tcW w:w="80" w:type="dxa"/>
            <w:vAlign w:val="bottom"/>
          </w:tcPr>
          <w:p>
            <w:pPr>
              <w:spacing w:after="0"/>
              <w:rPr>
                <w:sz w:val="19"/>
                <w:szCs w:val="19"/>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(86)%</w:t>
            </w:r>
          </w:p>
        </w:tc>
        <w:tc>
          <w:tcPr>
            <w:tcW w:w="0" w:type="dxa"/>
            <w:vAlign w:val="bottom"/>
          </w:tcPr>
          <w:p>
            <w:pPr>
              <w:spacing w:after="0"/>
              <w:rPr>
                <w:sz w:val="1"/>
                <w:szCs w:val="1"/>
                <w:color w:val="auto"/>
              </w:rPr>
            </w:pPr>
          </w:p>
        </w:tc>
      </w:tr>
      <w:tr>
        <w:trPr>
          <w:trHeight w:val="148"/>
        </w:trPr>
        <w:tc>
          <w:tcPr>
            <w:tcW w:w="1480" w:type="dxa"/>
            <w:vAlign w:val="bottom"/>
            <w:vMerge w:val="restart"/>
          </w:tcPr>
          <w:p>
            <w:pPr>
              <w:spacing w:after="0" w:line="228" w:lineRule="exact"/>
              <w:rPr>
                <w:sz w:val="20"/>
                <w:szCs w:val="20"/>
                <w:color w:val="auto"/>
              </w:rPr>
            </w:pPr>
            <w:r>
              <w:rPr>
                <w:rFonts w:ascii="Times New Roman" w:cs="Times New Roman" w:eastAsia="Times New Roman" w:hAnsi="Times New Roman"/>
                <w:sz w:val="20"/>
                <w:szCs w:val="20"/>
                <w:color w:val="auto"/>
              </w:rPr>
              <w:t>gain (loss), net</w:t>
            </w:r>
          </w:p>
        </w:tc>
        <w:tc>
          <w:tcPr>
            <w:tcW w:w="1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9"/>
        </w:trPr>
        <w:tc>
          <w:tcPr>
            <w:tcW w:w="14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 w:type="dxa"/>
            <w:vAlign w:val="bottom"/>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2"/>
        </w:trPr>
        <w:tc>
          <w:tcPr>
            <w:tcW w:w="1480" w:type="dxa"/>
            <w:vAlign w:val="bottom"/>
          </w:tcPr>
          <w:p>
            <w:pPr>
              <w:spacing w:after="0"/>
              <w:rPr>
                <w:sz w:val="20"/>
                <w:szCs w:val="20"/>
                <w:color w:val="auto"/>
              </w:rPr>
            </w:pPr>
            <w:r>
              <w:rPr>
                <w:rFonts w:ascii="Times New Roman" w:cs="Times New Roman" w:eastAsia="Times New Roman" w:hAnsi="Times New Roman"/>
                <w:sz w:val="20"/>
                <w:szCs w:val="20"/>
                <w:color w:val="auto"/>
              </w:rPr>
              <w:t>of tax</w:t>
            </w:r>
          </w:p>
        </w:tc>
        <w:tc>
          <w:tcPr>
            <w:tcW w:w="1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1480" w:type="dxa"/>
            <w:vAlign w:val="bottom"/>
          </w:tcPr>
          <w:p>
            <w:pPr>
              <w:spacing w:after="0" w:line="198" w:lineRule="exact"/>
              <w:rPr>
                <w:sz w:val="20"/>
                <w:szCs w:val="20"/>
                <w:color w:val="auto"/>
              </w:rPr>
            </w:pPr>
            <w:r>
              <w:rPr>
                <w:rFonts w:ascii="Times New Roman" w:cs="Times New Roman" w:eastAsia="Times New Roman" w:hAnsi="Times New Roman"/>
                <w:sz w:val="20"/>
                <w:szCs w:val="20"/>
                <w:color w:val="auto"/>
              </w:rPr>
              <w:t>Comprehensive</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(1,257,270)</w:t>
            </w:r>
          </w:p>
        </w:tc>
        <w:tc>
          <w:tcPr>
            <w:tcW w:w="80" w:type="dxa"/>
            <w:vAlign w:val="bottom"/>
          </w:tcPr>
          <w:p>
            <w:pPr>
              <w:spacing w:after="0"/>
              <w:rPr>
                <w:sz w:val="17"/>
                <w:szCs w:val="17"/>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(15,970)</w:t>
            </w:r>
          </w:p>
        </w:tc>
        <w:tc>
          <w:tcPr>
            <w:tcW w:w="80" w:type="dxa"/>
            <w:vAlign w:val="bottom"/>
          </w:tcPr>
          <w:p>
            <w:pPr>
              <w:spacing w:after="0"/>
              <w:rPr>
                <w:sz w:val="17"/>
                <w:szCs w:val="17"/>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(1,241,300)</w:t>
            </w:r>
          </w:p>
        </w:tc>
        <w:tc>
          <w:tcPr>
            <w:tcW w:w="8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7,773%</w:t>
            </w:r>
          </w:p>
        </w:tc>
        <w:tc>
          <w:tcPr>
            <w:tcW w:w="80" w:type="dxa"/>
            <w:vAlign w:val="bottom"/>
          </w:tcPr>
          <w:p>
            <w:pPr>
              <w:spacing w:after="0"/>
              <w:rPr>
                <w:sz w:val="17"/>
                <w:szCs w:val="17"/>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(2,180,926)</w:t>
            </w:r>
          </w:p>
        </w:tc>
        <w:tc>
          <w:tcPr>
            <w:tcW w:w="60" w:type="dxa"/>
            <w:vAlign w:val="bottom"/>
          </w:tcPr>
          <w:p>
            <w:pPr>
              <w:spacing w:after="0"/>
              <w:rPr>
                <w:sz w:val="17"/>
                <w:szCs w:val="17"/>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(219,283)</w:t>
            </w:r>
          </w:p>
        </w:tc>
        <w:tc>
          <w:tcPr>
            <w:tcW w:w="80" w:type="dxa"/>
            <w:vAlign w:val="bottom"/>
          </w:tcPr>
          <w:p>
            <w:pPr>
              <w:spacing w:after="0"/>
              <w:rPr>
                <w:sz w:val="17"/>
                <w:szCs w:val="17"/>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(1,961,643)</w:t>
            </w:r>
          </w:p>
        </w:tc>
        <w:tc>
          <w:tcPr>
            <w:tcW w:w="8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895%</w:t>
            </w:r>
          </w:p>
        </w:tc>
        <w:tc>
          <w:tcPr>
            <w:tcW w:w="0" w:type="dxa"/>
            <w:vAlign w:val="bottom"/>
          </w:tcPr>
          <w:p>
            <w:pPr>
              <w:spacing w:after="0"/>
              <w:rPr>
                <w:sz w:val="1"/>
                <w:szCs w:val="1"/>
                <w:color w:val="auto"/>
              </w:rPr>
            </w:pPr>
          </w:p>
        </w:tc>
      </w:tr>
      <w:tr>
        <w:trPr>
          <w:trHeight w:val="136"/>
        </w:trPr>
        <w:tc>
          <w:tcPr>
            <w:tcW w:w="14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loss</w:t>
            </w:r>
          </w:p>
        </w:tc>
        <w:tc>
          <w:tcPr>
            <w:tcW w:w="12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480" w:type="dxa"/>
            <w:vAlign w:val="bottom"/>
            <w:vMerge w:val="continue"/>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480" w:type="dxa"/>
            <w:vAlign w:val="bottom"/>
            <w:vMerge w:val="restart"/>
          </w:tcPr>
          <w:p>
            <w:pPr>
              <w:spacing w:after="0" w:line="220" w:lineRule="exact"/>
              <w:rPr>
                <w:sz w:val="20"/>
                <w:szCs w:val="20"/>
                <w:color w:val="auto"/>
              </w:rPr>
            </w:pPr>
            <w:r>
              <w:rPr>
                <w:rFonts w:ascii="Times New Roman" w:cs="Times New Roman" w:eastAsia="Times New Roman" w:hAnsi="Times New Roman"/>
                <w:sz w:val="20"/>
                <w:szCs w:val="20"/>
                <w:color w:val="auto"/>
              </w:rPr>
              <w:t>Total</w:t>
            </w: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4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148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comprehensive</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48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income (loss)</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1480" w:type="dxa"/>
            <w:vAlign w:val="bottom"/>
          </w:tcPr>
          <w:p>
            <w:pPr>
              <w:spacing w:after="0"/>
              <w:rPr>
                <w:sz w:val="20"/>
                <w:szCs w:val="20"/>
                <w:color w:val="auto"/>
              </w:rPr>
            </w:pPr>
            <w:r>
              <w:rPr>
                <w:rFonts w:ascii="Times New Roman" w:cs="Times New Roman" w:eastAsia="Times New Roman" w:hAnsi="Times New Roman"/>
                <w:sz w:val="20"/>
                <w:szCs w:val="20"/>
                <w:color w:val="auto"/>
              </w:rPr>
              <w:t>attributable to:</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480" w:type="dxa"/>
            <w:vAlign w:val="bottom"/>
          </w:tcPr>
          <w:p>
            <w:pPr>
              <w:ind w:left="240"/>
              <w:spacing w:after="0" w:line="228" w:lineRule="exact"/>
              <w:rPr>
                <w:sz w:val="20"/>
                <w:szCs w:val="20"/>
                <w:color w:val="auto"/>
              </w:rPr>
            </w:pPr>
            <w:r>
              <w:rPr>
                <w:rFonts w:ascii="Times New Roman" w:cs="Times New Roman" w:eastAsia="Times New Roman" w:hAnsi="Times New Roman"/>
                <w:sz w:val="20"/>
                <w:szCs w:val="20"/>
                <w:color w:val="auto"/>
              </w:rPr>
              <w:t>Stockholders</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480" w:type="dxa"/>
            <w:vAlign w:val="bottom"/>
          </w:tcPr>
          <w:p>
            <w:pPr>
              <w:ind w:left="240"/>
              <w:spacing w:after="0" w:line="228" w:lineRule="exact"/>
              <w:rPr>
                <w:sz w:val="20"/>
                <w:szCs w:val="20"/>
                <w:color w:val="auto"/>
              </w:rPr>
            </w:pPr>
            <w:r>
              <w:rPr>
                <w:rFonts w:ascii="Times New Roman" w:cs="Times New Roman" w:eastAsia="Times New Roman" w:hAnsi="Times New Roman"/>
                <w:sz w:val="20"/>
                <w:szCs w:val="20"/>
                <w:color w:val="auto"/>
              </w:rPr>
              <w:t>of Tilray</w:t>
            </w:r>
          </w:p>
        </w:tc>
        <w:tc>
          <w:tcPr>
            <w:tcW w:w="120" w:type="dxa"/>
            <w:vAlign w:val="bottom"/>
          </w:tcPr>
          <w:p>
            <w:pPr>
              <w:spacing w:after="0"/>
              <w:rPr>
                <w:sz w:val="19"/>
                <w:szCs w:val="19"/>
                <w:color w:val="auto"/>
              </w:rPr>
            </w:pPr>
          </w:p>
        </w:tc>
        <w:tc>
          <w:tcPr>
            <w:tcW w:w="110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(1,262,923)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(32,059)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(1,230,864)</w:t>
            </w:r>
          </w:p>
        </w:tc>
        <w:tc>
          <w:tcPr>
            <w:tcW w:w="80" w:type="dxa"/>
            <w:vAlign w:val="bottom"/>
          </w:tcPr>
          <w:p>
            <w:pPr>
              <w:spacing w:after="0"/>
              <w:rPr>
                <w:sz w:val="19"/>
                <w:szCs w:val="19"/>
                <w:color w:val="auto"/>
              </w:rPr>
            </w:pPr>
          </w:p>
        </w:tc>
        <w:tc>
          <w:tcPr>
            <w:tcW w:w="100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3,839%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(2,186,302)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(241,870)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(1,944,432)</w:t>
            </w:r>
          </w:p>
        </w:tc>
        <w:tc>
          <w:tcPr>
            <w:tcW w:w="80" w:type="dxa"/>
            <w:vAlign w:val="bottom"/>
          </w:tcPr>
          <w:p>
            <w:pPr>
              <w:spacing w:after="0"/>
              <w:rPr>
                <w:sz w:val="19"/>
                <w:szCs w:val="19"/>
                <w:color w:val="auto"/>
              </w:rPr>
            </w:pPr>
          </w:p>
        </w:tc>
        <w:tc>
          <w:tcPr>
            <w:tcW w:w="96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804%</w:t>
            </w:r>
          </w:p>
        </w:tc>
        <w:tc>
          <w:tcPr>
            <w:tcW w:w="0" w:type="dxa"/>
            <w:vAlign w:val="bottom"/>
          </w:tcPr>
          <w:p>
            <w:pPr>
              <w:spacing w:after="0"/>
              <w:rPr>
                <w:sz w:val="1"/>
                <w:szCs w:val="1"/>
                <w:color w:val="auto"/>
              </w:rPr>
            </w:pPr>
          </w:p>
        </w:tc>
      </w:tr>
      <w:tr>
        <w:trPr>
          <w:trHeight w:val="253"/>
        </w:trPr>
        <w:tc>
          <w:tcPr>
            <w:tcW w:w="14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Brands, Inc.</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480" w:type="dxa"/>
            <w:vAlign w:val="bottom"/>
          </w:tcPr>
          <w:p>
            <w:pPr>
              <w:ind w:left="240"/>
              <w:spacing w:after="0" w:line="228" w:lineRule="exact"/>
              <w:rPr>
                <w:sz w:val="20"/>
                <w:szCs w:val="20"/>
                <w:color w:val="auto"/>
              </w:rPr>
            </w:pPr>
            <w:r>
              <w:rPr>
                <w:rFonts w:ascii="Times New Roman" w:cs="Times New Roman" w:eastAsia="Times New Roman" w:hAnsi="Times New Roman"/>
                <w:sz w:val="20"/>
                <w:szCs w:val="20"/>
                <w:color w:val="auto"/>
              </w:rPr>
              <w:t>Non-</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480" w:type="dxa"/>
            <w:vAlign w:val="bottom"/>
          </w:tcPr>
          <w:p>
            <w:pPr>
              <w:ind w:left="240"/>
              <w:spacing w:after="0" w:line="228" w:lineRule="exact"/>
              <w:rPr>
                <w:sz w:val="20"/>
                <w:szCs w:val="20"/>
                <w:color w:val="auto"/>
              </w:rPr>
            </w:pPr>
            <w:r>
              <w:rPr>
                <w:rFonts w:ascii="Times New Roman" w:cs="Times New Roman" w:eastAsia="Times New Roman" w:hAnsi="Times New Roman"/>
                <w:sz w:val="20"/>
                <w:szCs w:val="20"/>
                <w:color w:val="auto"/>
              </w:rPr>
              <w:t>controlling</w:t>
            </w:r>
          </w:p>
        </w:tc>
        <w:tc>
          <w:tcPr>
            <w:tcW w:w="120" w:type="dxa"/>
            <w:vAlign w:val="bottom"/>
          </w:tcPr>
          <w:p>
            <w:pPr>
              <w:spacing w:after="0"/>
              <w:rPr>
                <w:sz w:val="19"/>
                <w:szCs w:val="19"/>
                <w:color w:val="auto"/>
              </w:rPr>
            </w:pPr>
          </w:p>
        </w:tc>
        <w:tc>
          <w:tcPr>
            <w:tcW w:w="110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5,653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16,089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(10,436)</w:t>
            </w:r>
          </w:p>
        </w:tc>
        <w:tc>
          <w:tcPr>
            <w:tcW w:w="80" w:type="dxa"/>
            <w:vAlign w:val="bottom"/>
          </w:tcPr>
          <w:p>
            <w:pPr>
              <w:spacing w:after="0"/>
              <w:rPr>
                <w:sz w:val="19"/>
                <w:szCs w:val="19"/>
                <w:color w:val="auto"/>
              </w:rPr>
            </w:pPr>
          </w:p>
        </w:tc>
        <w:tc>
          <w:tcPr>
            <w:tcW w:w="100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(65)%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5,376</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22,587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(17,211)</w:t>
            </w:r>
          </w:p>
        </w:tc>
        <w:tc>
          <w:tcPr>
            <w:tcW w:w="80" w:type="dxa"/>
            <w:vAlign w:val="bottom"/>
          </w:tcPr>
          <w:p>
            <w:pPr>
              <w:spacing w:after="0"/>
              <w:rPr>
                <w:sz w:val="19"/>
                <w:szCs w:val="19"/>
                <w:color w:val="auto"/>
              </w:rPr>
            </w:pPr>
          </w:p>
        </w:tc>
        <w:tc>
          <w:tcPr>
            <w:tcW w:w="96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(76)%</w:t>
            </w:r>
          </w:p>
        </w:tc>
        <w:tc>
          <w:tcPr>
            <w:tcW w:w="0" w:type="dxa"/>
            <w:vAlign w:val="bottom"/>
          </w:tcPr>
          <w:p>
            <w:pPr>
              <w:spacing w:after="0"/>
              <w:rPr>
                <w:sz w:val="1"/>
                <w:szCs w:val="1"/>
                <w:color w:val="auto"/>
              </w:rPr>
            </w:pPr>
          </w:p>
        </w:tc>
      </w:tr>
      <w:tr>
        <w:trPr>
          <w:trHeight w:val="262"/>
        </w:trPr>
        <w:tc>
          <w:tcPr>
            <w:tcW w:w="14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interests</w:t>
            </w:r>
          </w:p>
        </w:tc>
        <w:tc>
          <w:tcPr>
            <w:tcW w:w="1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1480" w:type="dxa"/>
            <w:vAlign w:val="bottom"/>
          </w:tcPr>
          <w:p>
            <w:pPr>
              <w:spacing w:after="0" w:line="198" w:lineRule="exact"/>
              <w:rPr>
                <w:sz w:val="20"/>
                <w:szCs w:val="20"/>
                <w:color w:val="auto"/>
              </w:rPr>
            </w:pPr>
            <w:r>
              <w:rPr>
                <w:rFonts w:ascii="Times New Roman" w:cs="Times New Roman" w:eastAsia="Times New Roman" w:hAnsi="Times New Roman"/>
                <w:sz w:val="20"/>
                <w:szCs w:val="20"/>
                <w:color w:val="auto"/>
              </w:rPr>
              <w:t>Weighted</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148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average number</w:t>
            </w:r>
          </w:p>
        </w:tc>
        <w:tc>
          <w:tcPr>
            <w:tcW w:w="120" w:type="dxa"/>
            <w:vAlign w:val="bottom"/>
          </w:tcPr>
          <w:p>
            <w:pPr>
              <w:spacing w:after="0"/>
              <w:rPr>
                <w:sz w:val="19"/>
                <w:szCs w:val="19"/>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97"/>
              </w:rPr>
              <w:t>977,959,890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99"/>
              </w:rPr>
              <w:t>794,180,769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97"/>
              </w:rPr>
              <w:t>183,779,121</w:t>
            </w:r>
          </w:p>
        </w:tc>
        <w:tc>
          <w:tcPr>
            <w:tcW w:w="80" w:type="dxa"/>
            <w:vAlign w:val="bottom"/>
          </w:tcPr>
          <w:p>
            <w:pPr>
              <w:spacing w:after="0"/>
              <w:rPr>
                <w:sz w:val="19"/>
                <w:szCs w:val="19"/>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97"/>
              </w:rPr>
              <w:t>890,326,017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99"/>
              </w:rPr>
              <w:t>742,649,477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99"/>
              </w:rPr>
              <w:t>147,676,540</w:t>
            </w:r>
          </w:p>
        </w:tc>
        <w:tc>
          <w:tcPr>
            <w:tcW w:w="80" w:type="dxa"/>
            <w:vAlign w:val="bottom"/>
          </w:tcPr>
          <w:p>
            <w:pPr>
              <w:spacing w:after="0"/>
              <w:rPr>
                <w:sz w:val="19"/>
                <w:szCs w:val="19"/>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20%</w:t>
            </w:r>
          </w:p>
        </w:tc>
        <w:tc>
          <w:tcPr>
            <w:tcW w:w="0" w:type="dxa"/>
            <w:vAlign w:val="bottom"/>
          </w:tcPr>
          <w:p>
            <w:pPr>
              <w:spacing w:after="0"/>
              <w:rPr>
                <w:sz w:val="1"/>
                <w:szCs w:val="1"/>
                <w:color w:val="auto"/>
              </w:rPr>
            </w:pPr>
          </w:p>
        </w:tc>
      </w:tr>
      <w:tr>
        <w:trPr>
          <w:trHeight w:val="148"/>
        </w:trPr>
        <w:tc>
          <w:tcPr>
            <w:tcW w:w="1480" w:type="dxa"/>
            <w:vAlign w:val="bottom"/>
            <w:vMerge w:val="restart"/>
          </w:tcPr>
          <w:p>
            <w:pPr>
              <w:spacing w:after="0" w:line="228" w:lineRule="exact"/>
              <w:rPr>
                <w:sz w:val="20"/>
                <w:szCs w:val="20"/>
                <w:color w:val="auto"/>
              </w:rPr>
            </w:pPr>
            <w:r>
              <w:rPr>
                <w:rFonts w:ascii="Times New Roman" w:cs="Times New Roman" w:eastAsia="Times New Roman" w:hAnsi="Times New Roman"/>
                <w:sz w:val="20"/>
                <w:szCs w:val="20"/>
                <w:color w:val="auto"/>
              </w:rPr>
              <w:t>of common</w:t>
            </w:r>
          </w:p>
        </w:tc>
        <w:tc>
          <w:tcPr>
            <w:tcW w:w="1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9"/>
        </w:trPr>
        <w:tc>
          <w:tcPr>
            <w:tcW w:w="14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 w:type="dxa"/>
            <w:vAlign w:val="bottom"/>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3"/>
        </w:trPr>
        <w:tc>
          <w:tcPr>
            <w:tcW w:w="1480" w:type="dxa"/>
            <w:vAlign w:val="bottom"/>
          </w:tcPr>
          <w:p>
            <w:pPr>
              <w:spacing w:after="0"/>
              <w:rPr>
                <w:sz w:val="20"/>
                <w:szCs w:val="20"/>
                <w:color w:val="auto"/>
              </w:rPr>
            </w:pPr>
            <w:r>
              <w:rPr>
                <w:rFonts w:ascii="Times New Roman" w:cs="Times New Roman" w:eastAsia="Times New Roman" w:hAnsi="Times New Roman"/>
                <w:sz w:val="20"/>
                <w:szCs w:val="20"/>
                <w:color w:val="auto"/>
              </w:rPr>
              <w:t>shares - basic</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48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Weighted</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48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average number</w:t>
            </w:r>
          </w:p>
        </w:tc>
        <w:tc>
          <w:tcPr>
            <w:tcW w:w="120" w:type="dxa"/>
            <w:vAlign w:val="bottom"/>
          </w:tcPr>
          <w:p>
            <w:pPr>
              <w:spacing w:after="0"/>
              <w:rPr>
                <w:sz w:val="19"/>
                <w:szCs w:val="19"/>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97"/>
              </w:rPr>
              <w:t>977,959,890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99"/>
              </w:rPr>
              <w:t>794,180,769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97"/>
              </w:rPr>
              <w:t>183,779,121</w:t>
            </w:r>
          </w:p>
        </w:tc>
        <w:tc>
          <w:tcPr>
            <w:tcW w:w="80" w:type="dxa"/>
            <w:vAlign w:val="bottom"/>
          </w:tcPr>
          <w:p>
            <w:pPr>
              <w:spacing w:after="0"/>
              <w:rPr>
                <w:sz w:val="19"/>
                <w:szCs w:val="19"/>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97"/>
              </w:rPr>
              <w:t>890,326,017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99"/>
              </w:rPr>
              <w:t>742,649,477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99"/>
              </w:rPr>
              <w:t>147,676,540</w:t>
            </w:r>
          </w:p>
        </w:tc>
        <w:tc>
          <w:tcPr>
            <w:tcW w:w="80" w:type="dxa"/>
            <w:vAlign w:val="bottom"/>
          </w:tcPr>
          <w:p>
            <w:pPr>
              <w:spacing w:after="0"/>
              <w:rPr>
                <w:sz w:val="19"/>
                <w:szCs w:val="19"/>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20%</w:t>
            </w:r>
          </w:p>
        </w:tc>
        <w:tc>
          <w:tcPr>
            <w:tcW w:w="0" w:type="dxa"/>
            <w:vAlign w:val="bottom"/>
          </w:tcPr>
          <w:p>
            <w:pPr>
              <w:spacing w:after="0"/>
              <w:rPr>
                <w:sz w:val="1"/>
                <w:szCs w:val="1"/>
                <w:color w:val="auto"/>
              </w:rPr>
            </w:pPr>
          </w:p>
        </w:tc>
      </w:tr>
      <w:tr>
        <w:trPr>
          <w:trHeight w:val="148"/>
        </w:trPr>
        <w:tc>
          <w:tcPr>
            <w:tcW w:w="1480" w:type="dxa"/>
            <w:vAlign w:val="bottom"/>
            <w:vMerge w:val="restart"/>
          </w:tcPr>
          <w:p>
            <w:pPr>
              <w:spacing w:after="0" w:line="228" w:lineRule="exact"/>
              <w:rPr>
                <w:sz w:val="20"/>
                <w:szCs w:val="20"/>
                <w:color w:val="auto"/>
              </w:rPr>
            </w:pPr>
            <w:r>
              <w:rPr>
                <w:rFonts w:ascii="Times New Roman" w:cs="Times New Roman" w:eastAsia="Times New Roman" w:hAnsi="Times New Roman"/>
                <w:sz w:val="20"/>
                <w:szCs w:val="20"/>
                <w:color w:val="auto"/>
              </w:rPr>
              <w:t>of common</w:t>
            </w:r>
          </w:p>
        </w:tc>
        <w:tc>
          <w:tcPr>
            <w:tcW w:w="1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9"/>
        </w:trPr>
        <w:tc>
          <w:tcPr>
            <w:tcW w:w="14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 w:type="dxa"/>
            <w:vAlign w:val="bottom"/>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2"/>
        </w:trPr>
        <w:tc>
          <w:tcPr>
            <w:tcW w:w="1480" w:type="dxa"/>
            <w:vAlign w:val="bottom"/>
          </w:tcPr>
          <w:p>
            <w:pPr>
              <w:spacing w:after="0"/>
              <w:rPr>
                <w:sz w:val="20"/>
                <w:szCs w:val="20"/>
                <w:color w:val="auto"/>
              </w:rPr>
            </w:pPr>
            <w:r>
              <w:rPr>
                <w:rFonts w:ascii="Times New Roman" w:cs="Times New Roman" w:eastAsia="Times New Roman" w:hAnsi="Times New Roman"/>
                <w:sz w:val="20"/>
                <w:szCs w:val="20"/>
                <w:color w:val="auto"/>
              </w:rPr>
              <w:t>shares - diluted</w:t>
            </w:r>
          </w:p>
        </w:tc>
        <w:tc>
          <w:tcPr>
            <w:tcW w:w="1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1480" w:type="dxa"/>
            <w:vAlign w:val="bottom"/>
          </w:tcPr>
          <w:p>
            <w:pPr>
              <w:spacing w:after="0" w:line="198" w:lineRule="exact"/>
              <w:rPr>
                <w:sz w:val="20"/>
                <w:szCs w:val="20"/>
                <w:color w:val="auto"/>
              </w:rPr>
            </w:pPr>
            <w:r>
              <w:rPr>
                <w:rFonts w:ascii="Times New Roman" w:cs="Times New Roman" w:eastAsia="Times New Roman" w:hAnsi="Times New Roman"/>
                <w:sz w:val="20"/>
                <w:szCs w:val="20"/>
                <w:color w:val="auto"/>
              </w:rPr>
              <w:t>Net loss per</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(1.30)</w:t>
            </w:r>
          </w:p>
        </w:tc>
        <w:tc>
          <w:tcPr>
            <w:tcW w:w="80" w:type="dxa"/>
            <w:vAlign w:val="bottom"/>
          </w:tcPr>
          <w:p>
            <w:pPr>
              <w:spacing w:after="0"/>
              <w:rPr>
                <w:sz w:val="17"/>
                <w:szCs w:val="17"/>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(0.04)</w:t>
            </w:r>
          </w:p>
        </w:tc>
        <w:tc>
          <w:tcPr>
            <w:tcW w:w="80" w:type="dxa"/>
            <w:vAlign w:val="bottom"/>
          </w:tcPr>
          <w:p>
            <w:pPr>
              <w:spacing w:after="0"/>
              <w:rPr>
                <w:sz w:val="17"/>
                <w:szCs w:val="17"/>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(1.26)</w:t>
            </w:r>
          </w:p>
        </w:tc>
        <w:tc>
          <w:tcPr>
            <w:tcW w:w="8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3,156%</w:t>
            </w:r>
          </w:p>
        </w:tc>
        <w:tc>
          <w:tcPr>
            <w:tcW w:w="80" w:type="dxa"/>
            <w:vAlign w:val="bottom"/>
          </w:tcPr>
          <w:p>
            <w:pPr>
              <w:spacing w:after="0"/>
              <w:rPr>
                <w:sz w:val="17"/>
                <w:szCs w:val="17"/>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(2.46)</w:t>
            </w:r>
          </w:p>
        </w:tc>
        <w:tc>
          <w:tcPr>
            <w:tcW w:w="60" w:type="dxa"/>
            <w:vAlign w:val="bottom"/>
          </w:tcPr>
          <w:p>
            <w:pPr>
              <w:spacing w:after="0"/>
              <w:rPr>
                <w:sz w:val="17"/>
                <w:szCs w:val="17"/>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(0.33)</w:t>
            </w:r>
          </w:p>
        </w:tc>
        <w:tc>
          <w:tcPr>
            <w:tcW w:w="80" w:type="dxa"/>
            <w:vAlign w:val="bottom"/>
          </w:tcPr>
          <w:p>
            <w:pPr>
              <w:spacing w:after="0"/>
              <w:rPr>
                <w:sz w:val="17"/>
                <w:szCs w:val="17"/>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(2.13)</w:t>
            </w:r>
          </w:p>
        </w:tc>
        <w:tc>
          <w:tcPr>
            <w:tcW w:w="8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645%</w:t>
            </w:r>
          </w:p>
        </w:tc>
        <w:tc>
          <w:tcPr>
            <w:tcW w:w="0" w:type="dxa"/>
            <w:vAlign w:val="bottom"/>
          </w:tcPr>
          <w:p>
            <w:pPr>
              <w:spacing w:after="0"/>
              <w:rPr>
                <w:sz w:val="1"/>
                <w:szCs w:val="1"/>
                <w:color w:val="auto"/>
              </w:rPr>
            </w:pPr>
          </w:p>
        </w:tc>
      </w:tr>
      <w:tr>
        <w:trPr>
          <w:trHeight w:val="148"/>
        </w:trPr>
        <w:tc>
          <w:tcPr>
            <w:tcW w:w="14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share - basic</w:t>
            </w:r>
          </w:p>
        </w:tc>
        <w:tc>
          <w:tcPr>
            <w:tcW w:w="120" w:type="dxa"/>
            <w:vAlign w:val="bottom"/>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4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7"/>
        </w:trPr>
        <w:tc>
          <w:tcPr>
            <w:tcW w:w="148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Net loss per</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(1.30)</w:t>
            </w:r>
          </w:p>
        </w:tc>
        <w:tc>
          <w:tcPr>
            <w:tcW w:w="80" w:type="dxa"/>
            <w:vAlign w:val="bottom"/>
          </w:tcPr>
          <w:p>
            <w:pPr>
              <w:spacing w:after="0"/>
              <w:rPr>
                <w:sz w:val="19"/>
                <w:szCs w:val="19"/>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(0.04)</w:t>
            </w:r>
          </w:p>
        </w:tc>
        <w:tc>
          <w:tcPr>
            <w:tcW w:w="80" w:type="dxa"/>
            <w:vAlign w:val="bottom"/>
          </w:tcPr>
          <w:p>
            <w:pPr>
              <w:spacing w:after="0"/>
              <w:rPr>
                <w:sz w:val="19"/>
                <w:szCs w:val="19"/>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(1.26)</w:t>
            </w:r>
          </w:p>
        </w:tc>
        <w:tc>
          <w:tcPr>
            <w:tcW w:w="80" w:type="dxa"/>
            <w:vAlign w:val="bottom"/>
          </w:tcPr>
          <w:p>
            <w:pPr>
              <w:spacing w:after="0"/>
              <w:rPr>
                <w:sz w:val="19"/>
                <w:szCs w:val="19"/>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3,156%</w:t>
            </w:r>
          </w:p>
        </w:tc>
        <w:tc>
          <w:tcPr>
            <w:tcW w:w="80" w:type="dxa"/>
            <w:vAlign w:val="bottom"/>
          </w:tcPr>
          <w:p>
            <w:pPr>
              <w:spacing w:after="0"/>
              <w:rPr>
                <w:sz w:val="19"/>
                <w:szCs w:val="19"/>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(2.46)</w:t>
            </w:r>
          </w:p>
        </w:tc>
        <w:tc>
          <w:tcPr>
            <w:tcW w:w="60" w:type="dxa"/>
            <w:vAlign w:val="bottom"/>
          </w:tcPr>
          <w:p>
            <w:pPr>
              <w:spacing w:after="0"/>
              <w:rPr>
                <w:sz w:val="19"/>
                <w:szCs w:val="19"/>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(0.33)</w:t>
            </w:r>
          </w:p>
        </w:tc>
        <w:tc>
          <w:tcPr>
            <w:tcW w:w="80" w:type="dxa"/>
            <w:vAlign w:val="bottom"/>
          </w:tcPr>
          <w:p>
            <w:pPr>
              <w:spacing w:after="0"/>
              <w:rPr>
                <w:sz w:val="19"/>
                <w:szCs w:val="19"/>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(2.13)</w:t>
            </w:r>
          </w:p>
        </w:tc>
        <w:tc>
          <w:tcPr>
            <w:tcW w:w="80" w:type="dxa"/>
            <w:vAlign w:val="bottom"/>
          </w:tcPr>
          <w:p>
            <w:pPr>
              <w:spacing w:after="0"/>
              <w:rPr>
                <w:sz w:val="19"/>
                <w:szCs w:val="19"/>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645%</w:t>
            </w:r>
          </w:p>
        </w:tc>
        <w:tc>
          <w:tcPr>
            <w:tcW w:w="0" w:type="dxa"/>
            <w:vAlign w:val="bottom"/>
          </w:tcPr>
          <w:p>
            <w:pPr>
              <w:spacing w:after="0"/>
              <w:rPr>
                <w:sz w:val="1"/>
                <w:szCs w:val="1"/>
                <w:color w:val="auto"/>
              </w:rPr>
            </w:pPr>
          </w:p>
        </w:tc>
      </w:tr>
      <w:tr>
        <w:trPr>
          <w:trHeight w:val="136"/>
        </w:trPr>
        <w:tc>
          <w:tcPr>
            <w:tcW w:w="14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share - diluted</w:t>
            </w:r>
          </w:p>
        </w:tc>
        <w:tc>
          <w:tcPr>
            <w:tcW w:w="12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480" w:type="dxa"/>
            <w:vAlign w:val="bottom"/>
            <w:vMerge w:val="continue"/>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56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Cash Flows</w:t>
            </w:r>
          </w:p>
        </w:tc>
        <w:tc>
          <w:tcPr>
            <w:tcW w:w="2940" w:type="dxa"/>
            <w:vAlign w:val="bottom"/>
            <w:gridSpan w:val="5"/>
            <w:vMerge w:val="restart"/>
          </w:tcPr>
          <w:p>
            <w:pPr>
              <w:jc w:val="right"/>
              <w:ind w:right="560"/>
              <w:spacing w:after="0"/>
              <w:rPr>
                <w:sz w:val="20"/>
                <w:szCs w:val="20"/>
                <w:color w:val="auto"/>
              </w:rPr>
            </w:pPr>
            <w:r>
              <w:rPr>
                <w:rFonts w:ascii="Times New Roman" w:cs="Times New Roman" w:eastAsia="Times New Roman" w:hAnsi="Times New Roman"/>
                <w:sz w:val="20"/>
                <w:szCs w:val="20"/>
                <w:b w:val="1"/>
                <w:bCs w:val="1"/>
                <w:color w:val="auto"/>
              </w:rPr>
              <w:t>For the twelve months</w:t>
            </w:r>
          </w:p>
        </w:tc>
        <w:tc>
          <w:tcPr>
            <w:tcW w:w="2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5620" w:type="dxa"/>
            <w:vAlign w:val="bottom"/>
          </w:tcPr>
          <w:p>
            <w:pPr>
              <w:spacing w:after="0"/>
              <w:rPr>
                <w:sz w:val="20"/>
                <w:szCs w:val="20"/>
                <w:color w:val="auto"/>
              </w:rPr>
            </w:pPr>
          </w:p>
        </w:tc>
        <w:tc>
          <w:tcPr>
            <w:tcW w:w="2940" w:type="dxa"/>
            <w:vAlign w:val="bottom"/>
            <w:gridSpan w:val="5"/>
            <w:vMerge w:val="continue"/>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5620" w:type="dxa"/>
            <w:vAlign w:val="bottom"/>
          </w:tcPr>
          <w:p>
            <w:pPr>
              <w:spacing w:after="0"/>
              <w:rPr>
                <w:sz w:val="21"/>
                <w:szCs w:val="21"/>
                <w:color w:val="auto"/>
              </w:rPr>
            </w:pPr>
          </w:p>
        </w:tc>
        <w:tc>
          <w:tcPr>
            <w:tcW w:w="2940" w:type="dxa"/>
            <w:vAlign w:val="bottom"/>
            <w:gridSpan w:val="5"/>
          </w:tcPr>
          <w:p>
            <w:pPr>
              <w:ind w:left="760"/>
              <w:spacing w:after="0"/>
              <w:rPr>
                <w:sz w:val="20"/>
                <w:szCs w:val="20"/>
                <w:color w:val="auto"/>
              </w:rPr>
            </w:pPr>
            <w:r>
              <w:rPr>
                <w:rFonts w:ascii="Times New Roman" w:cs="Times New Roman" w:eastAsia="Times New Roman" w:hAnsi="Times New Roman"/>
                <w:sz w:val="20"/>
                <w:szCs w:val="20"/>
                <w:b w:val="1"/>
                <w:bCs w:val="1"/>
                <w:color w:val="auto"/>
              </w:rPr>
              <w:t>Ended May 31,</w:t>
            </w:r>
          </w:p>
        </w:tc>
        <w:tc>
          <w:tcPr>
            <w:tcW w:w="220" w:type="dxa"/>
            <w:vAlign w:val="bottom"/>
          </w:tcPr>
          <w:p>
            <w:pPr>
              <w:spacing w:after="0"/>
              <w:rPr>
                <w:sz w:val="21"/>
                <w:szCs w:val="21"/>
                <w:color w:val="auto"/>
              </w:rPr>
            </w:pPr>
          </w:p>
        </w:tc>
        <w:tc>
          <w:tcPr>
            <w:tcW w:w="1220" w:type="dxa"/>
            <w:vAlign w:val="bottom"/>
            <w:gridSpan w:val="2"/>
          </w:tcPr>
          <w:p>
            <w:pPr>
              <w:ind w:left="120"/>
              <w:spacing w:after="0"/>
              <w:rPr>
                <w:sz w:val="20"/>
                <w:szCs w:val="20"/>
                <w:color w:val="auto"/>
              </w:rPr>
            </w:pPr>
            <w:r>
              <w:rPr>
                <w:rFonts w:ascii="Times New Roman" w:cs="Times New Roman" w:eastAsia="Times New Roman" w:hAnsi="Times New Roman"/>
                <w:sz w:val="20"/>
                <w:szCs w:val="20"/>
                <w:b w:val="1"/>
                <w:bCs w:val="1"/>
                <w:color w:val="auto"/>
              </w:rPr>
              <w:t>Change</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 Change</w:t>
            </w:r>
          </w:p>
        </w:tc>
        <w:tc>
          <w:tcPr>
            <w:tcW w:w="0" w:type="dxa"/>
            <w:vAlign w:val="bottom"/>
          </w:tcPr>
          <w:p>
            <w:pPr>
              <w:spacing w:after="0"/>
              <w:rPr>
                <w:sz w:val="1"/>
                <w:szCs w:val="1"/>
                <w:color w:val="auto"/>
              </w:rPr>
            </w:pPr>
          </w:p>
        </w:tc>
      </w:tr>
      <w:tr>
        <w:trPr>
          <w:trHeight w:val="266"/>
        </w:trPr>
        <w:tc>
          <w:tcPr>
            <w:tcW w:w="56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(in thousands of US dollars)</w:t>
            </w:r>
          </w:p>
        </w:tc>
        <w:tc>
          <w:tcPr>
            <w:tcW w:w="13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20"/>
                <w:szCs w:val="20"/>
                <w:b w:val="1"/>
                <w:bCs w:val="1"/>
                <w:color w:val="auto"/>
              </w:rPr>
              <w:t>2025</w:t>
            </w: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20"/>
                <w:szCs w:val="20"/>
                <w:b w:val="1"/>
                <w:bCs w:val="1"/>
                <w:color w:val="auto"/>
              </w:rPr>
              <w:t>2024</w:t>
            </w:r>
          </w:p>
        </w:tc>
        <w:tc>
          <w:tcPr>
            <w:tcW w:w="1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2340" w:type="dxa"/>
            <w:vAlign w:val="bottom"/>
            <w:tcBorders>
              <w:bottom w:val="single" w:sz="8" w:color="auto"/>
            </w:tcBorders>
            <w:gridSpan w:val="3"/>
          </w:tcPr>
          <w:p>
            <w:pPr>
              <w:jc w:val="right"/>
              <w:ind w:right="599"/>
              <w:spacing w:after="0"/>
              <w:rPr>
                <w:sz w:val="20"/>
                <w:szCs w:val="20"/>
                <w:color w:val="auto"/>
              </w:rPr>
            </w:pPr>
            <w:r>
              <w:rPr>
                <w:rFonts w:ascii="Times New Roman" w:cs="Times New Roman" w:eastAsia="Times New Roman" w:hAnsi="Times New Roman"/>
                <w:sz w:val="20"/>
                <w:szCs w:val="20"/>
                <w:b w:val="1"/>
                <w:bCs w:val="1"/>
                <w:color w:val="auto"/>
              </w:rPr>
              <w:t>2025 vs. 2024</w:t>
            </w:r>
          </w:p>
        </w:tc>
        <w:tc>
          <w:tcPr>
            <w:tcW w:w="0" w:type="dxa"/>
            <w:vAlign w:val="bottom"/>
          </w:tcPr>
          <w:p>
            <w:pPr>
              <w:spacing w:after="0"/>
              <w:rPr>
                <w:sz w:val="1"/>
                <w:szCs w:val="1"/>
                <w:color w:val="auto"/>
              </w:rPr>
            </w:pPr>
          </w:p>
        </w:tc>
      </w:tr>
      <w:tr>
        <w:trPr>
          <w:trHeight w:val="236"/>
        </w:trPr>
        <w:tc>
          <w:tcPr>
            <w:tcW w:w="56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Cash provided by (used in) operating activities:</w:t>
            </w: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5620" w:type="dxa"/>
            <w:vAlign w:val="bottom"/>
          </w:tcPr>
          <w:p>
            <w:pPr>
              <w:spacing w:after="0"/>
              <w:rPr>
                <w:sz w:val="20"/>
                <w:szCs w:val="20"/>
                <w:color w:val="auto"/>
              </w:rPr>
            </w:pPr>
            <w:r>
              <w:rPr>
                <w:rFonts w:ascii="Times New Roman" w:cs="Times New Roman" w:eastAsia="Times New Roman" w:hAnsi="Times New Roman"/>
                <w:sz w:val="20"/>
                <w:szCs w:val="20"/>
                <w:color w:val="auto"/>
              </w:rPr>
              <w:t>Net loss</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(2,181,356)</w:t>
            </w:r>
          </w:p>
        </w:tc>
        <w:tc>
          <w:tcPr>
            <w:tcW w:w="100" w:type="dxa"/>
            <w:vAlign w:val="bottom"/>
          </w:tcPr>
          <w:p>
            <w:pPr>
              <w:spacing w:after="0"/>
              <w:rPr>
                <w:sz w:val="21"/>
                <w:szCs w:val="21"/>
                <w:color w:val="auto"/>
              </w:rPr>
            </w:pPr>
          </w:p>
        </w:tc>
        <w:tc>
          <w:tcPr>
            <w:tcW w:w="320" w:type="dxa"/>
            <w:vAlign w:val="bottom"/>
          </w:tcPr>
          <w:p>
            <w:pPr>
              <w:jc w:val="right"/>
              <w:ind w:right="79"/>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(222,404)</w:t>
            </w:r>
          </w:p>
        </w:tc>
        <w:tc>
          <w:tcPr>
            <w:tcW w:w="10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(1,958,952)</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881%</w:t>
            </w:r>
          </w:p>
        </w:tc>
        <w:tc>
          <w:tcPr>
            <w:tcW w:w="0" w:type="dxa"/>
            <w:vAlign w:val="bottom"/>
          </w:tcPr>
          <w:p>
            <w:pPr>
              <w:spacing w:after="0"/>
              <w:rPr>
                <w:sz w:val="1"/>
                <w:szCs w:val="1"/>
                <w:color w:val="auto"/>
              </w:rPr>
            </w:pPr>
          </w:p>
        </w:tc>
      </w:tr>
      <w:tr>
        <w:trPr>
          <w:trHeight w:val="253"/>
        </w:trPr>
        <w:tc>
          <w:tcPr>
            <w:tcW w:w="5620" w:type="dxa"/>
            <w:vAlign w:val="bottom"/>
          </w:tcPr>
          <w:p>
            <w:pPr>
              <w:spacing w:after="0"/>
              <w:rPr>
                <w:sz w:val="20"/>
                <w:szCs w:val="20"/>
                <w:color w:val="auto"/>
              </w:rPr>
            </w:pPr>
            <w:r>
              <w:rPr>
                <w:rFonts w:ascii="Times New Roman" w:cs="Times New Roman" w:eastAsia="Times New Roman" w:hAnsi="Times New Roman"/>
                <w:sz w:val="20"/>
                <w:szCs w:val="20"/>
                <w:color w:val="auto"/>
              </w:rPr>
              <w:t>Adjustments for:</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56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Deferred income tax recovery</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(121,017)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(38,872)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(82,145)</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211%</w:t>
            </w:r>
          </w:p>
        </w:tc>
        <w:tc>
          <w:tcPr>
            <w:tcW w:w="0" w:type="dxa"/>
            <w:vAlign w:val="bottom"/>
          </w:tcPr>
          <w:p>
            <w:pPr>
              <w:spacing w:after="0"/>
              <w:rPr>
                <w:sz w:val="1"/>
                <w:szCs w:val="1"/>
                <w:color w:val="auto"/>
              </w:rPr>
            </w:pPr>
          </w:p>
        </w:tc>
      </w:tr>
      <w:tr>
        <w:trPr>
          <w:trHeight w:val="253"/>
        </w:trPr>
        <w:tc>
          <w:tcPr>
            <w:tcW w:w="56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Unrealized foreign exchange (gain) loss</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(18,218)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3,756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(21,974)</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(585)%</w:t>
            </w:r>
          </w:p>
        </w:tc>
        <w:tc>
          <w:tcPr>
            <w:tcW w:w="0" w:type="dxa"/>
            <w:vAlign w:val="bottom"/>
          </w:tcPr>
          <w:p>
            <w:pPr>
              <w:spacing w:after="0"/>
              <w:rPr>
                <w:sz w:val="1"/>
                <w:szCs w:val="1"/>
                <w:color w:val="auto"/>
              </w:rPr>
            </w:pPr>
          </w:p>
        </w:tc>
      </w:tr>
      <w:tr>
        <w:trPr>
          <w:trHeight w:val="253"/>
        </w:trPr>
        <w:tc>
          <w:tcPr>
            <w:tcW w:w="56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Amortization</w:t>
            </w: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20"/>
                <w:szCs w:val="20"/>
                <w:color w:val="auto"/>
              </w:rPr>
              <w:t>133,490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126,913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6,577</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0" w:type="dxa"/>
            <w:vAlign w:val="bottom"/>
          </w:tcPr>
          <w:p>
            <w:pPr>
              <w:spacing w:after="0"/>
              <w:rPr>
                <w:sz w:val="1"/>
                <w:szCs w:val="1"/>
                <w:color w:val="auto"/>
              </w:rPr>
            </w:pPr>
          </w:p>
        </w:tc>
      </w:tr>
      <w:tr>
        <w:trPr>
          <w:trHeight w:val="253"/>
        </w:trPr>
        <w:tc>
          <w:tcPr>
            <w:tcW w:w="56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Loss (gain) on sale of capital assets</w:t>
            </w: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20"/>
                <w:szCs w:val="20"/>
                <w:color w:val="auto"/>
              </w:rPr>
              <w:t>928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(4,198)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5,126</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w:t>
            </w:r>
          </w:p>
        </w:tc>
        <w:tc>
          <w:tcPr>
            <w:tcW w:w="0" w:type="dxa"/>
            <w:vAlign w:val="bottom"/>
          </w:tcPr>
          <w:p>
            <w:pPr>
              <w:spacing w:after="0"/>
              <w:rPr>
                <w:sz w:val="1"/>
                <w:szCs w:val="1"/>
                <w:color w:val="auto"/>
              </w:rPr>
            </w:pPr>
          </w:p>
        </w:tc>
      </w:tr>
      <w:tr>
        <w:trPr>
          <w:trHeight w:val="253"/>
        </w:trPr>
        <w:tc>
          <w:tcPr>
            <w:tcW w:w="56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Accretion of convertible debt discount</w:t>
            </w: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20"/>
                <w:szCs w:val="20"/>
                <w:color w:val="auto"/>
              </w:rPr>
              <w:t>10,863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14,459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(3,596)</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0" w:type="dxa"/>
            <w:vAlign w:val="bottom"/>
          </w:tcPr>
          <w:p>
            <w:pPr>
              <w:spacing w:after="0"/>
              <w:rPr>
                <w:sz w:val="1"/>
                <w:szCs w:val="1"/>
                <w:color w:val="auto"/>
              </w:rPr>
            </w:pPr>
          </w:p>
        </w:tc>
      </w:tr>
      <w:tr>
        <w:trPr>
          <w:trHeight w:val="253"/>
        </w:trPr>
        <w:tc>
          <w:tcPr>
            <w:tcW w:w="56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Impairment of intangible assets and goodwill</w:t>
            </w: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20"/>
                <w:szCs w:val="20"/>
                <w:color w:val="auto"/>
              </w:rPr>
              <w:t>2,096,139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2,096,139</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NM</w:t>
            </w:r>
          </w:p>
        </w:tc>
        <w:tc>
          <w:tcPr>
            <w:tcW w:w="0" w:type="dxa"/>
            <w:vAlign w:val="bottom"/>
          </w:tcPr>
          <w:p>
            <w:pPr>
              <w:spacing w:after="0"/>
              <w:rPr>
                <w:sz w:val="1"/>
                <w:szCs w:val="1"/>
                <w:color w:val="auto"/>
              </w:rPr>
            </w:pPr>
          </w:p>
        </w:tc>
      </w:tr>
      <w:tr>
        <w:trPr>
          <w:trHeight w:val="227"/>
        </w:trPr>
        <w:tc>
          <w:tcPr>
            <w:tcW w:w="5620" w:type="dxa"/>
            <w:vAlign w:val="bottom"/>
          </w:tcPr>
          <w:p>
            <w:pPr>
              <w:ind w:left="240"/>
              <w:spacing w:after="0" w:line="228" w:lineRule="exact"/>
              <w:rPr>
                <w:sz w:val="20"/>
                <w:szCs w:val="20"/>
                <w:color w:val="auto"/>
              </w:rPr>
            </w:pPr>
            <w:r>
              <w:rPr>
                <w:rFonts w:ascii="Times New Roman" w:cs="Times New Roman" w:eastAsia="Times New Roman" w:hAnsi="Times New Roman"/>
                <w:sz w:val="20"/>
                <w:szCs w:val="20"/>
                <w:color w:val="auto"/>
              </w:rPr>
              <w:t>Other than temporary change in fair value of convertible notes</w:t>
            </w:r>
          </w:p>
        </w:tc>
        <w:tc>
          <w:tcPr>
            <w:tcW w:w="1380" w:type="dxa"/>
            <w:vAlign w:val="bottom"/>
            <w:vMerge w:val="restart"/>
          </w:tcPr>
          <w:p>
            <w:pPr>
              <w:jc w:val="right"/>
              <w:ind w:right="19"/>
              <w:spacing w:after="0"/>
              <w:rPr>
                <w:sz w:val="20"/>
                <w:szCs w:val="20"/>
                <w:color w:val="auto"/>
              </w:rPr>
            </w:pPr>
            <w:r>
              <w:rPr>
                <w:rFonts w:ascii="Times New Roman" w:cs="Times New Roman" w:eastAsia="Times New Roman" w:hAnsi="Times New Roman"/>
                <w:sz w:val="20"/>
                <w:szCs w:val="20"/>
                <w:color w:val="auto"/>
              </w:rPr>
              <w:t>21,661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42,681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(21,020)</w:t>
            </w:r>
          </w:p>
        </w:tc>
        <w:tc>
          <w:tcPr>
            <w:tcW w:w="100" w:type="dxa"/>
            <w:vAlign w:val="bottom"/>
          </w:tcPr>
          <w:p>
            <w:pPr>
              <w:spacing w:after="0"/>
              <w:rPr>
                <w:sz w:val="19"/>
                <w:szCs w:val="19"/>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(49)%</w:t>
            </w:r>
          </w:p>
        </w:tc>
        <w:tc>
          <w:tcPr>
            <w:tcW w:w="0" w:type="dxa"/>
            <w:vAlign w:val="bottom"/>
          </w:tcPr>
          <w:p>
            <w:pPr>
              <w:spacing w:after="0"/>
              <w:rPr>
                <w:sz w:val="1"/>
                <w:szCs w:val="1"/>
                <w:color w:val="auto"/>
              </w:rPr>
            </w:pPr>
          </w:p>
        </w:tc>
      </w:tr>
      <w:tr>
        <w:trPr>
          <w:trHeight w:val="148"/>
        </w:trPr>
        <w:tc>
          <w:tcPr>
            <w:tcW w:w="562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auto"/>
              </w:rPr>
              <w:t>receivable</w:t>
            </w:r>
          </w:p>
        </w:tc>
        <w:tc>
          <w:tcPr>
            <w:tcW w:w="13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5620" w:type="dxa"/>
            <w:vAlign w:val="bottom"/>
            <w:vMerge w:val="continue"/>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3"/>
        </w:trPr>
        <w:tc>
          <w:tcPr>
            <w:tcW w:w="56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Other non-cash items</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(2,203)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(15,829)</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w:t>
            </w:r>
          </w:p>
        </w:tc>
        <w:tc>
          <w:tcPr>
            <w:tcW w:w="0" w:type="dxa"/>
            <w:vAlign w:val="bottom"/>
          </w:tcPr>
          <w:p>
            <w:pPr>
              <w:spacing w:after="0"/>
              <w:rPr>
                <w:sz w:val="1"/>
                <w:szCs w:val="1"/>
                <w:color w:val="auto"/>
              </w:rPr>
            </w:pPr>
          </w:p>
        </w:tc>
      </w:tr>
      <w:tr>
        <w:trPr>
          <w:trHeight w:val="253"/>
        </w:trPr>
        <w:tc>
          <w:tcPr>
            <w:tcW w:w="56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Stock-based compensation</w:t>
            </w: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20"/>
                <w:szCs w:val="20"/>
                <w:color w:val="auto"/>
              </w:rPr>
              <w:t>24,289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31,769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(7,480)</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c>
          <w:tcPr>
            <w:tcW w:w="0" w:type="dxa"/>
            <w:vAlign w:val="bottom"/>
          </w:tcPr>
          <w:p>
            <w:pPr>
              <w:spacing w:after="0"/>
              <w:rPr>
                <w:sz w:val="1"/>
                <w:szCs w:val="1"/>
                <w:color w:val="auto"/>
              </w:rPr>
            </w:pPr>
          </w:p>
        </w:tc>
      </w:tr>
      <w:tr>
        <w:trPr>
          <w:trHeight w:val="253"/>
        </w:trPr>
        <w:tc>
          <w:tcPr>
            <w:tcW w:w="56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Loss on long-term investments &amp; equity investments</w:t>
            </w: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20"/>
                <w:szCs w:val="20"/>
                <w:color w:val="auto"/>
              </w:rPr>
              <w:t>5,550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695</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0" w:type="dxa"/>
            <w:vAlign w:val="bottom"/>
          </w:tcPr>
          <w:p>
            <w:pPr>
              <w:spacing w:after="0"/>
              <w:rPr>
                <w:sz w:val="1"/>
                <w:szCs w:val="1"/>
                <w:color w:val="auto"/>
              </w:rPr>
            </w:pPr>
          </w:p>
        </w:tc>
      </w:tr>
      <w:tr>
        <w:trPr>
          <w:trHeight w:val="253"/>
        </w:trPr>
        <w:tc>
          <w:tcPr>
            <w:tcW w:w="56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(Gain) loss on derivative instruments</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(2,161)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21,172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(23,333)</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w:t>
            </w:r>
          </w:p>
        </w:tc>
        <w:tc>
          <w:tcPr>
            <w:tcW w:w="0" w:type="dxa"/>
            <w:vAlign w:val="bottom"/>
          </w:tcPr>
          <w:p>
            <w:pPr>
              <w:spacing w:after="0"/>
              <w:rPr>
                <w:sz w:val="1"/>
                <w:szCs w:val="1"/>
                <w:color w:val="auto"/>
              </w:rPr>
            </w:pPr>
          </w:p>
        </w:tc>
      </w:tr>
      <w:tr>
        <w:trPr>
          <w:trHeight w:val="253"/>
        </w:trPr>
        <w:tc>
          <w:tcPr>
            <w:tcW w:w="56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Change in fair value of contingent consideration</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15,790</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0" w:type="dxa"/>
            <w:vAlign w:val="bottom"/>
          </w:tcPr>
          <w:p>
            <w:pPr>
              <w:spacing w:after="0"/>
              <w:rPr>
                <w:sz w:val="1"/>
                <w:szCs w:val="1"/>
                <w:color w:val="auto"/>
              </w:rPr>
            </w:pPr>
          </w:p>
        </w:tc>
      </w:tr>
      <w:tr>
        <w:trPr>
          <w:trHeight w:val="253"/>
        </w:trPr>
        <w:tc>
          <w:tcPr>
            <w:tcW w:w="5620" w:type="dxa"/>
            <w:vAlign w:val="bottom"/>
          </w:tcPr>
          <w:p>
            <w:pPr>
              <w:spacing w:after="0"/>
              <w:rPr>
                <w:sz w:val="20"/>
                <w:szCs w:val="20"/>
                <w:color w:val="auto"/>
              </w:rPr>
            </w:pPr>
            <w:r>
              <w:rPr>
                <w:rFonts w:ascii="Times New Roman" w:cs="Times New Roman" w:eastAsia="Times New Roman" w:hAnsi="Times New Roman"/>
                <w:sz w:val="20"/>
                <w:szCs w:val="20"/>
                <w:color w:val="auto"/>
              </w:rPr>
              <w:t>Change in non-cash working capital:</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56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Accounts receivable</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(17,801)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(6,575)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(11,226)</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171%</w:t>
            </w:r>
          </w:p>
        </w:tc>
        <w:tc>
          <w:tcPr>
            <w:tcW w:w="0" w:type="dxa"/>
            <w:vAlign w:val="bottom"/>
          </w:tcPr>
          <w:p>
            <w:pPr>
              <w:spacing w:after="0"/>
              <w:rPr>
                <w:sz w:val="1"/>
                <w:szCs w:val="1"/>
                <w:color w:val="auto"/>
              </w:rPr>
            </w:pPr>
          </w:p>
        </w:tc>
      </w:tr>
      <w:tr>
        <w:trPr>
          <w:trHeight w:val="253"/>
        </w:trPr>
        <w:tc>
          <w:tcPr>
            <w:tcW w:w="56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Prepaids and other current assets</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(8,264)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(21,333)</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(163)%</w:t>
            </w:r>
          </w:p>
        </w:tc>
        <w:tc>
          <w:tcPr>
            <w:tcW w:w="0" w:type="dxa"/>
            <w:vAlign w:val="bottom"/>
          </w:tcPr>
          <w:p>
            <w:pPr>
              <w:spacing w:after="0"/>
              <w:rPr>
                <w:sz w:val="1"/>
                <w:szCs w:val="1"/>
                <w:color w:val="auto"/>
              </w:rPr>
            </w:pPr>
          </w:p>
        </w:tc>
      </w:tr>
      <w:tr>
        <w:trPr>
          <w:trHeight w:val="253"/>
        </w:trPr>
        <w:tc>
          <w:tcPr>
            <w:tcW w:w="56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Inventory</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(13,561)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(15,578)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2,017</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0" w:type="dxa"/>
            <w:vAlign w:val="bottom"/>
          </w:tcPr>
          <w:p>
            <w:pPr>
              <w:spacing w:after="0"/>
              <w:rPr>
                <w:sz w:val="1"/>
                <w:szCs w:val="1"/>
                <w:color w:val="auto"/>
              </w:rPr>
            </w:pPr>
          </w:p>
        </w:tc>
      </w:tr>
      <w:tr>
        <w:trPr>
          <w:trHeight w:val="262"/>
        </w:trPr>
        <w:tc>
          <w:tcPr>
            <w:tcW w:w="56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Accounts payable and accrued liabilities</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(22,938)</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212</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(23,150)</w:t>
            </w:r>
          </w:p>
        </w:tc>
        <w:tc>
          <w:tcPr>
            <w:tcW w:w="100" w:type="dxa"/>
            <w:vAlign w:val="bottom"/>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(10,920)%</w:t>
            </w:r>
          </w:p>
        </w:tc>
        <w:tc>
          <w:tcPr>
            <w:tcW w:w="0" w:type="dxa"/>
            <w:vAlign w:val="bottom"/>
          </w:tcPr>
          <w:p>
            <w:pPr>
              <w:spacing w:after="0"/>
              <w:rPr>
                <w:sz w:val="1"/>
                <w:szCs w:val="1"/>
                <w:color w:val="auto"/>
              </w:rPr>
            </w:pPr>
          </w:p>
        </w:tc>
      </w:tr>
      <w:tr>
        <w:trPr>
          <w:trHeight w:val="249"/>
        </w:trPr>
        <w:tc>
          <w:tcPr>
            <w:tcW w:w="5620" w:type="dxa"/>
            <w:vAlign w:val="bottom"/>
          </w:tcPr>
          <w:p>
            <w:pPr>
              <w:spacing w:after="0"/>
              <w:rPr>
                <w:sz w:val="20"/>
                <w:szCs w:val="20"/>
                <w:color w:val="auto"/>
              </w:rPr>
            </w:pPr>
            <w:r>
              <w:rPr>
                <w:rFonts w:ascii="Times New Roman" w:cs="Times New Roman" w:eastAsia="Times New Roman" w:hAnsi="Times New Roman"/>
                <w:sz w:val="20"/>
                <w:szCs w:val="20"/>
                <w:color w:val="auto"/>
              </w:rPr>
              <w:t>Net cash provided by (used in) operating activities</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(94,599)</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(30,905)</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(63,694)</w:t>
            </w:r>
          </w:p>
        </w:tc>
        <w:tc>
          <w:tcPr>
            <w:tcW w:w="100" w:type="dxa"/>
            <w:vAlign w:val="bottom"/>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206%</w:t>
            </w:r>
          </w:p>
        </w:tc>
        <w:tc>
          <w:tcPr>
            <w:tcW w:w="0" w:type="dxa"/>
            <w:vAlign w:val="bottom"/>
          </w:tcPr>
          <w:p>
            <w:pPr>
              <w:spacing w:after="0"/>
              <w:rPr>
                <w:sz w:val="1"/>
                <w:szCs w:val="1"/>
                <w:color w:val="auto"/>
              </w:rPr>
            </w:pPr>
          </w:p>
        </w:tc>
      </w:tr>
      <w:tr>
        <w:trPr>
          <w:trHeight w:val="233"/>
        </w:trPr>
        <w:tc>
          <w:tcPr>
            <w:tcW w:w="56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Cash provided by (used in) investing activities:</w:t>
            </w: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56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Investment in capital and intangible assets</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(32,917)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(29,249)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(3,668)</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0" w:type="dxa"/>
            <w:vAlign w:val="bottom"/>
          </w:tcPr>
          <w:p>
            <w:pPr>
              <w:spacing w:after="0"/>
              <w:rPr>
                <w:sz w:val="1"/>
                <w:szCs w:val="1"/>
                <w:color w:val="auto"/>
              </w:rPr>
            </w:pPr>
          </w:p>
        </w:tc>
      </w:tr>
      <w:tr>
        <w:trPr>
          <w:trHeight w:val="262"/>
        </w:trPr>
        <w:tc>
          <w:tcPr>
            <w:tcW w:w="56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Proceeds from disposal of capital and intangible assets</w:t>
            </w: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20"/>
                <w:szCs w:val="20"/>
                <w:color w:val="auto"/>
              </w:rPr>
              <w:t>6,824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8,509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(1,685)</w:t>
            </w:r>
          </w:p>
        </w:tc>
        <w:tc>
          <w:tcPr>
            <w:tcW w:w="1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w:t>
            </w:r>
          </w:p>
        </w:tc>
        <w:tc>
          <w:tcPr>
            <w:tcW w:w="0" w:type="dxa"/>
            <w:vAlign w:val="bottom"/>
          </w:tcPr>
          <w:p>
            <w:pPr>
              <w:spacing w:after="0"/>
              <w:rPr>
                <w:sz w:val="1"/>
                <w:szCs w:val="1"/>
                <w:color w:val="auto"/>
              </w:rPr>
            </w:pPr>
          </w:p>
        </w:tc>
      </w:tr>
    </w:tbl>
    <w:p>
      <w:pPr>
        <w:sectPr>
          <w:pgSz w:w="11900" w:h="16838" w:orient="portrait"/>
          <w:cols w:equalWidth="0" w:num="1">
            <w:col w:w="11260"/>
          </w:cols>
          <w:pgMar w:left="340" w:top="114" w:right="299" w:bottom="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6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Disposal (purchase) of marketable securities, net</w:t>
            </w:r>
          </w:p>
        </w:tc>
        <w:tc>
          <w:tcPr>
            <w:tcW w:w="3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(2,515)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209,715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(212,230)</w:t>
            </w:r>
          </w:p>
        </w:tc>
        <w:tc>
          <w:tcPr>
            <w:tcW w:w="1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w:t>
            </w:r>
          </w:p>
        </w:tc>
      </w:tr>
      <w:tr>
        <w:trPr>
          <w:trHeight w:val="262"/>
        </w:trPr>
        <w:tc>
          <w:tcPr>
            <w:tcW w:w="56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Business acquisitions, net of cash acquired</w:t>
            </w:r>
          </w:p>
        </w:tc>
        <w:tc>
          <w:tcPr>
            <w:tcW w:w="3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(18,110)</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(60,626)</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42,516</w:t>
            </w:r>
          </w:p>
        </w:tc>
        <w:tc>
          <w:tcPr>
            <w:tcW w:w="100" w:type="dxa"/>
            <w:vAlign w:val="bottom"/>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(70)%</w:t>
            </w:r>
          </w:p>
        </w:tc>
      </w:tr>
      <w:tr>
        <w:trPr>
          <w:trHeight w:val="249"/>
        </w:trPr>
        <w:tc>
          <w:tcPr>
            <w:tcW w:w="5620" w:type="dxa"/>
            <w:vAlign w:val="bottom"/>
          </w:tcPr>
          <w:p>
            <w:pPr>
              <w:spacing w:after="0"/>
              <w:rPr>
                <w:sz w:val="20"/>
                <w:szCs w:val="20"/>
                <w:color w:val="auto"/>
              </w:rPr>
            </w:pPr>
            <w:r>
              <w:rPr>
                <w:rFonts w:ascii="Times New Roman" w:cs="Times New Roman" w:eastAsia="Times New Roman" w:hAnsi="Times New Roman"/>
                <w:sz w:val="20"/>
                <w:szCs w:val="20"/>
                <w:color w:val="auto"/>
              </w:rPr>
              <w:t>Net cash provided by (used in) investing activities</w:t>
            </w:r>
          </w:p>
        </w:tc>
        <w:tc>
          <w:tcPr>
            <w:tcW w:w="3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(46,718)</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128,349</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(175,067)</w:t>
            </w:r>
          </w:p>
        </w:tc>
        <w:tc>
          <w:tcPr>
            <w:tcW w:w="100" w:type="dxa"/>
            <w:vAlign w:val="bottom"/>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(136)%</w:t>
            </w:r>
          </w:p>
        </w:tc>
      </w:tr>
      <w:tr>
        <w:trPr>
          <w:trHeight w:val="233"/>
        </w:trPr>
        <w:tc>
          <w:tcPr>
            <w:tcW w:w="56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Cash provided by (used in) financing activities:</w:t>
            </w: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3"/>
        </w:trPr>
        <w:tc>
          <w:tcPr>
            <w:tcW w:w="56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Share capital issued, net of cash issuance costs</w:t>
            </w:r>
          </w:p>
        </w:tc>
        <w:tc>
          <w:tcPr>
            <w:tcW w:w="360" w:type="dxa"/>
            <w:vAlign w:val="bottom"/>
          </w:tcPr>
          <w:p>
            <w:pPr>
              <w:spacing w:after="0"/>
              <w:rPr>
                <w:sz w:val="21"/>
                <w:szCs w:val="21"/>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20"/>
                <w:szCs w:val="20"/>
                <w:color w:val="auto"/>
              </w:rPr>
              <w:t>161,188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8,619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152,569</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1,770%</w:t>
            </w:r>
          </w:p>
        </w:tc>
      </w:tr>
      <w:tr>
        <w:trPr>
          <w:trHeight w:val="253"/>
        </w:trPr>
        <w:tc>
          <w:tcPr>
            <w:tcW w:w="56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Proceeds from long-term debt</w:t>
            </w:r>
          </w:p>
        </w:tc>
        <w:tc>
          <w:tcPr>
            <w:tcW w:w="360" w:type="dxa"/>
            <w:vAlign w:val="bottom"/>
          </w:tcPr>
          <w:p>
            <w:pPr>
              <w:spacing w:after="0"/>
              <w:rPr>
                <w:sz w:val="21"/>
                <w:szCs w:val="21"/>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20"/>
                <w:szCs w:val="20"/>
                <w:color w:val="auto"/>
              </w:rPr>
              <w:t>3,450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32,621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(29,171)</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w:t>
            </w:r>
          </w:p>
        </w:tc>
      </w:tr>
      <w:tr>
        <w:trPr>
          <w:trHeight w:val="253"/>
        </w:trPr>
        <w:tc>
          <w:tcPr>
            <w:tcW w:w="56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Repayment of long-term debt</w:t>
            </w: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(15,506)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(22,402)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6,896</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w:t>
            </w:r>
          </w:p>
        </w:tc>
      </w:tr>
      <w:tr>
        <w:trPr>
          <w:trHeight w:val="253"/>
        </w:trPr>
        <w:tc>
          <w:tcPr>
            <w:tcW w:w="56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Proceeds from convertible debt</w:t>
            </w:r>
          </w:p>
        </w:tc>
        <w:tc>
          <w:tcPr>
            <w:tcW w:w="3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21,553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(21,553)</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w:t>
            </w:r>
          </w:p>
        </w:tc>
      </w:tr>
      <w:tr>
        <w:trPr>
          <w:trHeight w:val="253"/>
        </w:trPr>
        <w:tc>
          <w:tcPr>
            <w:tcW w:w="56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Repayment of convertible debt</w:t>
            </w: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(107,330)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107,000</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w:t>
            </w:r>
          </w:p>
        </w:tc>
      </w:tr>
      <w:tr>
        <w:trPr>
          <w:trHeight w:val="253"/>
        </w:trPr>
        <w:tc>
          <w:tcPr>
            <w:tcW w:w="56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Repayment of lease liabilities</w:t>
            </w: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r>
      <w:tr>
        <w:trPr>
          <w:trHeight w:val="253"/>
        </w:trPr>
        <w:tc>
          <w:tcPr>
            <w:tcW w:w="56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Net increase (decrease) in bank indebtedness</w:t>
            </w: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(10,852)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(5,348)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(5,504)</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w:t>
            </w:r>
          </w:p>
        </w:tc>
      </w:tr>
      <w:tr>
        <w:trPr>
          <w:trHeight w:val="262"/>
        </w:trPr>
        <w:tc>
          <w:tcPr>
            <w:tcW w:w="56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Dividend paid to NCI</w:t>
            </w:r>
          </w:p>
        </w:tc>
        <w:tc>
          <w:tcPr>
            <w:tcW w:w="3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(1,544)</w:t>
            </w:r>
          </w:p>
        </w:tc>
        <w:tc>
          <w:tcPr>
            <w:tcW w:w="1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NM</w:t>
            </w:r>
          </w:p>
        </w:tc>
      </w:tr>
      <w:tr>
        <w:trPr>
          <w:trHeight w:val="249"/>
        </w:trPr>
        <w:tc>
          <w:tcPr>
            <w:tcW w:w="5620" w:type="dxa"/>
            <w:vAlign w:val="bottom"/>
          </w:tcPr>
          <w:p>
            <w:pPr>
              <w:spacing w:after="0"/>
              <w:rPr>
                <w:sz w:val="20"/>
                <w:szCs w:val="20"/>
                <w:color w:val="auto"/>
              </w:rPr>
            </w:pPr>
            <w:r>
              <w:rPr>
                <w:rFonts w:ascii="Times New Roman" w:cs="Times New Roman" w:eastAsia="Times New Roman" w:hAnsi="Times New Roman"/>
                <w:sz w:val="20"/>
                <w:szCs w:val="20"/>
                <w:color w:val="auto"/>
              </w:rPr>
              <w:t>Net cash provided by (used in) financing activities</w:t>
            </w:r>
          </w:p>
        </w:tc>
        <w:tc>
          <w:tcPr>
            <w:tcW w:w="36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20"/>
                <w:szCs w:val="20"/>
                <w:color w:val="auto"/>
              </w:rPr>
              <w:t>133,506</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(75,187)</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208,693</w:t>
            </w:r>
          </w:p>
        </w:tc>
        <w:tc>
          <w:tcPr>
            <w:tcW w:w="100" w:type="dxa"/>
            <w:vAlign w:val="bottom"/>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(278)%</w:t>
            </w:r>
          </w:p>
        </w:tc>
      </w:tr>
      <w:tr>
        <w:trPr>
          <w:trHeight w:val="245"/>
        </w:trPr>
        <w:tc>
          <w:tcPr>
            <w:tcW w:w="56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Effect of foreign exchange on cash and cash equivalents</w:t>
            </w:r>
          </w:p>
        </w:tc>
        <w:tc>
          <w:tcPr>
            <w:tcW w:w="3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20"/>
                <w:szCs w:val="20"/>
                <w:color w:val="auto"/>
              </w:rPr>
              <w:t>1,137</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(549)</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1,686</w:t>
            </w:r>
          </w:p>
        </w:tc>
        <w:tc>
          <w:tcPr>
            <w:tcW w:w="100" w:type="dxa"/>
            <w:vAlign w:val="bottom"/>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(307)%</w:t>
            </w:r>
          </w:p>
        </w:tc>
      </w:tr>
      <w:tr>
        <w:trPr>
          <w:trHeight w:val="233"/>
        </w:trPr>
        <w:tc>
          <w:tcPr>
            <w:tcW w:w="5620" w:type="dxa"/>
            <w:vAlign w:val="bottom"/>
          </w:tcPr>
          <w:p>
            <w:pPr>
              <w:spacing w:after="0"/>
              <w:rPr>
                <w:sz w:val="20"/>
                <w:szCs w:val="20"/>
                <w:color w:val="auto"/>
              </w:rPr>
            </w:pPr>
            <w:r>
              <w:rPr>
                <w:rFonts w:ascii="Times New Roman" w:cs="Times New Roman" w:eastAsia="Times New Roman" w:hAnsi="Times New Roman"/>
                <w:sz w:val="20"/>
                <w:szCs w:val="20"/>
                <w:color w:val="auto"/>
              </w:rPr>
              <w:t>Net decrease in cash and cash equivalents</w:t>
            </w:r>
          </w:p>
        </w:tc>
        <w:tc>
          <w:tcPr>
            <w:tcW w:w="3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(6,674)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21,708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(28,382)</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w:t>
            </w:r>
          </w:p>
        </w:tc>
      </w:tr>
      <w:tr>
        <w:trPr>
          <w:trHeight w:val="262"/>
        </w:trPr>
        <w:tc>
          <w:tcPr>
            <w:tcW w:w="5620" w:type="dxa"/>
            <w:vAlign w:val="bottom"/>
          </w:tcPr>
          <w:p>
            <w:pPr>
              <w:spacing w:after="0"/>
              <w:rPr>
                <w:sz w:val="20"/>
                <w:szCs w:val="20"/>
                <w:color w:val="auto"/>
              </w:rPr>
            </w:pPr>
            <w:r>
              <w:rPr>
                <w:rFonts w:ascii="Times New Roman" w:cs="Times New Roman" w:eastAsia="Times New Roman" w:hAnsi="Times New Roman"/>
                <w:sz w:val="20"/>
                <w:szCs w:val="20"/>
                <w:color w:val="auto"/>
              </w:rPr>
              <w:t>Cash and cash equivalents, beginning of year</w:t>
            </w:r>
          </w:p>
        </w:tc>
        <w:tc>
          <w:tcPr>
            <w:tcW w:w="3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20"/>
                <w:szCs w:val="20"/>
                <w:color w:val="auto"/>
              </w:rPr>
              <w:t>228,340</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206,632</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21,708</w:t>
            </w:r>
          </w:p>
        </w:tc>
        <w:tc>
          <w:tcPr>
            <w:tcW w:w="100" w:type="dxa"/>
            <w:vAlign w:val="bottom"/>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w:t>
            </w:r>
          </w:p>
        </w:tc>
      </w:tr>
      <w:tr>
        <w:trPr>
          <w:trHeight w:val="249"/>
        </w:trPr>
        <w:tc>
          <w:tcPr>
            <w:tcW w:w="56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Cash and cash equivalents, end of year</w:t>
            </w:r>
          </w:p>
        </w:tc>
        <w:tc>
          <w:tcPr>
            <w:tcW w:w="3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20"/>
                <w:szCs w:val="20"/>
                <w:color w:val="auto"/>
                <w:w w:val="99"/>
              </w:rPr>
              <w:t>$</w:t>
            </w:r>
          </w:p>
        </w:tc>
        <w:tc>
          <w:tcPr>
            <w:tcW w:w="10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20"/>
                <w:szCs w:val="20"/>
                <w:color w:val="auto"/>
              </w:rPr>
              <w:t>221,666</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228,340</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20"/>
                <w:szCs w:val="20"/>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(6,674)</w:t>
            </w:r>
          </w:p>
        </w:tc>
        <w:tc>
          <w:tcPr>
            <w:tcW w:w="100" w:type="dxa"/>
            <w:vAlign w:val="bottom"/>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w:t>
            </w:r>
          </w:p>
        </w:tc>
      </w:tr>
      <w:tr>
        <w:trPr>
          <w:trHeight w:val="20"/>
        </w:trPr>
        <w:tc>
          <w:tcPr>
            <w:tcW w:w="56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94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color w:val="auto"/>
              </w:rPr>
              <w:t>Net Revenue by Operating Segment</w:t>
            </w: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680" w:type="dxa"/>
            <w:vAlign w:val="bottom"/>
          </w:tcPr>
          <w:p>
            <w:pPr>
              <w:spacing w:after="0"/>
              <w:rPr>
                <w:sz w:val="19"/>
                <w:szCs w:val="19"/>
                <w:color w:val="auto"/>
              </w:rPr>
            </w:pPr>
          </w:p>
        </w:tc>
        <w:tc>
          <w:tcPr>
            <w:tcW w:w="1260" w:type="dxa"/>
            <w:vAlign w:val="bottom"/>
            <w:gridSpan w:val="3"/>
          </w:tcPr>
          <w:p>
            <w:pPr>
              <w:ind w:left="20"/>
              <w:spacing w:after="0" w:line="228" w:lineRule="exact"/>
              <w:rPr>
                <w:sz w:val="20"/>
                <w:szCs w:val="20"/>
                <w:color w:val="auto"/>
              </w:rPr>
            </w:pPr>
            <w:r>
              <w:rPr>
                <w:rFonts w:ascii="Times New Roman" w:cs="Times New Roman" w:eastAsia="Times New Roman" w:hAnsi="Times New Roman"/>
                <w:sz w:val="20"/>
                <w:szCs w:val="20"/>
                <w:b w:val="1"/>
                <w:bCs w:val="1"/>
                <w:color w:val="auto"/>
              </w:rPr>
              <w:t>For the three</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3"/>
          </w:tcPr>
          <w:p>
            <w:pPr>
              <w:ind w:left="20"/>
              <w:spacing w:after="0" w:line="228" w:lineRule="exact"/>
              <w:rPr>
                <w:sz w:val="20"/>
                <w:szCs w:val="20"/>
                <w:color w:val="auto"/>
              </w:rPr>
            </w:pPr>
            <w:r>
              <w:rPr>
                <w:rFonts w:ascii="Times New Roman" w:cs="Times New Roman" w:eastAsia="Times New Roman" w:hAnsi="Times New Roman"/>
                <w:sz w:val="20"/>
                <w:szCs w:val="20"/>
                <w:b w:val="1"/>
                <w:bCs w:val="1"/>
                <w:color w:val="auto"/>
              </w:rPr>
              <w:t>For the three</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For the year</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For the year</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4"/>
        </w:trPr>
        <w:tc>
          <w:tcPr>
            <w:tcW w:w="2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gridSpan w:val="2"/>
            <w:vMerge w:val="restart"/>
          </w:tcPr>
          <w:p>
            <w:pPr>
              <w:jc w:val="center"/>
              <w:ind w:right="260"/>
              <w:spacing w:after="0" w:line="228" w:lineRule="exact"/>
              <w:rPr>
                <w:sz w:val="20"/>
                <w:szCs w:val="20"/>
                <w:color w:val="auto"/>
              </w:rPr>
            </w:pPr>
            <w:r>
              <w:rPr>
                <w:rFonts w:ascii="Times New Roman" w:cs="Times New Roman" w:eastAsia="Times New Roman" w:hAnsi="Times New Roman"/>
                <w:sz w:val="20"/>
                <w:szCs w:val="20"/>
                <w:b w:val="1"/>
                <w:bCs w:val="1"/>
                <w:color w:val="auto"/>
              </w:rPr>
              <w:t>months</w:t>
            </w: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gridSpan w:val="2"/>
            <w:vMerge w:val="restart"/>
          </w:tcPr>
          <w:p>
            <w:pPr>
              <w:jc w:val="center"/>
              <w:ind w:right="300"/>
              <w:spacing w:after="0" w:line="228" w:lineRule="exact"/>
              <w:rPr>
                <w:sz w:val="20"/>
                <w:szCs w:val="20"/>
                <w:color w:val="auto"/>
              </w:rPr>
            </w:pPr>
            <w:r>
              <w:rPr>
                <w:rFonts w:ascii="Times New Roman" w:cs="Times New Roman" w:eastAsia="Times New Roman" w:hAnsi="Times New Roman"/>
                <w:sz w:val="20"/>
                <w:szCs w:val="20"/>
                <w:b w:val="1"/>
                <w:bCs w:val="1"/>
                <w:color w:val="auto"/>
              </w:rPr>
              <w:t>months</w:t>
            </w: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20"/>
                <w:szCs w:val="20"/>
                <w:b w:val="1"/>
                <w:bCs w:val="1"/>
                <w:color w:val="auto"/>
              </w:rPr>
              <w:t>ended</w:t>
            </w: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20"/>
                <w:szCs w:val="20"/>
                <w:b w:val="1"/>
                <w:bCs w:val="1"/>
                <w:color w:val="auto"/>
              </w:rPr>
              <w:t>ended</w:t>
            </w: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2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20"/>
                <w:szCs w:val="20"/>
                <w:b w:val="1"/>
                <w:bCs w:val="1"/>
                <w:color w:val="auto"/>
              </w:rPr>
              <w:t>ended</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20"/>
                <w:szCs w:val="20"/>
                <w:b w:val="1"/>
                <w:bCs w:val="1"/>
                <w:color w:val="auto"/>
              </w:rPr>
              <w:t>ended</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2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8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 of</w:t>
            </w:r>
          </w:p>
        </w:tc>
        <w:tc>
          <w:tcPr>
            <w:tcW w:w="20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8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 of</w:t>
            </w: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 of</w:t>
            </w: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rPr>
              <w:t>% of</w:t>
            </w:r>
          </w:p>
        </w:tc>
        <w:tc>
          <w:tcPr>
            <w:tcW w:w="0" w:type="dxa"/>
            <w:vAlign w:val="bottom"/>
          </w:tcPr>
          <w:p>
            <w:pPr>
              <w:spacing w:after="0"/>
              <w:rPr>
                <w:sz w:val="1"/>
                <w:szCs w:val="1"/>
                <w:color w:val="auto"/>
              </w:rPr>
            </w:pPr>
          </w:p>
        </w:tc>
      </w:tr>
      <w:tr>
        <w:trPr>
          <w:trHeight w:val="214"/>
        </w:trPr>
        <w:tc>
          <w:tcPr>
            <w:tcW w:w="2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20"/>
                <w:szCs w:val="20"/>
                <w:b w:val="1"/>
                <w:bCs w:val="1"/>
                <w:color w:val="auto"/>
              </w:rPr>
              <w:t>May 31,</w:t>
            </w:r>
          </w:p>
        </w:tc>
        <w:tc>
          <w:tcPr>
            <w:tcW w:w="8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20"/>
                <w:szCs w:val="20"/>
                <w:b w:val="1"/>
                <w:bCs w:val="1"/>
                <w:color w:val="auto"/>
              </w:rPr>
              <w:t>May 31,</w:t>
            </w:r>
          </w:p>
        </w:tc>
        <w:tc>
          <w:tcPr>
            <w:tcW w:w="8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20"/>
                <w:szCs w:val="20"/>
                <w:b w:val="1"/>
                <w:bCs w:val="1"/>
                <w:color w:val="auto"/>
              </w:rPr>
              <w:t>May 31,</w:t>
            </w:r>
          </w:p>
        </w:tc>
        <w:tc>
          <w:tcPr>
            <w:tcW w:w="8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20"/>
                <w:szCs w:val="20"/>
                <w:b w:val="1"/>
                <w:bCs w:val="1"/>
                <w:color w:val="auto"/>
              </w:rPr>
              <w:t>May 31,</w:t>
            </w: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2680" w:type="dxa"/>
            <w:vAlign w:val="bottom"/>
            <w:vMerge w:val="restart"/>
          </w:tcPr>
          <w:p>
            <w:pPr>
              <w:spacing w:after="0" w:line="228" w:lineRule="exact"/>
              <w:rPr>
                <w:sz w:val="20"/>
                <w:szCs w:val="20"/>
                <w:color w:val="auto"/>
              </w:rPr>
            </w:pPr>
            <w:r>
              <w:rPr>
                <w:rFonts w:ascii="Times New Roman" w:cs="Times New Roman" w:eastAsia="Times New Roman" w:hAnsi="Times New Roman"/>
                <w:sz w:val="20"/>
                <w:szCs w:val="20"/>
                <w:b w:val="1"/>
                <w:bCs w:val="1"/>
                <w:color w:val="auto"/>
              </w:rPr>
              <w:t>(In thousands of U.S. dollars)</w:t>
            </w:r>
          </w:p>
        </w:tc>
        <w:tc>
          <w:tcPr>
            <w:tcW w:w="16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880" w:type="dxa"/>
            <w:vAlign w:val="bottom"/>
            <w:gridSpan w:val="2"/>
            <w:vMerge w:val="restart"/>
          </w:tcPr>
          <w:p>
            <w:pPr>
              <w:jc w:val="center"/>
              <w:ind w:right="80"/>
              <w:spacing w:after="0" w:line="228" w:lineRule="exact"/>
              <w:rPr>
                <w:sz w:val="20"/>
                <w:szCs w:val="20"/>
                <w:color w:val="auto"/>
              </w:rPr>
            </w:pPr>
            <w:r>
              <w:rPr>
                <w:rFonts w:ascii="Times New Roman" w:cs="Times New Roman" w:eastAsia="Times New Roman" w:hAnsi="Times New Roman"/>
                <w:sz w:val="20"/>
                <w:szCs w:val="20"/>
                <w:b w:val="1"/>
                <w:bCs w:val="1"/>
                <w:color w:val="auto"/>
                <w:w w:val="96"/>
              </w:rPr>
              <w:t>Total</w:t>
            </w:r>
          </w:p>
        </w:tc>
        <w:tc>
          <w:tcPr>
            <w:tcW w:w="20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880" w:type="dxa"/>
            <w:vAlign w:val="bottom"/>
            <w:gridSpan w:val="2"/>
            <w:vMerge w:val="restart"/>
          </w:tcPr>
          <w:p>
            <w:pPr>
              <w:jc w:val="center"/>
              <w:ind w:right="100"/>
              <w:spacing w:after="0" w:line="228" w:lineRule="exact"/>
              <w:rPr>
                <w:sz w:val="20"/>
                <w:szCs w:val="20"/>
                <w:color w:val="auto"/>
              </w:rPr>
            </w:pPr>
            <w:r>
              <w:rPr>
                <w:rFonts w:ascii="Times New Roman" w:cs="Times New Roman" w:eastAsia="Times New Roman" w:hAnsi="Times New Roman"/>
                <w:sz w:val="20"/>
                <w:szCs w:val="20"/>
                <w:b w:val="1"/>
                <w:bCs w:val="1"/>
                <w:color w:val="auto"/>
              </w:rPr>
              <w:t>Total</w:t>
            </w:r>
          </w:p>
        </w:tc>
        <w:tc>
          <w:tcPr>
            <w:tcW w:w="16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880" w:type="dxa"/>
            <w:vAlign w:val="bottom"/>
            <w:gridSpan w:val="2"/>
            <w:vMerge w:val="restart"/>
          </w:tcPr>
          <w:p>
            <w:pPr>
              <w:jc w:val="center"/>
              <w:ind w:right="120"/>
              <w:spacing w:after="0" w:line="228" w:lineRule="exact"/>
              <w:rPr>
                <w:sz w:val="20"/>
                <w:szCs w:val="20"/>
                <w:color w:val="auto"/>
              </w:rPr>
            </w:pPr>
            <w:r>
              <w:rPr>
                <w:rFonts w:ascii="Times New Roman" w:cs="Times New Roman" w:eastAsia="Times New Roman" w:hAnsi="Times New Roman"/>
                <w:sz w:val="20"/>
                <w:szCs w:val="20"/>
                <w:b w:val="1"/>
                <w:bCs w:val="1"/>
                <w:color w:val="auto"/>
                <w:w w:val="96"/>
              </w:rPr>
              <w:t>Total</w:t>
            </w:r>
          </w:p>
        </w:tc>
        <w:tc>
          <w:tcPr>
            <w:tcW w:w="14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760" w:type="dxa"/>
            <w:vAlign w:val="bottom"/>
            <w:vMerge w:val="restart"/>
          </w:tcPr>
          <w:p>
            <w:pPr>
              <w:jc w:val="center"/>
              <w:spacing w:after="0" w:line="228" w:lineRule="exact"/>
              <w:rPr>
                <w:sz w:val="20"/>
                <w:szCs w:val="20"/>
                <w:color w:val="auto"/>
              </w:rPr>
            </w:pPr>
            <w:r>
              <w:rPr>
                <w:rFonts w:ascii="Times New Roman" w:cs="Times New Roman" w:eastAsia="Times New Roman" w:hAnsi="Times New Roman"/>
                <w:sz w:val="20"/>
                <w:szCs w:val="20"/>
                <w:b w:val="1"/>
                <w:bCs w:val="1"/>
                <w:color w:val="auto"/>
                <w:w w:val="96"/>
              </w:rPr>
              <w:t>Total</w:t>
            </w:r>
          </w:p>
        </w:tc>
        <w:tc>
          <w:tcPr>
            <w:tcW w:w="0" w:type="dxa"/>
            <w:vAlign w:val="bottom"/>
          </w:tcPr>
          <w:p>
            <w:pPr>
              <w:spacing w:after="0"/>
              <w:rPr>
                <w:sz w:val="1"/>
                <w:szCs w:val="1"/>
                <w:color w:val="auto"/>
              </w:rPr>
            </w:pPr>
          </w:p>
        </w:tc>
      </w:tr>
      <w:tr>
        <w:trPr>
          <w:trHeight w:val="114"/>
        </w:trPr>
        <w:tc>
          <w:tcPr>
            <w:tcW w:w="26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vMerge w:val="restart"/>
          </w:tcPr>
          <w:p>
            <w:pPr>
              <w:jc w:val="center"/>
              <w:ind w:right="59"/>
              <w:spacing w:after="0"/>
              <w:rPr>
                <w:sz w:val="20"/>
                <w:szCs w:val="20"/>
                <w:color w:val="auto"/>
              </w:rPr>
            </w:pPr>
            <w:r>
              <w:rPr>
                <w:rFonts w:ascii="Times New Roman" w:cs="Times New Roman" w:eastAsia="Times New Roman" w:hAnsi="Times New Roman"/>
                <w:sz w:val="20"/>
                <w:szCs w:val="20"/>
                <w:b w:val="1"/>
                <w:bCs w:val="1"/>
                <w:color w:val="auto"/>
                <w:w w:val="99"/>
              </w:rPr>
              <w:t>2025</w:t>
            </w:r>
          </w:p>
        </w:tc>
        <w:tc>
          <w:tcPr>
            <w:tcW w:w="10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vMerge w:val="restart"/>
          </w:tcPr>
          <w:p>
            <w:pPr>
              <w:jc w:val="center"/>
              <w:ind w:right="99"/>
              <w:spacing w:after="0"/>
              <w:rPr>
                <w:sz w:val="20"/>
                <w:szCs w:val="20"/>
                <w:color w:val="auto"/>
              </w:rPr>
            </w:pPr>
            <w:r>
              <w:rPr>
                <w:rFonts w:ascii="Times New Roman" w:cs="Times New Roman" w:eastAsia="Times New Roman" w:hAnsi="Times New Roman"/>
                <w:sz w:val="20"/>
                <w:szCs w:val="20"/>
                <w:b w:val="1"/>
                <w:bCs w:val="1"/>
                <w:color w:val="auto"/>
                <w:w w:val="99"/>
              </w:rPr>
              <w:t>2024</w:t>
            </w:r>
          </w:p>
        </w:tc>
        <w:tc>
          <w:tcPr>
            <w:tcW w:w="10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vMerge w:val="restart"/>
          </w:tcPr>
          <w:p>
            <w:pPr>
              <w:jc w:val="center"/>
              <w:ind w:right="59"/>
              <w:spacing w:after="0"/>
              <w:rPr>
                <w:sz w:val="20"/>
                <w:szCs w:val="20"/>
                <w:color w:val="auto"/>
              </w:rPr>
            </w:pPr>
            <w:r>
              <w:rPr>
                <w:rFonts w:ascii="Times New Roman" w:cs="Times New Roman" w:eastAsia="Times New Roman" w:hAnsi="Times New Roman"/>
                <w:sz w:val="20"/>
                <w:szCs w:val="20"/>
                <w:b w:val="1"/>
                <w:bCs w:val="1"/>
                <w:color w:val="auto"/>
                <w:w w:val="99"/>
              </w:rPr>
              <w:t>2025</w:t>
            </w:r>
          </w:p>
        </w:tc>
        <w:tc>
          <w:tcPr>
            <w:tcW w:w="10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vMerge w:val="restart"/>
          </w:tcPr>
          <w:p>
            <w:pPr>
              <w:jc w:val="center"/>
              <w:ind w:right="39"/>
              <w:spacing w:after="0"/>
              <w:rPr>
                <w:sz w:val="20"/>
                <w:szCs w:val="20"/>
                <w:color w:val="auto"/>
              </w:rPr>
            </w:pPr>
            <w:r>
              <w:rPr>
                <w:rFonts w:ascii="Times New Roman" w:cs="Times New Roman" w:eastAsia="Times New Roman" w:hAnsi="Times New Roman"/>
                <w:sz w:val="20"/>
                <w:szCs w:val="20"/>
                <w:b w:val="1"/>
                <w:bCs w:val="1"/>
                <w:color w:val="auto"/>
                <w:w w:val="99"/>
              </w:rPr>
              <w:t>2024</w:t>
            </w:r>
          </w:p>
        </w:tc>
        <w:tc>
          <w:tcPr>
            <w:tcW w:w="1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2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Revenue</w:t>
            </w:r>
          </w:p>
        </w:tc>
        <w:tc>
          <w:tcPr>
            <w:tcW w:w="20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Revenue</w:t>
            </w:r>
          </w:p>
        </w:tc>
        <w:tc>
          <w:tcPr>
            <w:tcW w:w="16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Revenue</w:t>
            </w:r>
          </w:p>
        </w:tc>
        <w:tc>
          <w:tcPr>
            <w:tcW w:w="14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rPr>
              <w:t>Revenue</w:t>
            </w:r>
          </w:p>
        </w:tc>
        <w:tc>
          <w:tcPr>
            <w:tcW w:w="0" w:type="dxa"/>
            <w:vAlign w:val="bottom"/>
          </w:tcPr>
          <w:p>
            <w:pPr>
              <w:spacing w:after="0"/>
              <w:rPr>
                <w:sz w:val="1"/>
                <w:szCs w:val="1"/>
                <w:color w:val="auto"/>
              </w:rPr>
            </w:pPr>
          </w:p>
        </w:tc>
      </w:tr>
      <w:tr>
        <w:trPr>
          <w:trHeight w:val="115"/>
        </w:trPr>
        <w:tc>
          <w:tcPr>
            <w:tcW w:w="26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Beverage business</w:t>
            </w: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2680" w:type="dxa"/>
            <w:vAlign w:val="bottom"/>
            <w:vMerge w:val="continue"/>
          </w:tcPr>
          <w:p>
            <w:pPr>
              <w:spacing w:after="0"/>
              <w:rPr>
                <w:sz w:val="20"/>
                <w:szCs w:val="20"/>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65,621</w:t>
            </w:r>
          </w:p>
        </w:tc>
        <w:tc>
          <w:tcPr>
            <w:tcW w:w="100" w:type="dxa"/>
            <w:vAlign w:val="bottom"/>
          </w:tcPr>
          <w:p>
            <w:pPr>
              <w:spacing w:after="0"/>
              <w:rPr>
                <w:sz w:val="20"/>
                <w:szCs w:val="20"/>
                <w:color w:val="auto"/>
              </w:rPr>
            </w:pPr>
          </w:p>
        </w:tc>
        <w:tc>
          <w:tcPr>
            <w:tcW w:w="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29%</w:t>
            </w:r>
          </w:p>
        </w:tc>
        <w:tc>
          <w:tcPr>
            <w:tcW w:w="100" w:type="dxa"/>
            <w:vAlign w:val="bottom"/>
          </w:tcPr>
          <w:p>
            <w:pPr>
              <w:spacing w:after="0"/>
              <w:rPr>
                <w:sz w:val="20"/>
                <w:szCs w:val="20"/>
                <w:color w:val="auto"/>
              </w:rPr>
            </w:pPr>
          </w:p>
        </w:tc>
        <w:tc>
          <w:tcPr>
            <w:tcW w:w="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76,739</w:t>
            </w:r>
          </w:p>
        </w:tc>
        <w:tc>
          <w:tcPr>
            <w:tcW w:w="100" w:type="dxa"/>
            <w:vAlign w:val="bottom"/>
          </w:tcPr>
          <w:p>
            <w:pPr>
              <w:spacing w:after="0"/>
              <w:rPr>
                <w:sz w:val="20"/>
                <w:szCs w:val="20"/>
                <w:color w:val="auto"/>
              </w:rPr>
            </w:pPr>
          </w:p>
        </w:tc>
        <w:tc>
          <w:tcPr>
            <w:tcW w:w="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33%</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240,595</w:t>
            </w:r>
          </w:p>
        </w:tc>
        <w:tc>
          <w:tcPr>
            <w:tcW w:w="100" w:type="dxa"/>
            <w:vAlign w:val="bottom"/>
          </w:tcPr>
          <w:p>
            <w:pPr>
              <w:spacing w:after="0"/>
              <w:rPr>
                <w:sz w:val="20"/>
                <w:szCs w:val="20"/>
                <w:color w:val="auto"/>
              </w:rPr>
            </w:pPr>
          </w:p>
        </w:tc>
        <w:tc>
          <w:tcPr>
            <w:tcW w:w="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29%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202,094</w:t>
            </w:r>
          </w:p>
        </w:tc>
        <w:tc>
          <w:tcPr>
            <w:tcW w:w="100" w:type="dxa"/>
            <w:vAlign w:val="bottom"/>
          </w:tcPr>
          <w:p>
            <w:pPr>
              <w:spacing w:after="0"/>
              <w:rPr>
                <w:sz w:val="20"/>
                <w:szCs w:val="20"/>
                <w:color w:val="auto"/>
              </w:rPr>
            </w:pPr>
          </w:p>
        </w:tc>
        <w:tc>
          <w:tcPr>
            <w:tcW w:w="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25%</w:t>
            </w:r>
          </w:p>
        </w:tc>
        <w:tc>
          <w:tcPr>
            <w:tcW w:w="0" w:type="dxa"/>
            <w:vAlign w:val="bottom"/>
          </w:tcPr>
          <w:p>
            <w:pPr>
              <w:spacing w:after="0"/>
              <w:rPr>
                <w:sz w:val="1"/>
                <w:szCs w:val="1"/>
                <w:color w:val="auto"/>
              </w:rPr>
            </w:pPr>
          </w:p>
        </w:tc>
      </w:tr>
      <w:tr>
        <w:trPr>
          <w:trHeight w:val="253"/>
        </w:trPr>
        <w:tc>
          <w:tcPr>
            <w:tcW w:w="2680" w:type="dxa"/>
            <w:vAlign w:val="bottom"/>
          </w:tcPr>
          <w:p>
            <w:pPr>
              <w:spacing w:after="0"/>
              <w:rPr>
                <w:sz w:val="20"/>
                <w:szCs w:val="20"/>
                <w:color w:val="auto"/>
              </w:rPr>
            </w:pPr>
            <w:r>
              <w:rPr>
                <w:rFonts w:ascii="Times New Roman" w:cs="Times New Roman" w:eastAsia="Times New Roman" w:hAnsi="Times New Roman"/>
                <w:sz w:val="20"/>
                <w:szCs w:val="20"/>
                <w:color w:val="auto"/>
              </w:rPr>
              <w:t>Cannabis business</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67,826</w:t>
            </w:r>
          </w:p>
        </w:tc>
        <w:tc>
          <w:tcPr>
            <w:tcW w:w="10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71,919</w:t>
            </w:r>
          </w:p>
        </w:tc>
        <w:tc>
          <w:tcPr>
            <w:tcW w:w="10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249,001</w:t>
            </w:r>
          </w:p>
        </w:tc>
        <w:tc>
          <w:tcPr>
            <w:tcW w:w="10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272,798</w:t>
            </w:r>
          </w:p>
        </w:tc>
        <w:tc>
          <w:tcPr>
            <w:tcW w:w="100" w:type="dxa"/>
            <w:vAlign w:val="bottom"/>
          </w:tcPr>
          <w:p>
            <w:pPr>
              <w:spacing w:after="0"/>
              <w:rPr>
                <w:sz w:val="21"/>
                <w:szCs w:val="21"/>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35%</w:t>
            </w:r>
          </w:p>
        </w:tc>
        <w:tc>
          <w:tcPr>
            <w:tcW w:w="0" w:type="dxa"/>
            <w:vAlign w:val="bottom"/>
          </w:tcPr>
          <w:p>
            <w:pPr>
              <w:spacing w:after="0"/>
              <w:rPr>
                <w:sz w:val="1"/>
                <w:szCs w:val="1"/>
                <w:color w:val="auto"/>
              </w:rPr>
            </w:pPr>
          </w:p>
        </w:tc>
      </w:tr>
      <w:tr>
        <w:trPr>
          <w:trHeight w:val="253"/>
        </w:trPr>
        <w:tc>
          <w:tcPr>
            <w:tcW w:w="2680" w:type="dxa"/>
            <w:vAlign w:val="bottom"/>
          </w:tcPr>
          <w:p>
            <w:pPr>
              <w:spacing w:after="0"/>
              <w:rPr>
                <w:sz w:val="20"/>
                <w:szCs w:val="20"/>
                <w:color w:val="auto"/>
              </w:rPr>
            </w:pPr>
            <w:r>
              <w:rPr>
                <w:rFonts w:ascii="Times New Roman" w:cs="Times New Roman" w:eastAsia="Times New Roman" w:hAnsi="Times New Roman"/>
                <w:sz w:val="20"/>
                <w:szCs w:val="20"/>
                <w:color w:val="auto"/>
              </w:rPr>
              <w:t>Distribution business</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74,053</w:t>
            </w:r>
          </w:p>
        </w:tc>
        <w:tc>
          <w:tcPr>
            <w:tcW w:w="10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65,566</w:t>
            </w:r>
          </w:p>
        </w:tc>
        <w:tc>
          <w:tcPr>
            <w:tcW w:w="10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271,228</w:t>
            </w:r>
          </w:p>
        </w:tc>
        <w:tc>
          <w:tcPr>
            <w:tcW w:w="10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258,740</w:t>
            </w:r>
          </w:p>
        </w:tc>
        <w:tc>
          <w:tcPr>
            <w:tcW w:w="100" w:type="dxa"/>
            <w:vAlign w:val="bottom"/>
          </w:tcPr>
          <w:p>
            <w:pPr>
              <w:spacing w:after="0"/>
              <w:rPr>
                <w:sz w:val="21"/>
                <w:szCs w:val="21"/>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33%</w:t>
            </w:r>
          </w:p>
        </w:tc>
        <w:tc>
          <w:tcPr>
            <w:tcW w:w="0" w:type="dxa"/>
            <w:vAlign w:val="bottom"/>
          </w:tcPr>
          <w:p>
            <w:pPr>
              <w:spacing w:after="0"/>
              <w:rPr>
                <w:sz w:val="1"/>
                <w:szCs w:val="1"/>
                <w:color w:val="auto"/>
              </w:rPr>
            </w:pPr>
          </w:p>
        </w:tc>
      </w:tr>
      <w:tr>
        <w:trPr>
          <w:trHeight w:val="262"/>
        </w:trPr>
        <w:tc>
          <w:tcPr>
            <w:tcW w:w="2680" w:type="dxa"/>
            <w:vAlign w:val="bottom"/>
          </w:tcPr>
          <w:p>
            <w:pPr>
              <w:spacing w:after="0"/>
              <w:rPr>
                <w:sz w:val="20"/>
                <w:szCs w:val="20"/>
                <w:color w:val="auto"/>
              </w:rPr>
            </w:pPr>
            <w:r>
              <w:rPr>
                <w:rFonts w:ascii="Times New Roman" w:cs="Times New Roman" w:eastAsia="Times New Roman" w:hAnsi="Times New Roman"/>
                <w:sz w:val="20"/>
                <w:szCs w:val="20"/>
                <w:color w:val="auto"/>
              </w:rPr>
              <w:t>Wellness business</w:t>
            </w: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17,035</w:t>
            </w:r>
          </w:p>
        </w:tc>
        <w:tc>
          <w:tcPr>
            <w:tcW w:w="100" w:type="dxa"/>
            <w:vAlign w:val="bottom"/>
          </w:tcPr>
          <w:p>
            <w:pPr>
              <w:spacing w:after="0"/>
              <w:rPr>
                <w:sz w:val="22"/>
                <w:szCs w:val="22"/>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8%</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15,658</w:t>
            </w:r>
          </w:p>
        </w:tc>
        <w:tc>
          <w:tcPr>
            <w:tcW w:w="100" w:type="dxa"/>
            <w:vAlign w:val="bottom"/>
          </w:tcPr>
          <w:p>
            <w:pPr>
              <w:spacing w:after="0"/>
              <w:rPr>
                <w:sz w:val="22"/>
                <w:szCs w:val="22"/>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7%</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60,485</w:t>
            </w:r>
          </w:p>
        </w:tc>
        <w:tc>
          <w:tcPr>
            <w:tcW w:w="100" w:type="dxa"/>
            <w:vAlign w:val="bottom"/>
          </w:tcPr>
          <w:p>
            <w:pPr>
              <w:spacing w:after="0"/>
              <w:rPr>
                <w:sz w:val="22"/>
                <w:szCs w:val="22"/>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8%</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55,310</w:t>
            </w:r>
          </w:p>
        </w:tc>
        <w:tc>
          <w:tcPr>
            <w:tcW w:w="100" w:type="dxa"/>
            <w:vAlign w:val="bottom"/>
          </w:tcPr>
          <w:p>
            <w:pPr>
              <w:spacing w:after="0"/>
              <w:rPr>
                <w:sz w:val="22"/>
                <w:szCs w:val="22"/>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7%</w:t>
            </w:r>
          </w:p>
        </w:tc>
        <w:tc>
          <w:tcPr>
            <w:tcW w:w="0" w:type="dxa"/>
            <w:vAlign w:val="bottom"/>
          </w:tcPr>
          <w:p>
            <w:pPr>
              <w:spacing w:after="0"/>
              <w:rPr>
                <w:sz w:val="1"/>
                <w:szCs w:val="1"/>
                <w:color w:val="auto"/>
              </w:rPr>
            </w:pPr>
          </w:p>
        </w:tc>
      </w:tr>
      <w:tr>
        <w:trPr>
          <w:trHeight w:val="249"/>
        </w:trPr>
        <w:tc>
          <w:tcPr>
            <w:tcW w:w="2680" w:type="dxa"/>
            <w:vAlign w:val="bottom"/>
          </w:tcPr>
          <w:p>
            <w:pPr>
              <w:spacing w:after="0"/>
              <w:rPr>
                <w:sz w:val="20"/>
                <w:szCs w:val="20"/>
                <w:color w:val="auto"/>
              </w:rPr>
            </w:pPr>
            <w:r>
              <w:rPr>
                <w:rFonts w:ascii="Times New Roman" w:cs="Times New Roman" w:eastAsia="Times New Roman" w:hAnsi="Times New Roman"/>
                <w:sz w:val="20"/>
                <w:szCs w:val="20"/>
                <w:color w:val="auto"/>
              </w:rPr>
              <w:t>Total net revenue</w:t>
            </w: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224,535</w:t>
            </w:r>
          </w:p>
        </w:tc>
        <w:tc>
          <w:tcPr>
            <w:tcW w:w="100" w:type="dxa"/>
            <w:vAlign w:val="bottom"/>
          </w:tcPr>
          <w:p>
            <w:pPr>
              <w:spacing w:after="0"/>
              <w:rPr>
                <w:sz w:val="21"/>
                <w:szCs w:val="21"/>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100%</w:t>
            </w:r>
          </w:p>
        </w:tc>
        <w:tc>
          <w:tcPr>
            <w:tcW w:w="100" w:type="dxa"/>
            <w:vAlign w:val="bottom"/>
          </w:tcPr>
          <w:p>
            <w:pPr>
              <w:spacing w:after="0"/>
              <w:rPr>
                <w:sz w:val="21"/>
                <w:szCs w:val="21"/>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229,882</w:t>
            </w:r>
          </w:p>
        </w:tc>
        <w:tc>
          <w:tcPr>
            <w:tcW w:w="100" w:type="dxa"/>
            <w:vAlign w:val="bottom"/>
          </w:tcPr>
          <w:p>
            <w:pPr>
              <w:spacing w:after="0"/>
              <w:rPr>
                <w:sz w:val="21"/>
                <w:szCs w:val="21"/>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100%</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821,309</w:t>
            </w:r>
          </w:p>
        </w:tc>
        <w:tc>
          <w:tcPr>
            <w:tcW w:w="100" w:type="dxa"/>
            <w:vAlign w:val="bottom"/>
          </w:tcPr>
          <w:p>
            <w:pPr>
              <w:spacing w:after="0"/>
              <w:rPr>
                <w:sz w:val="21"/>
                <w:szCs w:val="21"/>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100%</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788,942</w:t>
            </w:r>
          </w:p>
        </w:tc>
        <w:tc>
          <w:tcPr>
            <w:tcW w:w="100" w:type="dxa"/>
            <w:vAlign w:val="bottom"/>
          </w:tcPr>
          <w:p>
            <w:pPr>
              <w:spacing w:after="0"/>
              <w:rPr>
                <w:sz w:val="21"/>
                <w:szCs w:val="21"/>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100%</w:t>
            </w: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5020" w:type="dxa"/>
            <w:vAlign w:val="bottom"/>
            <w:gridSpan w:val="7"/>
          </w:tcPr>
          <w:p>
            <w:pPr>
              <w:spacing w:after="0"/>
              <w:rPr>
                <w:sz w:val="20"/>
                <w:szCs w:val="20"/>
                <w:color w:val="auto"/>
              </w:rPr>
            </w:pPr>
            <w:r>
              <w:rPr>
                <w:rFonts w:ascii="Times New Roman" w:cs="Times New Roman" w:eastAsia="Times New Roman" w:hAnsi="Times New Roman"/>
                <w:sz w:val="20"/>
                <w:szCs w:val="20"/>
                <w:b w:val="1"/>
                <w:bCs w:val="1"/>
                <w:color w:val="auto"/>
              </w:rPr>
              <w:t>Net Revenue by Operating Segment in Constant Currency</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7"/>
        </w:trPr>
        <w:tc>
          <w:tcPr>
            <w:tcW w:w="2680" w:type="dxa"/>
            <w:vAlign w:val="bottom"/>
          </w:tcPr>
          <w:p>
            <w:pPr>
              <w:spacing w:after="0"/>
              <w:rPr>
                <w:sz w:val="24"/>
                <w:szCs w:val="24"/>
                <w:color w:val="auto"/>
              </w:rPr>
            </w:pP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20"/>
                <w:szCs w:val="20"/>
                <w:b w:val="1"/>
                <w:bCs w:val="1"/>
                <w:color w:val="auto"/>
              </w:rPr>
              <w:t>For the three</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20"/>
                <w:szCs w:val="20"/>
                <w:b w:val="1"/>
                <w:bCs w:val="1"/>
                <w:color w:val="auto"/>
              </w:rPr>
              <w:t>For the three</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For the year</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For the year</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2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gridSpan w:val="2"/>
            <w:vMerge w:val="restart"/>
          </w:tcPr>
          <w:p>
            <w:pPr>
              <w:jc w:val="center"/>
              <w:ind w:right="260"/>
              <w:spacing w:after="0" w:line="228" w:lineRule="exact"/>
              <w:rPr>
                <w:sz w:val="20"/>
                <w:szCs w:val="20"/>
                <w:color w:val="auto"/>
              </w:rPr>
            </w:pPr>
            <w:r>
              <w:rPr>
                <w:rFonts w:ascii="Times New Roman" w:cs="Times New Roman" w:eastAsia="Times New Roman" w:hAnsi="Times New Roman"/>
                <w:sz w:val="20"/>
                <w:szCs w:val="20"/>
                <w:b w:val="1"/>
                <w:bCs w:val="1"/>
                <w:color w:val="auto"/>
              </w:rPr>
              <w:t>months</w:t>
            </w: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gridSpan w:val="2"/>
            <w:vMerge w:val="restart"/>
          </w:tcPr>
          <w:p>
            <w:pPr>
              <w:jc w:val="center"/>
              <w:ind w:right="300"/>
              <w:spacing w:after="0" w:line="228" w:lineRule="exact"/>
              <w:rPr>
                <w:sz w:val="20"/>
                <w:szCs w:val="20"/>
                <w:color w:val="auto"/>
              </w:rPr>
            </w:pPr>
            <w:r>
              <w:rPr>
                <w:rFonts w:ascii="Times New Roman" w:cs="Times New Roman" w:eastAsia="Times New Roman" w:hAnsi="Times New Roman"/>
                <w:sz w:val="20"/>
                <w:szCs w:val="20"/>
                <w:b w:val="1"/>
                <w:bCs w:val="1"/>
                <w:color w:val="auto"/>
              </w:rPr>
              <w:t>months</w:t>
            </w: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20"/>
                <w:szCs w:val="20"/>
                <w:b w:val="1"/>
                <w:bCs w:val="1"/>
                <w:color w:val="auto"/>
              </w:rPr>
              <w:t>ended</w:t>
            </w: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20"/>
                <w:szCs w:val="20"/>
                <w:b w:val="1"/>
                <w:bCs w:val="1"/>
                <w:color w:val="auto"/>
              </w:rPr>
              <w:t>ended</w:t>
            </w: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2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20"/>
                <w:szCs w:val="20"/>
                <w:b w:val="1"/>
                <w:bCs w:val="1"/>
                <w:color w:val="auto"/>
              </w:rPr>
              <w:t>ended</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20"/>
                <w:szCs w:val="20"/>
                <w:b w:val="1"/>
                <w:bCs w:val="1"/>
                <w:color w:val="auto"/>
              </w:rPr>
              <w:t>ended</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0"/>
        </w:trPr>
        <w:tc>
          <w:tcPr>
            <w:tcW w:w="2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2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center"/>
              <w:ind w:right="240"/>
              <w:spacing w:after="0" w:line="228" w:lineRule="exact"/>
              <w:rPr>
                <w:sz w:val="20"/>
                <w:szCs w:val="20"/>
                <w:color w:val="auto"/>
              </w:rPr>
            </w:pPr>
            <w:r>
              <w:rPr>
                <w:rFonts w:ascii="Times New Roman" w:cs="Times New Roman" w:eastAsia="Times New Roman" w:hAnsi="Times New Roman"/>
                <w:sz w:val="20"/>
                <w:szCs w:val="20"/>
                <w:b w:val="1"/>
                <w:bCs w:val="1"/>
                <w:color w:val="auto"/>
              </w:rPr>
              <w:t>May 31,</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center"/>
              <w:ind w:right="280"/>
              <w:spacing w:after="0" w:line="228" w:lineRule="exact"/>
              <w:rPr>
                <w:sz w:val="20"/>
                <w:szCs w:val="20"/>
                <w:color w:val="auto"/>
              </w:rPr>
            </w:pPr>
            <w:r>
              <w:rPr>
                <w:rFonts w:ascii="Times New Roman" w:cs="Times New Roman" w:eastAsia="Times New Roman" w:hAnsi="Times New Roman"/>
                <w:sz w:val="20"/>
                <w:szCs w:val="20"/>
                <w:b w:val="1"/>
                <w:bCs w:val="1"/>
                <w:color w:val="auto"/>
              </w:rPr>
              <w:t>May 31,</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center"/>
              <w:ind w:right="280"/>
              <w:spacing w:after="0" w:line="228" w:lineRule="exact"/>
              <w:rPr>
                <w:sz w:val="20"/>
                <w:szCs w:val="20"/>
                <w:color w:val="auto"/>
              </w:rPr>
            </w:pPr>
            <w:r>
              <w:rPr>
                <w:rFonts w:ascii="Times New Roman" w:cs="Times New Roman" w:eastAsia="Times New Roman" w:hAnsi="Times New Roman"/>
                <w:sz w:val="20"/>
                <w:szCs w:val="20"/>
                <w:b w:val="1"/>
                <w:bCs w:val="1"/>
                <w:color w:val="auto"/>
              </w:rPr>
              <w:t>May 31,</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center"/>
              <w:ind w:right="260"/>
              <w:spacing w:after="0" w:line="228" w:lineRule="exact"/>
              <w:rPr>
                <w:sz w:val="20"/>
                <w:szCs w:val="20"/>
                <w:color w:val="auto"/>
              </w:rPr>
            </w:pPr>
            <w:r>
              <w:rPr>
                <w:rFonts w:ascii="Times New Roman" w:cs="Times New Roman" w:eastAsia="Times New Roman" w:hAnsi="Times New Roman"/>
                <w:sz w:val="20"/>
                <w:szCs w:val="20"/>
                <w:b w:val="1"/>
                <w:bCs w:val="1"/>
                <w:color w:val="auto"/>
              </w:rPr>
              <w:t>May 31,</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2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center"/>
              <w:ind w:right="59"/>
              <w:spacing w:after="0"/>
              <w:rPr>
                <w:sz w:val="20"/>
                <w:szCs w:val="20"/>
                <w:color w:val="auto"/>
              </w:rPr>
            </w:pPr>
            <w:r>
              <w:rPr>
                <w:rFonts w:ascii="Times New Roman" w:cs="Times New Roman" w:eastAsia="Times New Roman" w:hAnsi="Times New Roman"/>
                <w:sz w:val="20"/>
                <w:szCs w:val="20"/>
                <w:b w:val="1"/>
                <w:bCs w:val="1"/>
                <w:color w:val="auto"/>
                <w:w w:val="99"/>
              </w:rPr>
              <w:t>2025</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center"/>
              <w:ind w:right="99"/>
              <w:spacing w:after="0"/>
              <w:rPr>
                <w:sz w:val="20"/>
                <w:szCs w:val="20"/>
                <w:color w:val="auto"/>
              </w:rPr>
            </w:pPr>
            <w:r>
              <w:rPr>
                <w:rFonts w:ascii="Times New Roman" w:cs="Times New Roman" w:eastAsia="Times New Roman" w:hAnsi="Times New Roman"/>
                <w:sz w:val="20"/>
                <w:szCs w:val="20"/>
                <w:b w:val="1"/>
                <w:bCs w:val="1"/>
                <w:color w:val="auto"/>
                <w:w w:val="99"/>
              </w:rPr>
              <w:t>2024</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center"/>
              <w:ind w:right="59"/>
              <w:spacing w:after="0"/>
              <w:rPr>
                <w:sz w:val="20"/>
                <w:szCs w:val="20"/>
                <w:color w:val="auto"/>
              </w:rPr>
            </w:pPr>
            <w:r>
              <w:rPr>
                <w:rFonts w:ascii="Times New Roman" w:cs="Times New Roman" w:eastAsia="Times New Roman" w:hAnsi="Times New Roman"/>
                <w:sz w:val="20"/>
                <w:szCs w:val="20"/>
                <w:b w:val="1"/>
                <w:bCs w:val="1"/>
                <w:color w:val="auto"/>
                <w:w w:val="99"/>
              </w:rPr>
              <w:t>2025</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center"/>
              <w:ind w:right="39"/>
              <w:spacing w:after="0"/>
              <w:rPr>
                <w:sz w:val="20"/>
                <w:szCs w:val="20"/>
                <w:color w:val="auto"/>
              </w:rPr>
            </w:pPr>
            <w:r>
              <w:rPr>
                <w:rFonts w:ascii="Times New Roman" w:cs="Times New Roman" w:eastAsia="Times New Roman" w:hAnsi="Times New Roman"/>
                <w:sz w:val="20"/>
                <w:szCs w:val="20"/>
                <w:b w:val="1"/>
                <w:bCs w:val="1"/>
                <w:color w:val="auto"/>
                <w:w w:val="99"/>
              </w:rPr>
              <w:t>2024</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680" w:type="dxa"/>
            <w:vAlign w:val="bottom"/>
          </w:tcPr>
          <w:p>
            <w:pPr>
              <w:spacing w:after="0"/>
              <w:rPr>
                <w:sz w:val="19"/>
                <w:szCs w:val="19"/>
                <w:color w:val="auto"/>
              </w:rPr>
            </w:pPr>
          </w:p>
        </w:tc>
        <w:tc>
          <w:tcPr>
            <w:tcW w:w="1260" w:type="dxa"/>
            <w:vAlign w:val="bottom"/>
            <w:gridSpan w:val="3"/>
          </w:tcPr>
          <w:p>
            <w:pPr>
              <w:jc w:val="center"/>
              <w:ind w:right="80"/>
              <w:spacing w:after="0" w:line="228" w:lineRule="exact"/>
              <w:rPr>
                <w:sz w:val="20"/>
                <w:szCs w:val="20"/>
                <w:color w:val="auto"/>
              </w:rPr>
            </w:pPr>
            <w:r>
              <w:rPr>
                <w:rFonts w:ascii="Times New Roman" w:cs="Times New Roman" w:eastAsia="Times New Roman" w:hAnsi="Times New Roman"/>
                <w:sz w:val="20"/>
                <w:szCs w:val="20"/>
                <w:b w:val="1"/>
                <w:bCs w:val="1"/>
                <w:color w:val="auto"/>
              </w:rPr>
              <w:t>as reported</w:t>
            </w:r>
          </w:p>
        </w:tc>
        <w:tc>
          <w:tcPr>
            <w:tcW w:w="880" w:type="dxa"/>
            <w:vAlign w:val="bottom"/>
            <w:gridSpan w:val="2"/>
          </w:tcPr>
          <w:p>
            <w:pPr>
              <w:jc w:val="center"/>
              <w:ind w:right="100"/>
              <w:spacing w:after="0" w:line="228" w:lineRule="exact"/>
              <w:rPr>
                <w:sz w:val="20"/>
                <w:szCs w:val="20"/>
                <w:color w:val="auto"/>
              </w:rPr>
            </w:pPr>
            <w:r>
              <w:rPr>
                <w:rFonts w:ascii="Times New Roman" w:cs="Times New Roman" w:eastAsia="Times New Roman" w:hAnsi="Times New Roman"/>
                <w:sz w:val="20"/>
                <w:szCs w:val="20"/>
                <w:b w:val="1"/>
                <w:bCs w:val="1"/>
                <w:color w:val="auto"/>
              </w:rPr>
              <w:t>% of</w:t>
            </w:r>
          </w:p>
        </w:tc>
        <w:tc>
          <w:tcPr>
            <w:tcW w:w="1260" w:type="dxa"/>
            <w:vAlign w:val="bottom"/>
            <w:gridSpan w:val="3"/>
          </w:tcPr>
          <w:p>
            <w:pPr>
              <w:jc w:val="center"/>
              <w:ind w:right="80"/>
              <w:spacing w:after="0" w:line="228" w:lineRule="exact"/>
              <w:rPr>
                <w:sz w:val="20"/>
                <w:szCs w:val="20"/>
                <w:color w:val="auto"/>
              </w:rPr>
            </w:pPr>
            <w:r>
              <w:rPr>
                <w:rFonts w:ascii="Times New Roman" w:cs="Times New Roman" w:eastAsia="Times New Roman" w:hAnsi="Times New Roman"/>
                <w:sz w:val="20"/>
                <w:szCs w:val="20"/>
                <w:b w:val="1"/>
                <w:bCs w:val="1"/>
                <w:color w:val="auto"/>
              </w:rPr>
              <w:t>as reported</w:t>
            </w:r>
          </w:p>
        </w:tc>
        <w:tc>
          <w:tcPr>
            <w:tcW w:w="880" w:type="dxa"/>
            <w:vAlign w:val="bottom"/>
            <w:gridSpan w:val="2"/>
          </w:tcPr>
          <w:p>
            <w:pPr>
              <w:jc w:val="center"/>
              <w:ind w:right="100"/>
              <w:spacing w:after="0" w:line="228" w:lineRule="exact"/>
              <w:rPr>
                <w:sz w:val="20"/>
                <w:szCs w:val="20"/>
                <w:color w:val="auto"/>
              </w:rPr>
            </w:pPr>
            <w:r>
              <w:rPr>
                <w:rFonts w:ascii="Times New Roman" w:cs="Times New Roman" w:eastAsia="Times New Roman" w:hAnsi="Times New Roman"/>
                <w:sz w:val="20"/>
                <w:szCs w:val="20"/>
                <w:b w:val="1"/>
                <w:bCs w:val="1"/>
                <w:color w:val="auto"/>
              </w:rPr>
              <w:t>% of</w:t>
            </w:r>
          </w:p>
        </w:tc>
        <w:tc>
          <w:tcPr>
            <w:tcW w:w="1260" w:type="dxa"/>
            <w:vAlign w:val="bottom"/>
            <w:gridSpan w:val="3"/>
          </w:tcPr>
          <w:p>
            <w:pPr>
              <w:jc w:val="center"/>
              <w:ind w:right="120"/>
              <w:spacing w:after="0" w:line="228" w:lineRule="exact"/>
              <w:rPr>
                <w:sz w:val="20"/>
                <w:szCs w:val="20"/>
                <w:color w:val="auto"/>
              </w:rPr>
            </w:pPr>
            <w:r>
              <w:rPr>
                <w:rFonts w:ascii="Times New Roman" w:cs="Times New Roman" w:eastAsia="Times New Roman" w:hAnsi="Times New Roman"/>
                <w:sz w:val="20"/>
                <w:szCs w:val="20"/>
                <w:b w:val="1"/>
                <w:bCs w:val="1"/>
                <w:color w:val="auto"/>
              </w:rPr>
              <w:t>as reported</w:t>
            </w:r>
          </w:p>
        </w:tc>
        <w:tc>
          <w:tcPr>
            <w:tcW w:w="880" w:type="dxa"/>
            <w:vAlign w:val="bottom"/>
            <w:gridSpan w:val="2"/>
          </w:tcPr>
          <w:p>
            <w:pPr>
              <w:jc w:val="center"/>
              <w:ind w:right="100"/>
              <w:spacing w:after="0" w:line="228" w:lineRule="exact"/>
              <w:rPr>
                <w:sz w:val="20"/>
                <w:szCs w:val="20"/>
                <w:color w:val="auto"/>
              </w:rPr>
            </w:pPr>
            <w:r>
              <w:rPr>
                <w:rFonts w:ascii="Times New Roman" w:cs="Times New Roman" w:eastAsia="Times New Roman" w:hAnsi="Times New Roman"/>
                <w:sz w:val="20"/>
                <w:szCs w:val="20"/>
                <w:b w:val="1"/>
                <w:bCs w:val="1"/>
                <w:color w:val="auto"/>
              </w:rPr>
              <w:t>% of</w:t>
            </w:r>
          </w:p>
        </w:tc>
        <w:tc>
          <w:tcPr>
            <w:tcW w:w="1260" w:type="dxa"/>
            <w:vAlign w:val="bottom"/>
            <w:gridSpan w:val="3"/>
          </w:tcPr>
          <w:p>
            <w:pPr>
              <w:jc w:val="center"/>
              <w:ind w:right="120"/>
              <w:spacing w:after="0" w:line="228" w:lineRule="exact"/>
              <w:rPr>
                <w:sz w:val="20"/>
                <w:szCs w:val="20"/>
                <w:color w:val="auto"/>
              </w:rPr>
            </w:pPr>
            <w:r>
              <w:rPr>
                <w:rFonts w:ascii="Times New Roman" w:cs="Times New Roman" w:eastAsia="Times New Roman" w:hAnsi="Times New Roman"/>
                <w:sz w:val="20"/>
                <w:szCs w:val="20"/>
                <w:b w:val="1"/>
                <w:bCs w:val="1"/>
                <w:color w:val="auto"/>
              </w:rPr>
              <w:t>as reported</w:t>
            </w:r>
          </w:p>
        </w:tc>
        <w:tc>
          <w:tcPr>
            <w:tcW w:w="760" w:type="dxa"/>
            <w:vAlign w:val="bottom"/>
          </w:tcPr>
          <w:p>
            <w:pPr>
              <w:jc w:val="center"/>
              <w:spacing w:after="0" w:line="228" w:lineRule="exact"/>
              <w:rPr>
                <w:sz w:val="20"/>
                <w:szCs w:val="20"/>
                <w:color w:val="auto"/>
              </w:rPr>
            </w:pPr>
            <w:r>
              <w:rPr>
                <w:rFonts w:ascii="Times New Roman" w:cs="Times New Roman" w:eastAsia="Times New Roman" w:hAnsi="Times New Roman"/>
                <w:sz w:val="20"/>
                <w:szCs w:val="20"/>
                <w:b w:val="1"/>
                <w:bCs w:val="1"/>
                <w:color w:val="auto"/>
              </w:rPr>
              <w:t>% of</w:t>
            </w:r>
          </w:p>
        </w:tc>
        <w:tc>
          <w:tcPr>
            <w:tcW w:w="0" w:type="dxa"/>
            <w:vAlign w:val="bottom"/>
          </w:tcPr>
          <w:p>
            <w:pPr>
              <w:spacing w:after="0"/>
              <w:rPr>
                <w:sz w:val="1"/>
                <w:szCs w:val="1"/>
                <w:color w:val="auto"/>
              </w:rPr>
            </w:pPr>
          </w:p>
        </w:tc>
      </w:tr>
      <w:tr>
        <w:trPr>
          <w:trHeight w:val="227"/>
        </w:trPr>
        <w:tc>
          <w:tcPr>
            <w:tcW w:w="2680" w:type="dxa"/>
            <w:vAlign w:val="bottom"/>
          </w:tcPr>
          <w:p>
            <w:pPr>
              <w:spacing w:after="0" w:line="228" w:lineRule="exact"/>
              <w:rPr>
                <w:sz w:val="20"/>
                <w:szCs w:val="20"/>
                <w:color w:val="auto"/>
              </w:rPr>
            </w:pPr>
            <w:r>
              <w:rPr>
                <w:rFonts w:ascii="Times New Roman" w:cs="Times New Roman" w:eastAsia="Times New Roman" w:hAnsi="Times New Roman"/>
                <w:sz w:val="20"/>
                <w:szCs w:val="20"/>
                <w:b w:val="1"/>
                <w:bCs w:val="1"/>
                <w:color w:val="auto"/>
              </w:rPr>
              <w:t>(In thousands of U.S. dollars)</w:t>
            </w:r>
          </w:p>
        </w:tc>
        <w:tc>
          <w:tcPr>
            <w:tcW w:w="1260" w:type="dxa"/>
            <w:vAlign w:val="bottom"/>
            <w:gridSpan w:val="3"/>
          </w:tcPr>
          <w:p>
            <w:pPr>
              <w:jc w:val="center"/>
              <w:ind w:right="80"/>
              <w:spacing w:after="0" w:line="228" w:lineRule="exact"/>
              <w:rPr>
                <w:sz w:val="20"/>
                <w:szCs w:val="20"/>
                <w:color w:val="auto"/>
              </w:rPr>
            </w:pPr>
            <w:r>
              <w:rPr>
                <w:rFonts w:ascii="Times New Roman" w:cs="Times New Roman" w:eastAsia="Times New Roman" w:hAnsi="Times New Roman"/>
                <w:sz w:val="20"/>
                <w:szCs w:val="20"/>
                <w:b w:val="1"/>
                <w:bCs w:val="1"/>
                <w:color w:val="auto"/>
              </w:rPr>
              <w:t>in constant</w:t>
            </w:r>
          </w:p>
        </w:tc>
        <w:tc>
          <w:tcPr>
            <w:tcW w:w="880" w:type="dxa"/>
            <w:vAlign w:val="bottom"/>
            <w:gridSpan w:val="2"/>
          </w:tcPr>
          <w:p>
            <w:pPr>
              <w:jc w:val="center"/>
              <w:ind w:right="80"/>
              <w:spacing w:after="0" w:line="228" w:lineRule="exact"/>
              <w:rPr>
                <w:sz w:val="20"/>
                <w:szCs w:val="20"/>
                <w:color w:val="auto"/>
              </w:rPr>
            </w:pPr>
            <w:r>
              <w:rPr>
                <w:rFonts w:ascii="Times New Roman" w:cs="Times New Roman" w:eastAsia="Times New Roman" w:hAnsi="Times New Roman"/>
                <w:sz w:val="20"/>
                <w:szCs w:val="20"/>
                <w:b w:val="1"/>
                <w:bCs w:val="1"/>
                <w:color w:val="auto"/>
                <w:w w:val="96"/>
              </w:rPr>
              <w:t>Total</w:t>
            </w:r>
          </w:p>
        </w:tc>
        <w:tc>
          <w:tcPr>
            <w:tcW w:w="1260" w:type="dxa"/>
            <w:vAlign w:val="bottom"/>
            <w:gridSpan w:val="3"/>
          </w:tcPr>
          <w:p>
            <w:pPr>
              <w:jc w:val="center"/>
              <w:ind w:right="100"/>
              <w:spacing w:after="0" w:line="228" w:lineRule="exact"/>
              <w:rPr>
                <w:sz w:val="20"/>
                <w:szCs w:val="20"/>
                <w:color w:val="auto"/>
              </w:rPr>
            </w:pPr>
            <w:r>
              <w:rPr>
                <w:rFonts w:ascii="Times New Roman" w:cs="Times New Roman" w:eastAsia="Times New Roman" w:hAnsi="Times New Roman"/>
                <w:sz w:val="20"/>
                <w:szCs w:val="20"/>
                <w:b w:val="1"/>
                <w:bCs w:val="1"/>
                <w:color w:val="auto"/>
              </w:rPr>
              <w:t>in constant</w:t>
            </w:r>
          </w:p>
        </w:tc>
        <w:tc>
          <w:tcPr>
            <w:tcW w:w="880" w:type="dxa"/>
            <w:vAlign w:val="bottom"/>
            <w:gridSpan w:val="2"/>
          </w:tcPr>
          <w:p>
            <w:pPr>
              <w:jc w:val="center"/>
              <w:ind w:right="100"/>
              <w:spacing w:after="0" w:line="228" w:lineRule="exact"/>
              <w:rPr>
                <w:sz w:val="20"/>
                <w:szCs w:val="20"/>
                <w:color w:val="auto"/>
              </w:rPr>
            </w:pPr>
            <w:r>
              <w:rPr>
                <w:rFonts w:ascii="Times New Roman" w:cs="Times New Roman" w:eastAsia="Times New Roman" w:hAnsi="Times New Roman"/>
                <w:sz w:val="20"/>
                <w:szCs w:val="20"/>
                <w:b w:val="1"/>
                <w:bCs w:val="1"/>
                <w:color w:val="auto"/>
              </w:rPr>
              <w:t>Total</w:t>
            </w:r>
          </w:p>
        </w:tc>
        <w:tc>
          <w:tcPr>
            <w:tcW w:w="1260" w:type="dxa"/>
            <w:vAlign w:val="bottom"/>
            <w:gridSpan w:val="3"/>
          </w:tcPr>
          <w:p>
            <w:pPr>
              <w:jc w:val="center"/>
              <w:ind w:right="100"/>
              <w:spacing w:after="0" w:line="228" w:lineRule="exact"/>
              <w:rPr>
                <w:sz w:val="20"/>
                <w:szCs w:val="20"/>
                <w:color w:val="auto"/>
              </w:rPr>
            </w:pPr>
            <w:r>
              <w:rPr>
                <w:rFonts w:ascii="Times New Roman" w:cs="Times New Roman" w:eastAsia="Times New Roman" w:hAnsi="Times New Roman"/>
                <w:sz w:val="20"/>
                <w:szCs w:val="20"/>
                <w:b w:val="1"/>
                <w:bCs w:val="1"/>
                <w:color w:val="auto"/>
              </w:rPr>
              <w:t>in constant</w:t>
            </w:r>
          </w:p>
        </w:tc>
        <w:tc>
          <w:tcPr>
            <w:tcW w:w="880" w:type="dxa"/>
            <w:vAlign w:val="bottom"/>
            <w:gridSpan w:val="2"/>
          </w:tcPr>
          <w:p>
            <w:pPr>
              <w:jc w:val="center"/>
              <w:ind w:right="120"/>
              <w:spacing w:after="0" w:line="228" w:lineRule="exact"/>
              <w:rPr>
                <w:sz w:val="20"/>
                <w:szCs w:val="20"/>
                <w:color w:val="auto"/>
              </w:rPr>
            </w:pPr>
            <w:r>
              <w:rPr>
                <w:rFonts w:ascii="Times New Roman" w:cs="Times New Roman" w:eastAsia="Times New Roman" w:hAnsi="Times New Roman"/>
                <w:sz w:val="20"/>
                <w:szCs w:val="20"/>
                <w:b w:val="1"/>
                <w:bCs w:val="1"/>
                <w:color w:val="auto"/>
                <w:w w:val="96"/>
              </w:rPr>
              <w:t>Total</w:t>
            </w:r>
          </w:p>
        </w:tc>
        <w:tc>
          <w:tcPr>
            <w:tcW w:w="1260" w:type="dxa"/>
            <w:vAlign w:val="bottom"/>
            <w:gridSpan w:val="3"/>
          </w:tcPr>
          <w:p>
            <w:pPr>
              <w:jc w:val="center"/>
              <w:ind w:right="120"/>
              <w:spacing w:after="0" w:line="228" w:lineRule="exact"/>
              <w:rPr>
                <w:sz w:val="20"/>
                <w:szCs w:val="20"/>
                <w:color w:val="auto"/>
              </w:rPr>
            </w:pPr>
            <w:r>
              <w:rPr>
                <w:rFonts w:ascii="Times New Roman" w:cs="Times New Roman" w:eastAsia="Times New Roman" w:hAnsi="Times New Roman"/>
                <w:sz w:val="20"/>
                <w:szCs w:val="20"/>
                <w:b w:val="1"/>
                <w:bCs w:val="1"/>
                <w:color w:val="auto"/>
              </w:rPr>
              <w:t>in constant</w:t>
            </w:r>
          </w:p>
        </w:tc>
        <w:tc>
          <w:tcPr>
            <w:tcW w:w="760" w:type="dxa"/>
            <w:vAlign w:val="bottom"/>
          </w:tcPr>
          <w:p>
            <w:pPr>
              <w:jc w:val="center"/>
              <w:spacing w:after="0" w:line="228" w:lineRule="exact"/>
              <w:rPr>
                <w:sz w:val="20"/>
                <w:szCs w:val="20"/>
                <w:color w:val="auto"/>
              </w:rPr>
            </w:pPr>
            <w:r>
              <w:rPr>
                <w:rFonts w:ascii="Times New Roman" w:cs="Times New Roman" w:eastAsia="Times New Roman" w:hAnsi="Times New Roman"/>
                <w:sz w:val="20"/>
                <w:szCs w:val="20"/>
                <w:b w:val="1"/>
                <w:bCs w:val="1"/>
                <w:color w:val="auto"/>
                <w:w w:val="96"/>
              </w:rPr>
              <w:t>Total</w:t>
            </w:r>
          </w:p>
        </w:tc>
        <w:tc>
          <w:tcPr>
            <w:tcW w:w="0" w:type="dxa"/>
            <w:vAlign w:val="bottom"/>
          </w:tcPr>
          <w:p>
            <w:pPr>
              <w:spacing w:after="0"/>
              <w:rPr>
                <w:sz w:val="1"/>
                <w:szCs w:val="1"/>
                <w:color w:val="auto"/>
              </w:rPr>
            </w:pPr>
          </w:p>
        </w:tc>
      </w:tr>
      <w:tr>
        <w:trPr>
          <w:trHeight w:val="268"/>
        </w:trPr>
        <w:tc>
          <w:tcPr>
            <w:tcW w:w="26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Beverage business</w:t>
            </w:r>
          </w:p>
        </w:tc>
        <w:tc>
          <w:tcPr>
            <w:tcW w:w="160" w:type="dxa"/>
            <w:vAlign w:val="bottom"/>
          </w:tcPr>
          <w:p>
            <w:pPr>
              <w:spacing w:after="0"/>
              <w:rPr>
                <w:sz w:val="23"/>
                <w:szCs w:val="23"/>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20"/>
                <w:szCs w:val="20"/>
                <w:b w:val="1"/>
                <w:bCs w:val="1"/>
                <w:color w:val="auto"/>
              </w:rPr>
              <w:t>currency</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Revenue</w:t>
            </w:r>
          </w:p>
        </w:tc>
        <w:tc>
          <w:tcPr>
            <w:tcW w:w="200" w:type="dxa"/>
            <w:vAlign w:val="bottom"/>
          </w:tcPr>
          <w:p>
            <w:pPr>
              <w:spacing w:after="0"/>
              <w:rPr>
                <w:sz w:val="23"/>
                <w:szCs w:val="23"/>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20"/>
                <w:szCs w:val="20"/>
                <w:b w:val="1"/>
                <w:bCs w:val="1"/>
                <w:color w:val="auto"/>
                <w:w w:val="99"/>
              </w:rPr>
              <w:t>currency</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Revenue</w:t>
            </w:r>
          </w:p>
        </w:tc>
        <w:tc>
          <w:tcPr>
            <w:tcW w:w="160" w:type="dxa"/>
            <w:vAlign w:val="bottom"/>
          </w:tcPr>
          <w:p>
            <w:pPr>
              <w:spacing w:after="0"/>
              <w:rPr>
                <w:sz w:val="23"/>
                <w:szCs w:val="23"/>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20"/>
                <w:szCs w:val="20"/>
                <w:b w:val="1"/>
                <w:bCs w:val="1"/>
                <w:color w:val="auto"/>
                <w:w w:val="99"/>
              </w:rPr>
              <w:t>currency</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Revenue</w:t>
            </w:r>
          </w:p>
        </w:tc>
        <w:tc>
          <w:tcPr>
            <w:tcW w:w="140" w:type="dxa"/>
            <w:vAlign w:val="bottom"/>
          </w:tcPr>
          <w:p>
            <w:pPr>
              <w:spacing w:after="0"/>
              <w:rPr>
                <w:sz w:val="23"/>
                <w:szCs w:val="23"/>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20"/>
                <w:szCs w:val="20"/>
                <w:b w:val="1"/>
                <w:bCs w:val="1"/>
                <w:color w:val="auto"/>
              </w:rPr>
              <w:t>currency</w:t>
            </w: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Revenue</w:t>
            </w:r>
          </w:p>
        </w:tc>
        <w:tc>
          <w:tcPr>
            <w:tcW w:w="0" w:type="dxa"/>
            <w:vAlign w:val="bottom"/>
          </w:tcPr>
          <w:p>
            <w:pPr>
              <w:spacing w:after="0"/>
              <w:rPr>
                <w:sz w:val="1"/>
                <w:szCs w:val="1"/>
                <w:color w:val="auto"/>
              </w:rPr>
            </w:pPr>
          </w:p>
        </w:tc>
      </w:tr>
      <w:tr>
        <w:trPr>
          <w:trHeight w:val="234"/>
        </w:trPr>
        <w:tc>
          <w:tcPr>
            <w:tcW w:w="2680" w:type="dxa"/>
            <w:vAlign w:val="bottom"/>
            <w:vMerge w:val="continue"/>
          </w:tcPr>
          <w:p>
            <w:pPr>
              <w:spacing w:after="0"/>
              <w:rPr>
                <w:sz w:val="20"/>
                <w:szCs w:val="20"/>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65,621</w:t>
            </w:r>
          </w:p>
        </w:tc>
        <w:tc>
          <w:tcPr>
            <w:tcW w:w="100" w:type="dxa"/>
            <w:vAlign w:val="bottom"/>
          </w:tcPr>
          <w:p>
            <w:pPr>
              <w:spacing w:after="0"/>
              <w:rPr>
                <w:sz w:val="20"/>
                <w:szCs w:val="20"/>
                <w:color w:val="auto"/>
              </w:rPr>
            </w:pPr>
          </w:p>
        </w:tc>
        <w:tc>
          <w:tcPr>
            <w:tcW w:w="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29%</w:t>
            </w:r>
          </w:p>
        </w:tc>
        <w:tc>
          <w:tcPr>
            <w:tcW w:w="100" w:type="dxa"/>
            <w:vAlign w:val="bottom"/>
          </w:tcPr>
          <w:p>
            <w:pPr>
              <w:spacing w:after="0"/>
              <w:rPr>
                <w:sz w:val="20"/>
                <w:szCs w:val="20"/>
                <w:color w:val="auto"/>
              </w:rPr>
            </w:pPr>
          </w:p>
        </w:tc>
        <w:tc>
          <w:tcPr>
            <w:tcW w:w="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76,739</w:t>
            </w:r>
          </w:p>
        </w:tc>
        <w:tc>
          <w:tcPr>
            <w:tcW w:w="100" w:type="dxa"/>
            <w:vAlign w:val="bottom"/>
          </w:tcPr>
          <w:p>
            <w:pPr>
              <w:spacing w:after="0"/>
              <w:rPr>
                <w:sz w:val="20"/>
                <w:szCs w:val="20"/>
                <w:color w:val="auto"/>
              </w:rPr>
            </w:pPr>
          </w:p>
        </w:tc>
        <w:tc>
          <w:tcPr>
            <w:tcW w:w="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33%</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240,595</w:t>
            </w:r>
          </w:p>
        </w:tc>
        <w:tc>
          <w:tcPr>
            <w:tcW w:w="100" w:type="dxa"/>
            <w:vAlign w:val="bottom"/>
          </w:tcPr>
          <w:p>
            <w:pPr>
              <w:spacing w:after="0"/>
              <w:rPr>
                <w:sz w:val="20"/>
                <w:szCs w:val="20"/>
                <w:color w:val="auto"/>
              </w:rPr>
            </w:pPr>
          </w:p>
        </w:tc>
        <w:tc>
          <w:tcPr>
            <w:tcW w:w="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29%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202,094</w:t>
            </w:r>
          </w:p>
        </w:tc>
        <w:tc>
          <w:tcPr>
            <w:tcW w:w="100" w:type="dxa"/>
            <w:vAlign w:val="bottom"/>
          </w:tcPr>
          <w:p>
            <w:pPr>
              <w:spacing w:after="0"/>
              <w:rPr>
                <w:sz w:val="20"/>
                <w:szCs w:val="20"/>
                <w:color w:val="auto"/>
              </w:rPr>
            </w:pPr>
          </w:p>
        </w:tc>
        <w:tc>
          <w:tcPr>
            <w:tcW w:w="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25%</w:t>
            </w:r>
          </w:p>
        </w:tc>
        <w:tc>
          <w:tcPr>
            <w:tcW w:w="0" w:type="dxa"/>
            <w:vAlign w:val="bottom"/>
          </w:tcPr>
          <w:p>
            <w:pPr>
              <w:spacing w:after="0"/>
              <w:rPr>
                <w:sz w:val="1"/>
                <w:szCs w:val="1"/>
                <w:color w:val="auto"/>
              </w:rPr>
            </w:pPr>
          </w:p>
        </w:tc>
      </w:tr>
      <w:tr>
        <w:trPr>
          <w:trHeight w:val="253"/>
        </w:trPr>
        <w:tc>
          <w:tcPr>
            <w:tcW w:w="2680" w:type="dxa"/>
            <w:vAlign w:val="bottom"/>
          </w:tcPr>
          <w:p>
            <w:pPr>
              <w:spacing w:after="0"/>
              <w:rPr>
                <w:sz w:val="20"/>
                <w:szCs w:val="20"/>
                <w:color w:val="auto"/>
              </w:rPr>
            </w:pPr>
            <w:r>
              <w:rPr>
                <w:rFonts w:ascii="Times New Roman" w:cs="Times New Roman" w:eastAsia="Times New Roman" w:hAnsi="Times New Roman"/>
                <w:sz w:val="20"/>
                <w:szCs w:val="20"/>
                <w:color w:val="auto"/>
              </w:rPr>
              <w:t>Cannabis business</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68,464</w:t>
            </w:r>
          </w:p>
        </w:tc>
        <w:tc>
          <w:tcPr>
            <w:tcW w:w="10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71,919</w:t>
            </w:r>
          </w:p>
        </w:tc>
        <w:tc>
          <w:tcPr>
            <w:tcW w:w="10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254,584</w:t>
            </w:r>
          </w:p>
        </w:tc>
        <w:tc>
          <w:tcPr>
            <w:tcW w:w="10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272,798</w:t>
            </w:r>
          </w:p>
        </w:tc>
        <w:tc>
          <w:tcPr>
            <w:tcW w:w="100" w:type="dxa"/>
            <w:vAlign w:val="bottom"/>
          </w:tcPr>
          <w:p>
            <w:pPr>
              <w:spacing w:after="0"/>
              <w:rPr>
                <w:sz w:val="21"/>
                <w:szCs w:val="21"/>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35%</w:t>
            </w:r>
          </w:p>
        </w:tc>
        <w:tc>
          <w:tcPr>
            <w:tcW w:w="0" w:type="dxa"/>
            <w:vAlign w:val="bottom"/>
          </w:tcPr>
          <w:p>
            <w:pPr>
              <w:spacing w:after="0"/>
              <w:rPr>
                <w:sz w:val="1"/>
                <w:szCs w:val="1"/>
                <w:color w:val="auto"/>
              </w:rPr>
            </w:pPr>
          </w:p>
        </w:tc>
      </w:tr>
      <w:tr>
        <w:trPr>
          <w:trHeight w:val="253"/>
        </w:trPr>
        <w:tc>
          <w:tcPr>
            <w:tcW w:w="2680" w:type="dxa"/>
            <w:vAlign w:val="bottom"/>
          </w:tcPr>
          <w:p>
            <w:pPr>
              <w:spacing w:after="0"/>
              <w:rPr>
                <w:sz w:val="20"/>
                <w:szCs w:val="20"/>
                <w:color w:val="auto"/>
              </w:rPr>
            </w:pPr>
            <w:r>
              <w:rPr>
                <w:rFonts w:ascii="Times New Roman" w:cs="Times New Roman" w:eastAsia="Times New Roman" w:hAnsi="Times New Roman"/>
                <w:sz w:val="20"/>
                <w:szCs w:val="20"/>
                <w:color w:val="auto"/>
              </w:rPr>
              <w:t>Distribution business</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72,326</w:t>
            </w:r>
          </w:p>
        </w:tc>
        <w:tc>
          <w:tcPr>
            <w:tcW w:w="10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65,566</w:t>
            </w:r>
          </w:p>
        </w:tc>
        <w:tc>
          <w:tcPr>
            <w:tcW w:w="10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277,187</w:t>
            </w:r>
          </w:p>
        </w:tc>
        <w:tc>
          <w:tcPr>
            <w:tcW w:w="10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258,740</w:t>
            </w:r>
          </w:p>
        </w:tc>
        <w:tc>
          <w:tcPr>
            <w:tcW w:w="100" w:type="dxa"/>
            <w:vAlign w:val="bottom"/>
          </w:tcPr>
          <w:p>
            <w:pPr>
              <w:spacing w:after="0"/>
              <w:rPr>
                <w:sz w:val="21"/>
                <w:szCs w:val="21"/>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33%</w:t>
            </w:r>
          </w:p>
        </w:tc>
        <w:tc>
          <w:tcPr>
            <w:tcW w:w="0" w:type="dxa"/>
            <w:vAlign w:val="bottom"/>
          </w:tcPr>
          <w:p>
            <w:pPr>
              <w:spacing w:after="0"/>
              <w:rPr>
                <w:sz w:val="1"/>
                <w:szCs w:val="1"/>
                <w:color w:val="auto"/>
              </w:rPr>
            </w:pPr>
          </w:p>
        </w:tc>
      </w:tr>
      <w:tr>
        <w:trPr>
          <w:trHeight w:val="262"/>
        </w:trPr>
        <w:tc>
          <w:tcPr>
            <w:tcW w:w="2680" w:type="dxa"/>
            <w:vAlign w:val="bottom"/>
          </w:tcPr>
          <w:p>
            <w:pPr>
              <w:spacing w:after="0"/>
              <w:rPr>
                <w:sz w:val="20"/>
                <w:szCs w:val="20"/>
                <w:color w:val="auto"/>
              </w:rPr>
            </w:pPr>
            <w:r>
              <w:rPr>
                <w:rFonts w:ascii="Times New Roman" w:cs="Times New Roman" w:eastAsia="Times New Roman" w:hAnsi="Times New Roman"/>
                <w:sz w:val="20"/>
                <w:szCs w:val="20"/>
                <w:color w:val="auto"/>
              </w:rPr>
              <w:t>Wellness business</w:t>
            </w: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17,302</w:t>
            </w:r>
          </w:p>
        </w:tc>
        <w:tc>
          <w:tcPr>
            <w:tcW w:w="100" w:type="dxa"/>
            <w:vAlign w:val="bottom"/>
          </w:tcPr>
          <w:p>
            <w:pPr>
              <w:spacing w:after="0"/>
              <w:rPr>
                <w:sz w:val="22"/>
                <w:szCs w:val="22"/>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8%</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15,658</w:t>
            </w:r>
          </w:p>
        </w:tc>
        <w:tc>
          <w:tcPr>
            <w:tcW w:w="100" w:type="dxa"/>
            <w:vAlign w:val="bottom"/>
          </w:tcPr>
          <w:p>
            <w:pPr>
              <w:spacing w:after="0"/>
              <w:rPr>
                <w:sz w:val="22"/>
                <w:szCs w:val="22"/>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7%</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61,370</w:t>
            </w:r>
          </w:p>
        </w:tc>
        <w:tc>
          <w:tcPr>
            <w:tcW w:w="100" w:type="dxa"/>
            <w:vAlign w:val="bottom"/>
          </w:tcPr>
          <w:p>
            <w:pPr>
              <w:spacing w:after="0"/>
              <w:rPr>
                <w:sz w:val="22"/>
                <w:szCs w:val="22"/>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7%</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55,310</w:t>
            </w:r>
          </w:p>
        </w:tc>
        <w:tc>
          <w:tcPr>
            <w:tcW w:w="100" w:type="dxa"/>
            <w:vAlign w:val="bottom"/>
          </w:tcPr>
          <w:p>
            <w:pPr>
              <w:spacing w:after="0"/>
              <w:rPr>
                <w:sz w:val="22"/>
                <w:szCs w:val="22"/>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7%</w:t>
            </w:r>
          </w:p>
        </w:tc>
        <w:tc>
          <w:tcPr>
            <w:tcW w:w="0" w:type="dxa"/>
            <w:vAlign w:val="bottom"/>
          </w:tcPr>
          <w:p>
            <w:pPr>
              <w:spacing w:after="0"/>
              <w:rPr>
                <w:sz w:val="1"/>
                <w:szCs w:val="1"/>
                <w:color w:val="auto"/>
              </w:rPr>
            </w:pPr>
          </w:p>
        </w:tc>
      </w:tr>
      <w:tr>
        <w:trPr>
          <w:trHeight w:val="249"/>
        </w:trPr>
        <w:tc>
          <w:tcPr>
            <w:tcW w:w="2680" w:type="dxa"/>
            <w:vAlign w:val="bottom"/>
          </w:tcPr>
          <w:p>
            <w:pPr>
              <w:spacing w:after="0"/>
              <w:rPr>
                <w:sz w:val="20"/>
                <w:szCs w:val="20"/>
                <w:color w:val="auto"/>
              </w:rPr>
            </w:pPr>
            <w:r>
              <w:rPr>
                <w:rFonts w:ascii="Times New Roman" w:cs="Times New Roman" w:eastAsia="Times New Roman" w:hAnsi="Times New Roman"/>
                <w:sz w:val="20"/>
                <w:szCs w:val="20"/>
                <w:color w:val="auto"/>
              </w:rPr>
              <w:t>Total net revenue</w:t>
            </w: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223,713</w:t>
            </w:r>
          </w:p>
        </w:tc>
        <w:tc>
          <w:tcPr>
            <w:tcW w:w="100" w:type="dxa"/>
            <w:vAlign w:val="bottom"/>
          </w:tcPr>
          <w:p>
            <w:pPr>
              <w:spacing w:after="0"/>
              <w:rPr>
                <w:sz w:val="21"/>
                <w:szCs w:val="21"/>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100%</w:t>
            </w:r>
          </w:p>
        </w:tc>
        <w:tc>
          <w:tcPr>
            <w:tcW w:w="100" w:type="dxa"/>
            <w:vAlign w:val="bottom"/>
          </w:tcPr>
          <w:p>
            <w:pPr>
              <w:spacing w:after="0"/>
              <w:rPr>
                <w:sz w:val="21"/>
                <w:szCs w:val="21"/>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229,882</w:t>
            </w:r>
          </w:p>
        </w:tc>
        <w:tc>
          <w:tcPr>
            <w:tcW w:w="100" w:type="dxa"/>
            <w:vAlign w:val="bottom"/>
          </w:tcPr>
          <w:p>
            <w:pPr>
              <w:spacing w:after="0"/>
              <w:rPr>
                <w:sz w:val="21"/>
                <w:szCs w:val="21"/>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100%</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833,736</w:t>
            </w:r>
          </w:p>
        </w:tc>
        <w:tc>
          <w:tcPr>
            <w:tcW w:w="100" w:type="dxa"/>
            <w:vAlign w:val="bottom"/>
          </w:tcPr>
          <w:p>
            <w:pPr>
              <w:spacing w:after="0"/>
              <w:rPr>
                <w:sz w:val="21"/>
                <w:szCs w:val="21"/>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100%</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788,942</w:t>
            </w:r>
          </w:p>
        </w:tc>
        <w:tc>
          <w:tcPr>
            <w:tcW w:w="100" w:type="dxa"/>
            <w:vAlign w:val="bottom"/>
          </w:tcPr>
          <w:p>
            <w:pPr>
              <w:spacing w:after="0"/>
              <w:rPr>
                <w:sz w:val="21"/>
                <w:szCs w:val="21"/>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100%</w:t>
            </w:r>
          </w:p>
        </w:tc>
        <w:tc>
          <w:tcPr>
            <w:tcW w:w="0" w:type="dxa"/>
            <w:vAlign w:val="bottom"/>
          </w:tcPr>
          <w:p>
            <w:pPr>
              <w:spacing w:after="0"/>
              <w:rPr>
                <w:sz w:val="1"/>
                <w:szCs w:val="1"/>
                <w:color w:val="auto"/>
              </w:rPr>
            </w:pPr>
          </w:p>
        </w:tc>
      </w:tr>
      <w:tr>
        <w:trPr>
          <w:trHeight w:val="20"/>
        </w:trPr>
        <w:tc>
          <w:tcPr>
            <w:tcW w:w="268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Net Cannabis Revenue by</w:t>
            </w: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4"/>
        </w:trPr>
        <w:tc>
          <w:tcPr>
            <w:tcW w:w="26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26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Market Channel</w:t>
            </w:r>
          </w:p>
        </w:tc>
        <w:tc>
          <w:tcPr>
            <w:tcW w:w="12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For the three</w:t>
            </w: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w w:val="99"/>
              </w:rPr>
              <w:t>For the three</w:t>
            </w: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2680" w:type="dxa"/>
            <w:vAlign w:val="bottom"/>
          </w:tcPr>
          <w:p>
            <w:pPr>
              <w:spacing w:after="0"/>
              <w:rPr>
                <w:sz w:val="18"/>
                <w:szCs w:val="18"/>
                <w:color w:val="auto"/>
              </w:rPr>
            </w:pPr>
          </w:p>
        </w:tc>
        <w:tc>
          <w:tcPr>
            <w:tcW w:w="1260" w:type="dxa"/>
            <w:vAlign w:val="bottom"/>
            <w:gridSpan w:val="3"/>
            <w:vMerge w:val="continue"/>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vMerge w:val="continue"/>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For the year</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For the year</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2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gridSpan w:val="2"/>
            <w:vMerge w:val="restart"/>
          </w:tcPr>
          <w:p>
            <w:pPr>
              <w:jc w:val="center"/>
              <w:ind w:right="260"/>
              <w:spacing w:after="0" w:line="228" w:lineRule="exact"/>
              <w:rPr>
                <w:sz w:val="20"/>
                <w:szCs w:val="20"/>
                <w:color w:val="auto"/>
              </w:rPr>
            </w:pPr>
            <w:r>
              <w:rPr>
                <w:rFonts w:ascii="Times New Roman" w:cs="Times New Roman" w:eastAsia="Times New Roman" w:hAnsi="Times New Roman"/>
                <w:sz w:val="20"/>
                <w:szCs w:val="20"/>
                <w:b w:val="1"/>
                <w:bCs w:val="1"/>
                <w:color w:val="auto"/>
              </w:rPr>
              <w:t>months</w:t>
            </w: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gridSpan w:val="2"/>
            <w:vMerge w:val="restart"/>
          </w:tcPr>
          <w:p>
            <w:pPr>
              <w:jc w:val="center"/>
              <w:ind w:right="300"/>
              <w:spacing w:after="0" w:line="228" w:lineRule="exact"/>
              <w:rPr>
                <w:sz w:val="20"/>
                <w:szCs w:val="20"/>
                <w:color w:val="auto"/>
              </w:rPr>
            </w:pPr>
            <w:r>
              <w:rPr>
                <w:rFonts w:ascii="Times New Roman" w:cs="Times New Roman" w:eastAsia="Times New Roman" w:hAnsi="Times New Roman"/>
                <w:sz w:val="20"/>
                <w:szCs w:val="20"/>
                <w:b w:val="1"/>
                <w:bCs w:val="1"/>
                <w:color w:val="auto"/>
              </w:rPr>
              <w:t>months</w:t>
            </w: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20"/>
                <w:szCs w:val="20"/>
                <w:b w:val="1"/>
                <w:bCs w:val="1"/>
                <w:color w:val="auto"/>
              </w:rPr>
              <w:t>ended</w:t>
            </w: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20"/>
                <w:szCs w:val="20"/>
                <w:b w:val="1"/>
                <w:bCs w:val="1"/>
                <w:color w:val="auto"/>
              </w:rPr>
              <w:t>ended</w:t>
            </w: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2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20"/>
                <w:szCs w:val="20"/>
                <w:b w:val="1"/>
                <w:bCs w:val="1"/>
                <w:color w:val="auto"/>
              </w:rPr>
              <w:t>ended</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20"/>
                <w:szCs w:val="20"/>
                <w:b w:val="1"/>
                <w:bCs w:val="1"/>
                <w:color w:val="auto"/>
              </w:rPr>
              <w:t>ended</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2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8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 of</w:t>
            </w:r>
          </w:p>
        </w:tc>
        <w:tc>
          <w:tcPr>
            <w:tcW w:w="20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8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 of</w:t>
            </w: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 of</w:t>
            </w: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rPr>
              <w:t>% of</w:t>
            </w:r>
          </w:p>
        </w:tc>
        <w:tc>
          <w:tcPr>
            <w:tcW w:w="0" w:type="dxa"/>
            <w:vAlign w:val="bottom"/>
          </w:tcPr>
          <w:p>
            <w:pPr>
              <w:spacing w:after="0"/>
              <w:rPr>
                <w:sz w:val="1"/>
                <w:szCs w:val="1"/>
                <w:color w:val="auto"/>
              </w:rPr>
            </w:pPr>
          </w:p>
        </w:tc>
      </w:tr>
      <w:tr>
        <w:trPr>
          <w:trHeight w:val="214"/>
        </w:trPr>
        <w:tc>
          <w:tcPr>
            <w:tcW w:w="2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20"/>
                <w:szCs w:val="20"/>
                <w:b w:val="1"/>
                <w:bCs w:val="1"/>
                <w:color w:val="auto"/>
              </w:rPr>
              <w:t>May 31,</w:t>
            </w:r>
          </w:p>
        </w:tc>
        <w:tc>
          <w:tcPr>
            <w:tcW w:w="8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20"/>
                <w:szCs w:val="20"/>
                <w:b w:val="1"/>
                <w:bCs w:val="1"/>
                <w:color w:val="auto"/>
              </w:rPr>
              <w:t>May 31,</w:t>
            </w:r>
          </w:p>
        </w:tc>
        <w:tc>
          <w:tcPr>
            <w:tcW w:w="8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20"/>
                <w:szCs w:val="20"/>
                <w:b w:val="1"/>
                <w:bCs w:val="1"/>
                <w:color w:val="auto"/>
              </w:rPr>
              <w:t>May 31,</w:t>
            </w:r>
          </w:p>
        </w:tc>
        <w:tc>
          <w:tcPr>
            <w:tcW w:w="8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20"/>
                <w:szCs w:val="20"/>
                <w:b w:val="1"/>
                <w:bCs w:val="1"/>
                <w:color w:val="auto"/>
              </w:rPr>
              <w:t>May 31,</w:t>
            </w: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2680" w:type="dxa"/>
            <w:vAlign w:val="bottom"/>
            <w:vMerge w:val="restart"/>
          </w:tcPr>
          <w:p>
            <w:pPr>
              <w:spacing w:after="0" w:line="228" w:lineRule="exact"/>
              <w:rPr>
                <w:sz w:val="20"/>
                <w:szCs w:val="20"/>
                <w:color w:val="auto"/>
              </w:rPr>
            </w:pPr>
            <w:r>
              <w:rPr>
                <w:rFonts w:ascii="Times New Roman" w:cs="Times New Roman" w:eastAsia="Times New Roman" w:hAnsi="Times New Roman"/>
                <w:sz w:val="20"/>
                <w:szCs w:val="20"/>
                <w:b w:val="1"/>
                <w:bCs w:val="1"/>
                <w:color w:val="auto"/>
              </w:rPr>
              <w:t>(In thousands of U.S. dollars)</w:t>
            </w:r>
          </w:p>
        </w:tc>
        <w:tc>
          <w:tcPr>
            <w:tcW w:w="16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880" w:type="dxa"/>
            <w:vAlign w:val="bottom"/>
            <w:gridSpan w:val="2"/>
            <w:vMerge w:val="restart"/>
          </w:tcPr>
          <w:p>
            <w:pPr>
              <w:jc w:val="center"/>
              <w:ind w:right="80"/>
              <w:spacing w:after="0" w:line="228" w:lineRule="exact"/>
              <w:rPr>
                <w:sz w:val="20"/>
                <w:szCs w:val="20"/>
                <w:color w:val="auto"/>
              </w:rPr>
            </w:pPr>
            <w:r>
              <w:rPr>
                <w:rFonts w:ascii="Times New Roman" w:cs="Times New Roman" w:eastAsia="Times New Roman" w:hAnsi="Times New Roman"/>
                <w:sz w:val="20"/>
                <w:szCs w:val="20"/>
                <w:b w:val="1"/>
                <w:bCs w:val="1"/>
                <w:color w:val="auto"/>
                <w:w w:val="96"/>
              </w:rPr>
              <w:t>Total</w:t>
            </w:r>
          </w:p>
        </w:tc>
        <w:tc>
          <w:tcPr>
            <w:tcW w:w="20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880" w:type="dxa"/>
            <w:vAlign w:val="bottom"/>
            <w:gridSpan w:val="2"/>
            <w:vMerge w:val="restart"/>
          </w:tcPr>
          <w:p>
            <w:pPr>
              <w:jc w:val="center"/>
              <w:ind w:right="100"/>
              <w:spacing w:after="0" w:line="228" w:lineRule="exact"/>
              <w:rPr>
                <w:sz w:val="20"/>
                <w:szCs w:val="20"/>
                <w:color w:val="auto"/>
              </w:rPr>
            </w:pPr>
            <w:r>
              <w:rPr>
                <w:rFonts w:ascii="Times New Roman" w:cs="Times New Roman" w:eastAsia="Times New Roman" w:hAnsi="Times New Roman"/>
                <w:sz w:val="20"/>
                <w:szCs w:val="20"/>
                <w:b w:val="1"/>
                <w:bCs w:val="1"/>
                <w:color w:val="auto"/>
              </w:rPr>
              <w:t>Total</w:t>
            </w:r>
          </w:p>
        </w:tc>
        <w:tc>
          <w:tcPr>
            <w:tcW w:w="16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880" w:type="dxa"/>
            <w:vAlign w:val="bottom"/>
            <w:gridSpan w:val="2"/>
            <w:vMerge w:val="restart"/>
          </w:tcPr>
          <w:p>
            <w:pPr>
              <w:jc w:val="center"/>
              <w:ind w:right="120"/>
              <w:spacing w:after="0" w:line="228" w:lineRule="exact"/>
              <w:rPr>
                <w:sz w:val="20"/>
                <w:szCs w:val="20"/>
                <w:color w:val="auto"/>
              </w:rPr>
            </w:pPr>
            <w:r>
              <w:rPr>
                <w:rFonts w:ascii="Times New Roman" w:cs="Times New Roman" w:eastAsia="Times New Roman" w:hAnsi="Times New Roman"/>
                <w:sz w:val="20"/>
                <w:szCs w:val="20"/>
                <w:b w:val="1"/>
                <w:bCs w:val="1"/>
                <w:color w:val="auto"/>
                <w:w w:val="96"/>
              </w:rPr>
              <w:t>Total</w:t>
            </w:r>
          </w:p>
        </w:tc>
        <w:tc>
          <w:tcPr>
            <w:tcW w:w="14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760" w:type="dxa"/>
            <w:vAlign w:val="bottom"/>
            <w:vMerge w:val="restart"/>
          </w:tcPr>
          <w:p>
            <w:pPr>
              <w:jc w:val="center"/>
              <w:spacing w:after="0" w:line="228" w:lineRule="exact"/>
              <w:rPr>
                <w:sz w:val="20"/>
                <w:szCs w:val="20"/>
                <w:color w:val="auto"/>
              </w:rPr>
            </w:pPr>
            <w:r>
              <w:rPr>
                <w:rFonts w:ascii="Times New Roman" w:cs="Times New Roman" w:eastAsia="Times New Roman" w:hAnsi="Times New Roman"/>
                <w:sz w:val="20"/>
                <w:szCs w:val="20"/>
                <w:b w:val="1"/>
                <w:bCs w:val="1"/>
                <w:color w:val="auto"/>
                <w:w w:val="96"/>
              </w:rPr>
              <w:t>Total</w:t>
            </w:r>
          </w:p>
        </w:tc>
        <w:tc>
          <w:tcPr>
            <w:tcW w:w="0" w:type="dxa"/>
            <w:vAlign w:val="bottom"/>
          </w:tcPr>
          <w:p>
            <w:pPr>
              <w:spacing w:after="0"/>
              <w:rPr>
                <w:sz w:val="1"/>
                <w:szCs w:val="1"/>
                <w:color w:val="auto"/>
              </w:rPr>
            </w:pPr>
          </w:p>
        </w:tc>
      </w:tr>
      <w:tr>
        <w:trPr>
          <w:trHeight w:val="114"/>
        </w:trPr>
        <w:tc>
          <w:tcPr>
            <w:tcW w:w="26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vMerge w:val="restart"/>
          </w:tcPr>
          <w:p>
            <w:pPr>
              <w:jc w:val="center"/>
              <w:ind w:right="59"/>
              <w:spacing w:after="0"/>
              <w:rPr>
                <w:sz w:val="20"/>
                <w:szCs w:val="20"/>
                <w:color w:val="auto"/>
              </w:rPr>
            </w:pPr>
            <w:r>
              <w:rPr>
                <w:rFonts w:ascii="Times New Roman" w:cs="Times New Roman" w:eastAsia="Times New Roman" w:hAnsi="Times New Roman"/>
                <w:sz w:val="20"/>
                <w:szCs w:val="20"/>
                <w:b w:val="1"/>
                <w:bCs w:val="1"/>
                <w:color w:val="auto"/>
                <w:w w:val="99"/>
              </w:rPr>
              <w:t>2025</w:t>
            </w:r>
          </w:p>
        </w:tc>
        <w:tc>
          <w:tcPr>
            <w:tcW w:w="10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vMerge w:val="restart"/>
          </w:tcPr>
          <w:p>
            <w:pPr>
              <w:jc w:val="center"/>
              <w:ind w:right="99"/>
              <w:spacing w:after="0"/>
              <w:rPr>
                <w:sz w:val="20"/>
                <w:szCs w:val="20"/>
                <w:color w:val="auto"/>
              </w:rPr>
            </w:pPr>
            <w:r>
              <w:rPr>
                <w:rFonts w:ascii="Times New Roman" w:cs="Times New Roman" w:eastAsia="Times New Roman" w:hAnsi="Times New Roman"/>
                <w:sz w:val="20"/>
                <w:szCs w:val="20"/>
                <w:b w:val="1"/>
                <w:bCs w:val="1"/>
                <w:color w:val="auto"/>
                <w:w w:val="99"/>
              </w:rPr>
              <w:t>2024</w:t>
            </w:r>
          </w:p>
        </w:tc>
        <w:tc>
          <w:tcPr>
            <w:tcW w:w="10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vMerge w:val="restart"/>
          </w:tcPr>
          <w:p>
            <w:pPr>
              <w:jc w:val="center"/>
              <w:ind w:right="59"/>
              <w:spacing w:after="0"/>
              <w:rPr>
                <w:sz w:val="20"/>
                <w:szCs w:val="20"/>
                <w:color w:val="auto"/>
              </w:rPr>
            </w:pPr>
            <w:r>
              <w:rPr>
                <w:rFonts w:ascii="Times New Roman" w:cs="Times New Roman" w:eastAsia="Times New Roman" w:hAnsi="Times New Roman"/>
                <w:sz w:val="20"/>
                <w:szCs w:val="20"/>
                <w:b w:val="1"/>
                <w:bCs w:val="1"/>
                <w:color w:val="auto"/>
                <w:w w:val="99"/>
              </w:rPr>
              <w:t>2025</w:t>
            </w:r>
          </w:p>
        </w:tc>
        <w:tc>
          <w:tcPr>
            <w:tcW w:w="10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vMerge w:val="restart"/>
          </w:tcPr>
          <w:p>
            <w:pPr>
              <w:jc w:val="center"/>
              <w:ind w:right="39"/>
              <w:spacing w:after="0"/>
              <w:rPr>
                <w:sz w:val="20"/>
                <w:szCs w:val="20"/>
                <w:color w:val="auto"/>
              </w:rPr>
            </w:pPr>
            <w:r>
              <w:rPr>
                <w:rFonts w:ascii="Times New Roman" w:cs="Times New Roman" w:eastAsia="Times New Roman" w:hAnsi="Times New Roman"/>
                <w:sz w:val="20"/>
                <w:szCs w:val="20"/>
                <w:b w:val="1"/>
                <w:bCs w:val="1"/>
                <w:color w:val="auto"/>
                <w:w w:val="99"/>
              </w:rPr>
              <w:t>2024</w:t>
            </w:r>
          </w:p>
        </w:tc>
        <w:tc>
          <w:tcPr>
            <w:tcW w:w="1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2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Revenue</w:t>
            </w:r>
          </w:p>
        </w:tc>
        <w:tc>
          <w:tcPr>
            <w:tcW w:w="20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Revenue</w:t>
            </w:r>
          </w:p>
        </w:tc>
        <w:tc>
          <w:tcPr>
            <w:tcW w:w="16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Revenue</w:t>
            </w:r>
          </w:p>
        </w:tc>
        <w:tc>
          <w:tcPr>
            <w:tcW w:w="14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rPr>
              <w:t>Revenue</w:t>
            </w:r>
          </w:p>
        </w:tc>
        <w:tc>
          <w:tcPr>
            <w:tcW w:w="0" w:type="dxa"/>
            <w:vAlign w:val="bottom"/>
          </w:tcPr>
          <w:p>
            <w:pPr>
              <w:spacing w:after="0"/>
              <w:rPr>
                <w:sz w:val="1"/>
                <w:szCs w:val="1"/>
                <w:color w:val="auto"/>
              </w:rPr>
            </w:pPr>
          </w:p>
        </w:tc>
      </w:tr>
      <w:tr>
        <w:trPr>
          <w:trHeight w:val="115"/>
        </w:trPr>
        <w:tc>
          <w:tcPr>
            <w:tcW w:w="26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Revenue from Canadian</w:t>
            </w: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2680" w:type="dxa"/>
            <w:vAlign w:val="bottom"/>
            <w:vMerge w:val="continue"/>
          </w:tcPr>
          <w:p>
            <w:pPr>
              <w:spacing w:after="0"/>
              <w:rPr>
                <w:sz w:val="17"/>
                <w:szCs w:val="17"/>
                <w:color w:val="auto"/>
              </w:rPr>
            </w:pPr>
          </w:p>
        </w:tc>
        <w:tc>
          <w:tcPr>
            <w:tcW w:w="16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20"/>
                <w:szCs w:val="20"/>
                <w:color w:val="auto"/>
              </w:rPr>
              <w:t>6,225</w:t>
            </w:r>
          </w:p>
        </w:tc>
        <w:tc>
          <w:tcPr>
            <w:tcW w:w="100" w:type="dxa"/>
            <w:vAlign w:val="bottom"/>
          </w:tcPr>
          <w:p>
            <w:pPr>
              <w:spacing w:after="0"/>
              <w:rPr>
                <w:sz w:val="17"/>
                <w:szCs w:val="17"/>
                <w:color w:val="auto"/>
              </w:rPr>
            </w:pPr>
          </w:p>
        </w:tc>
        <w:tc>
          <w:tcPr>
            <w:tcW w:w="78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rPr>
              <w:t>9%</w:t>
            </w:r>
          </w:p>
        </w:tc>
        <w:tc>
          <w:tcPr>
            <w:tcW w:w="100" w:type="dxa"/>
            <w:vAlign w:val="bottom"/>
          </w:tcPr>
          <w:p>
            <w:pPr>
              <w:spacing w:after="0"/>
              <w:rPr>
                <w:sz w:val="17"/>
                <w:szCs w:val="17"/>
                <w:color w:val="auto"/>
              </w:rPr>
            </w:pPr>
          </w:p>
        </w:tc>
        <w:tc>
          <w:tcPr>
            <w:tcW w:w="20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20"/>
                <w:szCs w:val="20"/>
                <w:color w:val="auto"/>
              </w:rPr>
              <w:t>6,418</w:t>
            </w:r>
          </w:p>
        </w:tc>
        <w:tc>
          <w:tcPr>
            <w:tcW w:w="100" w:type="dxa"/>
            <w:vAlign w:val="bottom"/>
          </w:tcPr>
          <w:p>
            <w:pPr>
              <w:spacing w:after="0"/>
              <w:rPr>
                <w:sz w:val="17"/>
                <w:szCs w:val="17"/>
                <w:color w:val="auto"/>
              </w:rPr>
            </w:pPr>
          </w:p>
        </w:tc>
        <w:tc>
          <w:tcPr>
            <w:tcW w:w="78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rPr>
              <w:t>9%</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20"/>
                <w:szCs w:val="20"/>
                <w:color w:val="auto"/>
              </w:rPr>
              <w:t>24,998</w:t>
            </w:r>
          </w:p>
        </w:tc>
        <w:tc>
          <w:tcPr>
            <w:tcW w:w="100" w:type="dxa"/>
            <w:vAlign w:val="bottom"/>
          </w:tcPr>
          <w:p>
            <w:pPr>
              <w:spacing w:after="0"/>
              <w:rPr>
                <w:sz w:val="17"/>
                <w:szCs w:val="17"/>
                <w:color w:val="auto"/>
              </w:rPr>
            </w:pPr>
          </w:p>
        </w:tc>
        <w:tc>
          <w:tcPr>
            <w:tcW w:w="78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rPr>
              <w:t>10%</w:t>
            </w:r>
          </w:p>
        </w:tc>
        <w:tc>
          <w:tcPr>
            <w:tcW w:w="10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20"/>
                <w:szCs w:val="20"/>
                <w:color w:val="auto"/>
              </w:rPr>
              <w:t>25,211</w:t>
            </w:r>
          </w:p>
        </w:tc>
        <w:tc>
          <w:tcPr>
            <w:tcW w:w="100" w:type="dxa"/>
            <w:vAlign w:val="bottom"/>
          </w:tcPr>
          <w:p>
            <w:pPr>
              <w:spacing w:after="0"/>
              <w:rPr>
                <w:sz w:val="17"/>
                <w:szCs w:val="17"/>
                <w:color w:val="auto"/>
              </w:rPr>
            </w:pPr>
          </w:p>
        </w:tc>
        <w:tc>
          <w:tcPr>
            <w:tcW w:w="76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7"/>
              </w:rPr>
              <w:t>9%</w:t>
            </w:r>
          </w:p>
        </w:tc>
        <w:tc>
          <w:tcPr>
            <w:tcW w:w="0" w:type="dxa"/>
            <w:vAlign w:val="bottom"/>
          </w:tcPr>
          <w:p>
            <w:pPr>
              <w:spacing w:after="0"/>
              <w:rPr>
                <w:sz w:val="1"/>
                <w:szCs w:val="1"/>
                <w:color w:val="auto"/>
              </w:rPr>
            </w:pPr>
          </w:p>
        </w:tc>
      </w:tr>
      <w:tr>
        <w:trPr>
          <w:trHeight w:val="148"/>
        </w:trPr>
        <w:tc>
          <w:tcPr>
            <w:tcW w:w="26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medical cannabis</w:t>
            </w:r>
          </w:p>
        </w:tc>
        <w:tc>
          <w:tcPr>
            <w:tcW w:w="16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26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7"/>
        </w:trPr>
        <w:tc>
          <w:tcPr>
            <w:tcW w:w="268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Revenue from Canadian adult-</w:t>
            </w:r>
          </w:p>
        </w:tc>
        <w:tc>
          <w:tcPr>
            <w:tcW w:w="160" w:type="dxa"/>
            <w:vAlign w:val="bottom"/>
          </w:tcPr>
          <w:p>
            <w:pPr>
              <w:spacing w:after="0"/>
              <w:rPr>
                <w:sz w:val="19"/>
                <w:szCs w:val="19"/>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58,421</w:t>
            </w:r>
          </w:p>
        </w:tc>
        <w:tc>
          <w:tcPr>
            <w:tcW w:w="100" w:type="dxa"/>
            <w:vAlign w:val="bottom"/>
          </w:tcPr>
          <w:p>
            <w:pPr>
              <w:spacing w:after="0"/>
              <w:rPr>
                <w:sz w:val="19"/>
                <w:szCs w:val="19"/>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86%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61,496</w:t>
            </w:r>
          </w:p>
        </w:tc>
        <w:tc>
          <w:tcPr>
            <w:tcW w:w="100" w:type="dxa"/>
            <w:vAlign w:val="bottom"/>
          </w:tcPr>
          <w:p>
            <w:pPr>
              <w:spacing w:after="0"/>
              <w:rPr>
                <w:sz w:val="19"/>
                <w:szCs w:val="19"/>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86%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224,048</w:t>
            </w:r>
          </w:p>
        </w:tc>
        <w:tc>
          <w:tcPr>
            <w:tcW w:w="100" w:type="dxa"/>
            <w:vAlign w:val="bottom"/>
          </w:tcPr>
          <w:p>
            <w:pPr>
              <w:spacing w:after="0"/>
              <w:rPr>
                <w:sz w:val="19"/>
                <w:szCs w:val="19"/>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91%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266,846</w:t>
            </w:r>
          </w:p>
        </w:tc>
        <w:tc>
          <w:tcPr>
            <w:tcW w:w="100" w:type="dxa"/>
            <w:vAlign w:val="bottom"/>
          </w:tcPr>
          <w:p>
            <w:pPr>
              <w:spacing w:after="0"/>
              <w:rPr>
                <w:sz w:val="19"/>
                <w:szCs w:val="19"/>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98%</w:t>
            </w:r>
          </w:p>
        </w:tc>
        <w:tc>
          <w:tcPr>
            <w:tcW w:w="0" w:type="dxa"/>
            <w:vAlign w:val="bottom"/>
          </w:tcPr>
          <w:p>
            <w:pPr>
              <w:spacing w:after="0"/>
              <w:rPr>
                <w:sz w:val="1"/>
                <w:szCs w:val="1"/>
                <w:color w:val="auto"/>
              </w:rPr>
            </w:pPr>
          </w:p>
        </w:tc>
      </w:tr>
      <w:tr>
        <w:trPr>
          <w:trHeight w:val="148"/>
        </w:trPr>
        <w:tc>
          <w:tcPr>
            <w:tcW w:w="26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use cannabis</w:t>
            </w:r>
          </w:p>
        </w:tc>
        <w:tc>
          <w:tcPr>
            <w:tcW w:w="16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26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7"/>
        </w:trPr>
        <w:tc>
          <w:tcPr>
            <w:tcW w:w="268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Revenue from wholesale</w:t>
            </w:r>
          </w:p>
        </w:tc>
        <w:tc>
          <w:tcPr>
            <w:tcW w:w="160" w:type="dxa"/>
            <w:vAlign w:val="bottom"/>
          </w:tcPr>
          <w:p>
            <w:pPr>
              <w:spacing w:after="0"/>
              <w:rPr>
                <w:sz w:val="19"/>
                <w:szCs w:val="19"/>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2,214</w:t>
            </w:r>
          </w:p>
        </w:tc>
        <w:tc>
          <w:tcPr>
            <w:tcW w:w="100" w:type="dxa"/>
            <w:vAlign w:val="bottom"/>
          </w:tcPr>
          <w:p>
            <w:pPr>
              <w:spacing w:after="0"/>
              <w:rPr>
                <w:sz w:val="19"/>
                <w:szCs w:val="19"/>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12,992</w:t>
            </w:r>
          </w:p>
        </w:tc>
        <w:tc>
          <w:tcPr>
            <w:tcW w:w="100" w:type="dxa"/>
            <w:vAlign w:val="bottom"/>
          </w:tcPr>
          <w:p>
            <w:pPr>
              <w:spacing w:after="0"/>
              <w:rPr>
                <w:sz w:val="19"/>
                <w:szCs w:val="19"/>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18,207</w:t>
            </w:r>
          </w:p>
        </w:tc>
        <w:tc>
          <w:tcPr>
            <w:tcW w:w="100" w:type="dxa"/>
            <w:vAlign w:val="bottom"/>
          </w:tcPr>
          <w:p>
            <w:pPr>
              <w:spacing w:after="0"/>
              <w:rPr>
                <w:sz w:val="19"/>
                <w:szCs w:val="19"/>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7"/>
              </w:rPr>
              <w:t>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25,340</w:t>
            </w:r>
          </w:p>
        </w:tc>
        <w:tc>
          <w:tcPr>
            <w:tcW w:w="100" w:type="dxa"/>
            <w:vAlign w:val="bottom"/>
          </w:tcPr>
          <w:p>
            <w:pPr>
              <w:spacing w:after="0"/>
              <w:rPr>
                <w:sz w:val="19"/>
                <w:szCs w:val="19"/>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7"/>
              </w:rPr>
              <w:t>9%</w:t>
            </w:r>
          </w:p>
        </w:tc>
        <w:tc>
          <w:tcPr>
            <w:tcW w:w="0" w:type="dxa"/>
            <w:vAlign w:val="bottom"/>
          </w:tcPr>
          <w:p>
            <w:pPr>
              <w:spacing w:after="0"/>
              <w:rPr>
                <w:sz w:val="1"/>
                <w:szCs w:val="1"/>
                <w:color w:val="auto"/>
              </w:rPr>
            </w:pPr>
          </w:p>
        </w:tc>
      </w:tr>
      <w:tr>
        <w:trPr>
          <w:trHeight w:val="148"/>
        </w:trPr>
        <w:tc>
          <w:tcPr>
            <w:tcW w:w="26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cannabis</w:t>
            </w:r>
          </w:p>
        </w:tc>
        <w:tc>
          <w:tcPr>
            <w:tcW w:w="16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26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2"/>
        </w:trPr>
        <w:tc>
          <w:tcPr>
            <w:tcW w:w="2680" w:type="dxa"/>
            <w:vAlign w:val="bottom"/>
          </w:tcPr>
          <w:p>
            <w:pPr>
              <w:spacing w:after="0"/>
              <w:rPr>
                <w:sz w:val="20"/>
                <w:szCs w:val="20"/>
                <w:color w:val="auto"/>
              </w:rPr>
            </w:pPr>
            <w:r>
              <w:rPr>
                <w:rFonts w:ascii="Times New Roman" w:cs="Times New Roman" w:eastAsia="Times New Roman" w:hAnsi="Times New Roman"/>
                <w:sz w:val="20"/>
                <w:szCs w:val="20"/>
                <w:color w:val="auto"/>
              </w:rPr>
              <w:t>Revenue from international</w:t>
            </w: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22,365</w:t>
            </w:r>
          </w:p>
        </w:tc>
        <w:tc>
          <w:tcPr>
            <w:tcW w:w="10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33%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13,110</w:t>
            </w:r>
          </w:p>
        </w:tc>
        <w:tc>
          <w:tcPr>
            <w:tcW w:w="10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63,356</w:t>
            </w:r>
          </w:p>
        </w:tc>
        <w:tc>
          <w:tcPr>
            <w:tcW w:w="10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25%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53,295</w:t>
            </w:r>
          </w:p>
        </w:tc>
        <w:tc>
          <w:tcPr>
            <w:tcW w:w="10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20%</w:t>
            </w:r>
          </w:p>
        </w:tc>
        <w:tc>
          <w:tcPr>
            <w:tcW w:w="0" w:type="dxa"/>
            <w:vAlign w:val="bottom"/>
          </w:tcPr>
          <w:p>
            <w:pPr>
              <w:spacing w:after="0"/>
              <w:rPr>
                <w:sz w:val="1"/>
                <w:szCs w:val="1"/>
                <w:color w:val="auto"/>
              </w:rPr>
            </w:pPr>
          </w:p>
        </w:tc>
      </w:tr>
    </w:tbl>
    <w:p>
      <w:pPr>
        <w:sectPr>
          <w:pgSz w:w="11900" w:h="16838" w:orient="portrait"/>
          <w:cols w:equalWidth="0" w:num="1">
            <w:col w:w="11120"/>
          </w:cols>
          <w:pgMar w:left="340" w:top="114" w:right="439" w:bottom="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680" w:type="dxa"/>
            <w:vAlign w:val="bottom"/>
          </w:tcPr>
          <w:p>
            <w:pPr>
              <w:spacing w:after="0"/>
              <w:rPr>
                <w:sz w:val="20"/>
                <w:szCs w:val="20"/>
                <w:color w:val="auto"/>
              </w:rPr>
            </w:pPr>
            <w:r>
              <w:rPr>
                <w:rFonts w:ascii="Times New Roman" w:cs="Times New Roman" w:eastAsia="Times New Roman" w:hAnsi="Times New Roman"/>
                <w:sz w:val="20"/>
                <w:szCs w:val="20"/>
                <w:color w:val="auto"/>
              </w:rPr>
              <w:t>cannabis</w:t>
            </w: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2680" w:type="dxa"/>
            <w:vAlign w:val="bottom"/>
          </w:tcPr>
          <w:p>
            <w:pPr>
              <w:spacing w:after="0"/>
              <w:rPr>
                <w:sz w:val="20"/>
                <w:szCs w:val="20"/>
                <w:color w:val="auto"/>
              </w:rPr>
            </w:pPr>
            <w:r>
              <w:rPr>
                <w:rFonts w:ascii="Times New Roman" w:cs="Times New Roman" w:eastAsia="Times New Roman" w:hAnsi="Times New Roman"/>
                <w:sz w:val="20"/>
                <w:szCs w:val="20"/>
                <w:color w:val="auto"/>
              </w:rPr>
              <w:t>Less excise taxes</w:t>
            </w: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(21,399)</w:t>
            </w:r>
          </w:p>
        </w:tc>
        <w:tc>
          <w:tcPr>
            <w:tcW w:w="100" w:type="dxa"/>
            <w:vAlign w:val="bottom"/>
          </w:tcPr>
          <w:p>
            <w:pPr>
              <w:spacing w:after="0"/>
              <w:rPr>
                <w:sz w:val="22"/>
                <w:szCs w:val="22"/>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(31)%</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(22,097)</w:t>
            </w:r>
          </w:p>
        </w:tc>
        <w:tc>
          <w:tcPr>
            <w:tcW w:w="100" w:type="dxa"/>
            <w:vAlign w:val="bottom"/>
          </w:tcPr>
          <w:p>
            <w:pPr>
              <w:spacing w:after="0"/>
              <w:rPr>
                <w:sz w:val="22"/>
                <w:szCs w:val="22"/>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(31)%</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(81,608)</w:t>
            </w:r>
          </w:p>
        </w:tc>
        <w:tc>
          <w:tcPr>
            <w:tcW w:w="100" w:type="dxa"/>
            <w:vAlign w:val="bottom"/>
          </w:tcPr>
          <w:p>
            <w:pPr>
              <w:spacing w:after="0"/>
              <w:rPr>
                <w:sz w:val="22"/>
                <w:szCs w:val="22"/>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(33)%</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(97,894)</w:t>
            </w:r>
          </w:p>
        </w:tc>
        <w:tc>
          <w:tcPr>
            <w:tcW w:w="100" w:type="dxa"/>
            <w:vAlign w:val="bottom"/>
          </w:tcPr>
          <w:p>
            <w:pPr>
              <w:spacing w:after="0"/>
              <w:rPr>
                <w:sz w:val="22"/>
                <w:szCs w:val="22"/>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(36)%</w:t>
            </w:r>
          </w:p>
        </w:tc>
        <w:tc>
          <w:tcPr>
            <w:tcW w:w="0" w:type="dxa"/>
            <w:vAlign w:val="bottom"/>
          </w:tcPr>
          <w:p>
            <w:pPr>
              <w:spacing w:after="0"/>
              <w:rPr>
                <w:sz w:val="1"/>
                <w:szCs w:val="1"/>
                <w:color w:val="auto"/>
              </w:rPr>
            </w:pPr>
          </w:p>
        </w:tc>
      </w:tr>
      <w:tr>
        <w:trPr>
          <w:trHeight w:val="249"/>
        </w:trPr>
        <w:tc>
          <w:tcPr>
            <w:tcW w:w="2680" w:type="dxa"/>
            <w:vAlign w:val="bottom"/>
          </w:tcPr>
          <w:p>
            <w:pPr>
              <w:spacing w:after="0"/>
              <w:rPr>
                <w:sz w:val="20"/>
                <w:szCs w:val="20"/>
                <w:color w:val="auto"/>
              </w:rPr>
            </w:pPr>
            <w:r>
              <w:rPr>
                <w:rFonts w:ascii="Times New Roman" w:cs="Times New Roman" w:eastAsia="Times New Roman" w:hAnsi="Times New Roman"/>
                <w:sz w:val="20"/>
                <w:szCs w:val="20"/>
                <w:color w:val="auto"/>
              </w:rPr>
              <w:t>Total</w:t>
            </w: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67,826</w:t>
            </w:r>
          </w:p>
        </w:tc>
        <w:tc>
          <w:tcPr>
            <w:tcW w:w="100" w:type="dxa"/>
            <w:vAlign w:val="bottom"/>
          </w:tcPr>
          <w:p>
            <w:pPr>
              <w:spacing w:after="0"/>
              <w:rPr>
                <w:sz w:val="21"/>
                <w:szCs w:val="21"/>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100%</w:t>
            </w:r>
          </w:p>
        </w:tc>
        <w:tc>
          <w:tcPr>
            <w:tcW w:w="100" w:type="dxa"/>
            <w:vAlign w:val="bottom"/>
          </w:tcPr>
          <w:p>
            <w:pPr>
              <w:spacing w:after="0"/>
              <w:rPr>
                <w:sz w:val="21"/>
                <w:szCs w:val="21"/>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71,919</w:t>
            </w:r>
          </w:p>
        </w:tc>
        <w:tc>
          <w:tcPr>
            <w:tcW w:w="100" w:type="dxa"/>
            <w:vAlign w:val="bottom"/>
          </w:tcPr>
          <w:p>
            <w:pPr>
              <w:spacing w:after="0"/>
              <w:rPr>
                <w:sz w:val="21"/>
                <w:szCs w:val="21"/>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100%</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249,001</w:t>
            </w:r>
          </w:p>
        </w:tc>
        <w:tc>
          <w:tcPr>
            <w:tcW w:w="100" w:type="dxa"/>
            <w:vAlign w:val="bottom"/>
          </w:tcPr>
          <w:p>
            <w:pPr>
              <w:spacing w:after="0"/>
              <w:rPr>
                <w:sz w:val="21"/>
                <w:szCs w:val="21"/>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100%</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272,798</w:t>
            </w:r>
          </w:p>
        </w:tc>
        <w:tc>
          <w:tcPr>
            <w:tcW w:w="100" w:type="dxa"/>
            <w:vAlign w:val="bottom"/>
          </w:tcPr>
          <w:p>
            <w:pPr>
              <w:spacing w:after="0"/>
              <w:rPr>
                <w:sz w:val="21"/>
                <w:szCs w:val="21"/>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100%</w:t>
            </w: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6080" w:type="dxa"/>
            <w:vAlign w:val="bottom"/>
            <w:gridSpan w:val="9"/>
          </w:tcPr>
          <w:p>
            <w:pPr>
              <w:spacing w:after="0"/>
              <w:rPr>
                <w:sz w:val="20"/>
                <w:szCs w:val="20"/>
                <w:color w:val="auto"/>
              </w:rPr>
            </w:pPr>
            <w:r>
              <w:rPr>
                <w:rFonts w:ascii="Times New Roman" w:cs="Times New Roman" w:eastAsia="Times New Roman" w:hAnsi="Times New Roman"/>
                <w:sz w:val="20"/>
                <w:szCs w:val="20"/>
                <w:b w:val="1"/>
                <w:bCs w:val="1"/>
                <w:color w:val="auto"/>
              </w:rPr>
              <w:t>Net Cannabis Revenue by Market Channel in Constant Currency</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2680" w:type="dxa"/>
            <w:vAlign w:val="bottom"/>
          </w:tcPr>
          <w:p>
            <w:pPr>
              <w:spacing w:after="0"/>
              <w:rPr>
                <w:sz w:val="19"/>
                <w:szCs w:val="19"/>
                <w:color w:val="auto"/>
              </w:rPr>
            </w:pPr>
          </w:p>
        </w:tc>
        <w:tc>
          <w:tcPr>
            <w:tcW w:w="1260" w:type="dxa"/>
            <w:vAlign w:val="bottom"/>
            <w:gridSpan w:val="3"/>
          </w:tcPr>
          <w:p>
            <w:pPr>
              <w:ind w:left="20"/>
              <w:spacing w:after="0" w:line="228" w:lineRule="exact"/>
              <w:rPr>
                <w:sz w:val="20"/>
                <w:szCs w:val="20"/>
                <w:color w:val="auto"/>
              </w:rPr>
            </w:pPr>
            <w:r>
              <w:rPr>
                <w:rFonts w:ascii="Times New Roman" w:cs="Times New Roman" w:eastAsia="Times New Roman" w:hAnsi="Times New Roman"/>
                <w:sz w:val="20"/>
                <w:szCs w:val="20"/>
                <w:b w:val="1"/>
                <w:bCs w:val="1"/>
                <w:color w:val="auto"/>
              </w:rPr>
              <w:t>For the three</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3"/>
          </w:tcPr>
          <w:p>
            <w:pPr>
              <w:ind w:left="20"/>
              <w:spacing w:after="0" w:line="228" w:lineRule="exact"/>
              <w:rPr>
                <w:sz w:val="20"/>
                <w:szCs w:val="20"/>
                <w:color w:val="auto"/>
              </w:rPr>
            </w:pPr>
            <w:r>
              <w:rPr>
                <w:rFonts w:ascii="Times New Roman" w:cs="Times New Roman" w:eastAsia="Times New Roman" w:hAnsi="Times New Roman"/>
                <w:sz w:val="20"/>
                <w:szCs w:val="20"/>
                <w:b w:val="1"/>
                <w:bCs w:val="1"/>
                <w:color w:val="auto"/>
              </w:rPr>
              <w:t>For the three</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For the year</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For the year</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4"/>
        </w:trPr>
        <w:tc>
          <w:tcPr>
            <w:tcW w:w="2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gridSpan w:val="2"/>
            <w:vMerge w:val="restart"/>
          </w:tcPr>
          <w:p>
            <w:pPr>
              <w:jc w:val="center"/>
              <w:ind w:right="260"/>
              <w:spacing w:after="0" w:line="228" w:lineRule="exact"/>
              <w:rPr>
                <w:sz w:val="20"/>
                <w:szCs w:val="20"/>
                <w:color w:val="auto"/>
              </w:rPr>
            </w:pPr>
            <w:r>
              <w:rPr>
                <w:rFonts w:ascii="Times New Roman" w:cs="Times New Roman" w:eastAsia="Times New Roman" w:hAnsi="Times New Roman"/>
                <w:sz w:val="20"/>
                <w:szCs w:val="20"/>
                <w:b w:val="1"/>
                <w:bCs w:val="1"/>
                <w:color w:val="auto"/>
              </w:rPr>
              <w:t>months</w:t>
            </w: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gridSpan w:val="2"/>
            <w:vMerge w:val="restart"/>
          </w:tcPr>
          <w:p>
            <w:pPr>
              <w:jc w:val="center"/>
              <w:ind w:right="260"/>
              <w:spacing w:after="0" w:line="228" w:lineRule="exact"/>
              <w:rPr>
                <w:sz w:val="20"/>
                <w:szCs w:val="20"/>
                <w:color w:val="auto"/>
              </w:rPr>
            </w:pPr>
            <w:r>
              <w:rPr>
                <w:rFonts w:ascii="Times New Roman" w:cs="Times New Roman" w:eastAsia="Times New Roman" w:hAnsi="Times New Roman"/>
                <w:sz w:val="20"/>
                <w:szCs w:val="20"/>
                <w:b w:val="1"/>
                <w:bCs w:val="1"/>
                <w:color w:val="auto"/>
              </w:rPr>
              <w:t>months</w:t>
            </w: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20"/>
                <w:szCs w:val="20"/>
                <w:b w:val="1"/>
                <w:bCs w:val="1"/>
                <w:color w:val="auto"/>
              </w:rPr>
              <w:t>ended</w:t>
            </w: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20"/>
                <w:szCs w:val="20"/>
                <w:b w:val="1"/>
                <w:bCs w:val="1"/>
                <w:color w:val="auto"/>
              </w:rPr>
              <w:t>ended</w:t>
            </w: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2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20"/>
                <w:szCs w:val="20"/>
                <w:b w:val="1"/>
                <w:bCs w:val="1"/>
                <w:color w:val="auto"/>
              </w:rPr>
              <w:t>ended</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20"/>
                <w:szCs w:val="20"/>
                <w:b w:val="1"/>
                <w:bCs w:val="1"/>
                <w:color w:val="auto"/>
              </w:rPr>
              <w:t>ended</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0"/>
        </w:trPr>
        <w:tc>
          <w:tcPr>
            <w:tcW w:w="2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2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center"/>
              <w:ind w:right="240"/>
              <w:spacing w:after="0" w:line="228" w:lineRule="exact"/>
              <w:rPr>
                <w:sz w:val="20"/>
                <w:szCs w:val="20"/>
                <w:color w:val="auto"/>
              </w:rPr>
            </w:pPr>
            <w:r>
              <w:rPr>
                <w:rFonts w:ascii="Times New Roman" w:cs="Times New Roman" w:eastAsia="Times New Roman" w:hAnsi="Times New Roman"/>
                <w:sz w:val="20"/>
                <w:szCs w:val="20"/>
                <w:b w:val="1"/>
                <w:bCs w:val="1"/>
                <w:color w:val="auto"/>
              </w:rPr>
              <w:t>May 31,</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center"/>
              <w:ind w:right="240"/>
              <w:spacing w:after="0" w:line="228" w:lineRule="exact"/>
              <w:rPr>
                <w:sz w:val="20"/>
                <w:szCs w:val="20"/>
                <w:color w:val="auto"/>
              </w:rPr>
            </w:pPr>
            <w:r>
              <w:rPr>
                <w:rFonts w:ascii="Times New Roman" w:cs="Times New Roman" w:eastAsia="Times New Roman" w:hAnsi="Times New Roman"/>
                <w:sz w:val="20"/>
                <w:szCs w:val="20"/>
                <w:b w:val="1"/>
                <w:bCs w:val="1"/>
                <w:color w:val="auto"/>
              </w:rPr>
              <w:t>May 31,</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center"/>
              <w:ind w:right="280"/>
              <w:spacing w:after="0" w:line="228" w:lineRule="exact"/>
              <w:rPr>
                <w:sz w:val="20"/>
                <w:szCs w:val="20"/>
                <w:color w:val="auto"/>
              </w:rPr>
            </w:pPr>
            <w:r>
              <w:rPr>
                <w:rFonts w:ascii="Times New Roman" w:cs="Times New Roman" w:eastAsia="Times New Roman" w:hAnsi="Times New Roman"/>
                <w:sz w:val="20"/>
                <w:szCs w:val="20"/>
                <w:b w:val="1"/>
                <w:bCs w:val="1"/>
                <w:color w:val="auto"/>
              </w:rPr>
              <w:t>May 31,</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center"/>
              <w:ind w:right="260"/>
              <w:spacing w:after="0" w:line="228" w:lineRule="exact"/>
              <w:rPr>
                <w:sz w:val="20"/>
                <w:szCs w:val="20"/>
                <w:color w:val="auto"/>
              </w:rPr>
            </w:pPr>
            <w:r>
              <w:rPr>
                <w:rFonts w:ascii="Times New Roman" w:cs="Times New Roman" w:eastAsia="Times New Roman" w:hAnsi="Times New Roman"/>
                <w:sz w:val="20"/>
                <w:szCs w:val="20"/>
                <w:b w:val="1"/>
                <w:bCs w:val="1"/>
                <w:color w:val="auto"/>
              </w:rPr>
              <w:t>May 31,</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2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center"/>
              <w:ind w:right="59"/>
              <w:spacing w:after="0"/>
              <w:rPr>
                <w:sz w:val="20"/>
                <w:szCs w:val="20"/>
                <w:color w:val="auto"/>
              </w:rPr>
            </w:pPr>
            <w:r>
              <w:rPr>
                <w:rFonts w:ascii="Times New Roman" w:cs="Times New Roman" w:eastAsia="Times New Roman" w:hAnsi="Times New Roman"/>
                <w:sz w:val="20"/>
                <w:szCs w:val="20"/>
                <w:b w:val="1"/>
                <w:bCs w:val="1"/>
                <w:color w:val="auto"/>
                <w:w w:val="99"/>
              </w:rPr>
              <w:t>2025</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center"/>
              <w:ind w:right="59"/>
              <w:spacing w:after="0"/>
              <w:rPr>
                <w:sz w:val="20"/>
                <w:szCs w:val="20"/>
                <w:color w:val="auto"/>
              </w:rPr>
            </w:pPr>
            <w:r>
              <w:rPr>
                <w:rFonts w:ascii="Times New Roman" w:cs="Times New Roman" w:eastAsia="Times New Roman" w:hAnsi="Times New Roman"/>
                <w:sz w:val="20"/>
                <w:szCs w:val="20"/>
                <w:b w:val="1"/>
                <w:bCs w:val="1"/>
                <w:color w:val="auto"/>
                <w:w w:val="99"/>
              </w:rPr>
              <w:t>2024</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center"/>
              <w:ind w:right="59"/>
              <w:spacing w:after="0"/>
              <w:rPr>
                <w:sz w:val="20"/>
                <w:szCs w:val="20"/>
                <w:color w:val="auto"/>
              </w:rPr>
            </w:pPr>
            <w:r>
              <w:rPr>
                <w:rFonts w:ascii="Times New Roman" w:cs="Times New Roman" w:eastAsia="Times New Roman" w:hAnsi="Times New Roman"/>
                <w:sz w:val="20"/>
                <w:szCs w:val="20"/>
                <w:b w:val="1"/>
                <w:bCs w:val="1"/>
                <w:color w:val="auto"/>
                <w:w w:val="99"/>
              </w:rPr>
              <w:t>2025</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center"/>
              <w:ind w:right="39"/>
              <w:spacing w:after="0"/>
              <w:rPr>
                <w:sz w:val="20"/>
                <w:szCs w:val="20"/>
                <w:color w:val="auto"/>
              </w:rPr>
            </w:pPr>
            <w:r>
              <w:rPr>
                <w:rFonts w:ascii="Times New Roman" w:cs="Times New Roman" w:eastAsia="Times New Roman" w:hAnsi="Times New Roman"/>
                <w:sz w:val="20"/>
                <w:szCs w:val="20"/>
                <w:b w:val="1"/>
                <w:bCs w:val="1"/>
                <w:color w:val="auto"/>
                <w:w w:val="99"/>
              </w:rPr>
              <w:t>2024</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680" w:type="dxa"/>
            <w:vAlign w:val="bottom"/>
          </w:tcPr>
          <w:p>
            <w:pPr>
              <w:spacing w:after="0"/>
              <w:rPr>
                <w:sz w:val="19"/>
                <w:szCs w:val="19"/>
                <w:color w:val="auto"/>
              </w:rPr>
            </w:pPr>
          </w:p>
        </w:tc>
        <w:tc>
          <w:tcPr>
            <w:tcW w:w="1260" w:type="dxa"/>
            <w:vAlign w:val="bottom"/>
            <w:gridSpan w:val="3"/>
          </w:tcPr>
          <w:p>
            <w:pPr>
              <w:jc w:val="center"/>
              <w:ind w:right="80"/>
              <w:spacing w:after="0" w:line="228" w:lineRule="exact"/>
              <w:rPr>
                <w:sz w:val="20"/>
                <w:szCs w:val="20"/>
                <w:color w:val="auto"/>
              </w:rPr>
            </w:pPr>
            <w:r>
              <w:rPr>
                <w:rFonts w:ascii="Times New Roman" w:cs="Times New Roman" w:eastAsia="Times New Roman" w:hAnsi="Times New Roman"/>
                <w:sz w:val="20"/>
                <w:szCs w:val="20"/>
                <w:b w:val="1"/>
                <w:bCs w:val="1"/>
                <w:color w:val="auto"/>
              </w:rPr>
              <w:t>as reported</w:t>
            </w:r>
          </w:p>
        </w:tc>
        <w:tc>
          <w:tcPr>
            <w:tcW w:w="880" w:type="dxa"/>
            <w:vAlign w:val="bottom"/>
            <w:gridSpan w:val="2"/>
          </w:tcPr>
          <w:p>
            <w:pPr>
              <w:jc w:val="center"/>
              <w:ind w:right="100"/>
              <w:spacing w:after="0" w:line="228" w:lineRule="exact"/>
              <w:rPr>
                <w:sz w:val="20"/>
                <w:szCs w:val="20"/>
                <w:color w:val="auto"/>
              </w:rPr>
            </w:pPr>
            <w:r>
              <w:rPr>
                <w:rFonts w:ascii="Times New Roman" w:cs="Times New Roman" w:eastAsia="Times New Roman" w:hAnsi="Times New Roman"/>
                <w:sz w:val="20"/>
                <w:szCs w:val="20"/>
                <w:b w:val="1"/>
                <w:bCs w:val="1"/>
                <w:color w:val="auto"/>
              </w:rPr>
              <w:t>% of</w:t>
            </w:r>
          </w:p>
        </w:tc>
        <w:tc>
          <w:tcPr>
            <w:tcW w:w="1260" w:type="dxa"/>
            <w:vAlign w:val="bottom"/>
            <w:gridSpan w:val="3"/>
          </w:tcPr>
          <w:p>
            <w:pPr>
              <w:jc w:val="center"/>
              <w:ind w:right="80"/>
              <w:spacing w:after="0" w:line="228" w:lineRule="exact"/>
              <w:rPr>
                <w:sz w:val="20"/>
                <w:szCs w:val="20"/>
                <w:color w:val="auto"/>
              </w:rPr>
            </w:pPr>
            <w:r>
              <w:rPr>
                <w:rFonts w:ascii="Times New Roman" w:cs="Times New Roman" w:eastAsia="Times New Roman" w:hAnsi="Times New Roman"/>
                <w:sz w:val="20"/>
                <w:szCs w:val="20"/>
                <w:b w:val="1"/>
                <w:bCs w:val="1"/>
                <w:color w:val="auto"/>
              </w:rPr>
              <w:t>as reported</w:t>
            </w:r>
          </w:p>
        </w:tc>
        <w:tc>
          <w:tcPr>
            <w:tcW w:w="880" w:type="dxa"/>
            <w:vAlign w:val="bottom"/>
            <w:gridSpan w:val="2"/>
          </w:tcPr>
          <w:p>
            <w:pPr>
              <w:jc w:val="center"/>
              <w:ind w:right="100"/>
              <w:spacing w:after="0" w:line="228" w:lineRule="exact"/>
              <w:rPr>
                <w:sz w:val="20"/>
                <w:szCs w:val="20"/>
                <w:color w:val="auto"/>
              </w:rPr>
            </w:pPr>
            <w:r>
              <w:rPr>
                <w:rFonts w:ascii="Times New Roman" w:cs="Times New Roman" w:eastAsia="Times New Roman" w:hAnsi="Times New Roman"/>
                <w:sz w:val="20"/>
                <w:szCs w:val="20"/>
                <w:b w:val="1"/>
                <w:bCs w:val="1"/>
                <w:color w:val="auto"/>
              </w:rPr>
              <w:t>% of</w:t>
            </w:r>
          </w:p>
        </w:tc>
        <w:tc>
          <w:tcPr>
            <w:tcW w:w="1260" w:type="dxa"/>
            <w:vAlign w:val="bottom"/>
            <w:gridSpan w:val="3"/>
          </w:tcPr>
          <w:p>
            <w:pPr>
              <w:jc w:val="center"/>
              <w:ind w:right="120"/>
              <w:spacing w:after="0" w:line="228" w:lineRule="exact"/>
              <w:rPr>
                <w:sz w:val="20"/>
                <w:szCs w:val="20"/>
                <w:color w:val="auto"/>
              </w:rPr>
            </w:pPr>
            <w:r>
              <w:rPr>
                <w:rFonts w:ascii="Times New Roman" w:cs="Times New Roman" w:eastAsia="Times New Roman" w:hAnsi="Times New Roman"/>
                <w:sz w:val="20"/>
                <w:szCs w:val="20"/>
                <w:b w:val="1"/>
                <w:bCs w:val="1"/>
                <w:color w:val="auto"/>
              </w:rPr>
              <w:t>as reported</w:t>
            </w:r>
          </w:p>
        </w:tc>
        <w:tc>
          <w:tcPr>
            <w:tcW w:w="880" w:type="dxa"/>
            <w:vAlign w:val="bottom"/>
            <w:gridSpan w:val="2"/>
          </w:tcPr>
          <w:p>
            <w:pPr>
              <w:jc w:val="center"/>
              <w:ind w:right="100"/>
              <w:spacing w:after="0" w:line="228" w:lineRule="exact"/>
              <w:rPr>
                <w:sz w:val="20"/>
                <w:szCs w:val="20"/>
                <w:color w:val="auto"/>
              </w:rPr>
            </w:pPr>
            <w:r>
              <w:rPr>
                <w:rFonts w:ascii="Times New Roman" w:cs="Times New Roman" w:eastAsia="Times New Roman" w:hAnsi="Times New Roman"/>
                <w:sz w:val="20"/>
                <w:szCs w:val="20"/>
                <w:b w:val="1"/>
                <w:bCs w:val="1"/>
                <w:color w:val="auto"/>
              </w:rPr>
              <w:t>% of</w:t>
            </w:r>
          </w:p>
        </w:tc>
        <w:tc>
          <w:tcPr>
            <w:tcW w:w="1260" w:type="dxa"/>
            <w:vAlign w:val="bottom"/>
            <w:gridSpan w:val="3"/>
          </w:tcPr>
          <w:p>
            <w:pPr>
              <w:jc w:val="center"/>
              <w:ind w:right="120"/>
              <w:spacing w:after="0" w:line="228" w:lineRule="exact"/>
              <w:rPr>
                <w:sz w:val="20"/>
                <w:szCs w:val="20"/>
                <w:color w:val="auto"/>
              </w:rPr>
            </w:pPr>
            <w:r>
              <w:rPr>
                <w:rFonts w:ascii="Times New Roman" w:cs="Times New Roman" w:eastAsia="Times New Roman" w:hAnsi="Times New Roman"/>
                <w:sz w:val="20"/>
                <w:szCs w:val="20"/>
                <w:b w:val="1"/>
                <w:bCs w:val="1"/>
                <w:color w:val="auto"/>
              </w:rPr>
              <w:t>as reported</w:t>
            </w:r>
          </w:p>
        </w:tc>
        <w:tc>
          <w:tcPr>
            <w:tcW w:w="760" w:type="dxa"/>
            <w:vAlign w:val="bottom"/>
          </w:tcPr>
          <w:p>
            <w:pPr>
              <w:jc w:val="center"/>
              <w:spacing w:after="0" w:line="228" w:lineRule="exact"/>
              <w:rPr>
                <w:sz w:val="20"/>
                <w:szCs w:val="20"/>
                <w:color w:val="auto"/>
              </w:rPr>
            </w:pPr>
            <w:r>
              <w:rPr>
                <w:rFonts w:ascii="Times New Roman" w:cs="Times New Roman" w:eastAsia="Times New Roman" w:hAnsi="Times New Roman"/>
                <w:sz w:val="20"/>
                <w:szCs w:val="20"/>
                <w:b w:val="1"/>
                <w:bCs w:val="1"/>
                <w:color w:val="auto"/>
              </w:rPr>
              <w:t>% of</w:t>
            </w:r>
          </w:p>
        </w:tc>
        <w:tc>
          <w:tcPr>
            <w:tcW w:w="0" w:type="dxa"/>
            <w:vAlign w:val="bottom"/>
          </w:tcPr>
          <w:p>
            <w:pPr>
              <w:spacing w:after="0"/>
              <w:rPr>
                <w:sz w:val="1"/>
                <w:szCs w:val="1"/>
                <w:color w:val="auto"/>
              </w:rPr>
            </w:pPr>
          </w:p>
        </w:tc>
      </w:tr>
      <w:tr>
        <w:trPr>
          <w:trHeight w:val="227"/>
        </w:trPr>
        <w:tc>
          <w:tcPr>
            <w:tcW w:w="2680" w:type="dxa"/>
            <w:vAlign w:val="bottom"/>
          </w:tcPr>
          <w:p>
            <w:pPr>
              <w:spacing w:after="0" w:line="228" w:lineRule="exact"/>
              <w:rPr>
                <w:sz w:val="20"/>
                <w:szCs w:val="20"/>
                <w:color w:val="auto"/>
              </w:rPr>
            </w:pPr>
            <w:r>
              <w:rPr>
                <w:rFonts w:ascii="Times New Roman" w:cs="Times New Roman" w:eastAsia="Times New Roman" w:hAnsi="Times New Roman"/>
                <w:sz w:val="20"/>
                <w:szCs w:val="20"/>
                <w:b w:val="1"/>
                <w:bCs w:val="1"/>
                <w:color w:val="auto"/>
              </w:rPr>
              <w:t>(In thousands of U.S. dollars)</w:t>
            </w:r>
          </w:p>
        </w:tc>
        <w:tc>
          <w:tcPr>
            <w:tcW w:w="1260" w:type="dxa"/>
            <w:vAlign w:val="bottom"/>
            <w:gridSpan w:val="3"/>
          </w:tcPr>
          <w:p>
            <w:pPr>
              <w:jc w:val="center"/>
              <w:ind w:right="80"/>
              <w:spacing w:after="0" w:line="228" w:lineRule="exact"/>
              <w:rPr>
                <w:sz w:val="20"/>
                <w:szCs w:val="20"/>
                <w:color w:val="auto"/>
              </w:rPr>
            </w:pPr>
            <w:r>
              <w:rPr>
                <w:rFonts w:ascii="Times New Roman" w:cs="Times New Roman" w:eastAsia="Times New Roman" w:hAnsi="Times New Roman"/>
                <w:sz w:val="20"/>
                <w:szCs w:val="20"/>
                <w:b w:val="1"/>
                <w:bCs w:val="1"/>
                <w:color w:val="auto"/>
              </w:rPr>
              <w:t>in constant</w:t>
            </w:r>
          </w:p>
        </w:tc>
        <w:tc>
          <w:tcPr>
            <w:tcW w:w="880" w:type="dxa"/>
            <w:vAlign w:val="bottom"/>
            <w:gridSpan w:val="2"/>
          </w:tcPr>
          <w:p>
            <w:pPr>
              <w:jc w:val="center"/>
              <w:ind w:right="80"/>
              <w:spacing w:after="0" w:line="228" w:lineRule="exact"/>
              <w:rPr>
                <w:sz w:val="20"/>
                <w:szCs w:val="20"/>
                <w:color w:val="auto"/>
              </w:rPr>
            </w:pPr>
            <w:r>
              <w:rPr>
                <w:rFonts w:ascii="Times New Roman" w:cs="Times New Roman" w:eastAsia="Times New Roman" w:hAnsi="Times New Roman"/>
                <w:sz w:val="20"/>
                <w:szCs w:val="20"/>
                <w:b w:val="1"/>
                <w:bCs w:val="1"/>
                <w:color w:val="auto"/>
                <w:w w:val="96"/>
              </w:rPr>
              <w:t>Total</w:t>
            </w:r>
          </w:p>
        </w:tc>
        <w:tc>
          <w:tcPr>
            <w:tcW w:w="1260" w:type="dxa"/>
            <w:vAlign w:val="bottom"/>
            <w:gridSpan w:val="3"/>
          </w:tcPr>
          <w:p>
            <w:pPr>
              <w:jc w:val="center"/>
              <w:ind w:right="100"/>
              <w:spacing w:after="0" w:line="228" w:lineRule="exact"/>
              <w:rPr>
                <w:sz w:val="20"/>
                <w:szCs w:val="20"/>
                <w:color w:val="auto"/>
              </w:rPr>
            </w:pPr>
            <w:r>
              <w:rPr>
                <w:rFonts w:ascii="Times New Roman" w:cs="Times New Roman" w:eastAsia="Times New Roman" w:hAnsi="Times New Roman"/>
                <w:sz w:val="20"/>
                <w:szCs w:val="20"/>
                <w:b w:val="1"/>
                <w:bCs w:val="1"/>
                <w:color w:val="auto"/>
              </w:rPr>
              <w:t>in constant</w:t>
            </w:r>
          </w:p>
        </w:tc>
        <w:tc>
          <w:tcPr>
            <w:tcW w:w="880" w:type="dxa"/>
            <w:vAlign w:val="bottom"/>
            <w:gridSpan w:val="2"/>
          </w:tcPr>
          <w:p>
            <w:pPr>
              <w:jc w:val="center"/>
              <w:ind w:right="100"/>
              <w:spacing w:after="0" w:line="228" w:lineRule="exact"/>
              <w:rPr>
                <w:sz w:val="20"/>
                <w:szCs w:val="20"/>
                <w:color w:val="auto"/>
              </w:rPr>
            </w:pPr>
            <w:r>
              <w:rPr>
                <w:rFonts w:ascii="Times New Roman" w:cs="Times New Roman" w:eastAsia="Times New Roman" w:hAnsi="Times New Roman"/>
                <w:sz w:val="20"/>
                <w:szCs w:val="20"/>
                <w:b w:val="1"/>
                <w:bCs w:val="1"/>
                <w:color w:val="auto"/>
              </w:rPr>
              <w:t>Total</w:t>
            </w:r>
          </w:p>
        </w:tc>
        <w:tc>
          <w:tcPr>
            <w:tcW w:w="1260" w:type="dxa"/>
            <w:vAlign w:val="bottom"/>
            <w:gridSpan w:val="3"/>
          </w:tcPr>
          <w:p>
            <w:pPr>
              <w:jc w:val="center"/>
              <w:ind w:right="100"/>
              <w:spacing w:after="0" w:line="228" w:lineRule="exact"/>
              <w:rPr>
                <w:sz w:val="20"/>
                <w:szCs w:val="20"/>
                <w:color w:val="auto"/>
              </w:rPr>
            </w:pPr>
            <w:r>
              <w:rPr>
                <w:rFonts w:ascii="Times New Roman" w:cs="Times New Roman" w:eastAsia="Times New Roman" w:hAnsi="Times New Roman"/>
                <w:sz w:val="20"/>
                <w:szCs w:val="20"/>
                <w:b w:val="1"/>
                <w:bCs w:val="1"/>
                <w:color w:val="auto"/>
              </w:rPr>
              <w:t>in constant</w:t>
            </w:r>
          </w:p>
        </w:tc>
        <w:tc>
          <w:tcPr>
            <w:tcW w:w="880" w:type="dxa"/>
            <w:vAlign w:val="bottom"/>
            <w:gridSpan w:val="2"/>
          </w:tcPr>
          <w:p>
            <w:pPr>
              <w:jc w:val="center"/>
              <w:ind w:right="120"/>
              <w:spacing w:after="0" w:line="228" w:lineRule="exact"/>
              <w:rPr>
                <w:sz w:val="20"/>
                <w:szCs w:val="20"/>
                <w:color w:val="auto"/>
              </w:rPr>
            </w:pPr>
            <w:r>
              <w:rPr>
                <w:rFonts w:ascii="Times New Roman" w:cs="Times New Roman" w:eastAsia="Times New Roman" w:hAnsi="Times New Roman"/>
                <w:sz w:val="20"/>
                <w:szCs w:val="20"/>
                <w:b w:val="1"/>
                <w:bCs w:val="1"/>
                <w:color w:val="auto"/>
                <w:w w:val="96"/>
              </w:rPr>
              <w:t>Total</w:t>
            </w:r>
          </w:p>
        </w:tc>
        <w:tc>
          <w:tcPr>
            <w:tcW w:w="1260" w:type="dxa"/>
            <w:vAlign w:val="bottom"/>
            <w:gridSpan w:val="3"/>
          </w:tcPr>
          <w:p>
            <w:pPr>
              <w:jc w:val="center"/>
              <w:ind w:right="120"/>
              <w:spacing w:after="0" w:line="228" w:lineRule="exact"/>
              <w:rPr>
                <w:sz w:val="20"/>
                <w:szCs w:val="20"/>
                <w:color w:val="auto"/>
              </w:rPr>
            </w:pPr>
            <w:r>
              <w:rPr>
                <w:rFonts w:ascii="Times New Roman" w:cs="Times New Roman" w:eastAsia="Times New Roman" w:hAnsi="Times New Roman"/>
                <w:sz w:val="20"/>
                <w:szCs w:val="20"/>
                <w:b w:val="1"/>
                <w:bCs w:val="1"/>
                <w:color w:val="auto"/>
              </w:rPr>
              <w:t>in constant</w:t>
            </w:r>
          </w:p>
        </w:tc>
        <w:tc>
          <w:tcPr>
            <w:tcW w:w="760" w:type="dxa"/>
            <w:vAlign w:val="bottom"/>
          </w:tcPr>
          <w:p>
            <w:pPr>
              <w:jc w:val="center"/>
              <w:spacing w:after="0" w:line="228" w:lineRule="exact"/>
              <w:rPr>
                <w:sz w:val="20"/>
                <w:szCs w:val="20"/>
                <w:color w:val="auto"/>
              </w:rPr>
            </w:pPr>
            <w:r>
              <w:rPr>
                <w:rFonts w:ascii="Times New Roman" w:cs="Times New Roman" w:eastAsia="Times New Roman" w:hAnsi="Times New Roman"/>
                <w:sz w:val="20"/>
                <w:szCs w:val="20"/>
                <w:b w:val="1"/>
                <w:bCs w:val="1"/>
                <w:color w:val="auto"/>
                <w:w w:val="96"/>
              </w:rPr>
              <w:t>Total</w:t>
            </w:r>
          </w:p>
        </w:tc>
        <w:tc>
          <w:tcPr>
            <w:tcW w:w="0" w:type="dxa"/>
            <w:vAlign w:val="bottom"/>
          </w:tcPr>
          <w:p>
            <w:pPr>
              <w:spacing w:after="0"/>
              <w:rPr>
                <w:sz w:val="1"/>
                <w:szCs w:val="1"/>
                <w:color w:val="auto"/>
              </w:rPr>
            </w:pPr>
          </w:p>
        </w:tc>
      </w:tr>
      <w:tr>
        <w:trPr>
          <w:trHeight w:val="268"/>
        </w:trPr>
        <w:tc>
          <w:tcPr>
            <w:tcW w:w="26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Revenue from Canadian</w:t>
            </w:r>
          </w:p>
        </w:tc>
        <w:tc>
          <w:tcPr>
            <w:tcW w:w="160" w:type="dxa"/>
            <w:vAlign w:val="bottom"/>
          </w:tcPr>
          <w:p>
            <w:pPr>
              <w:spacing w:after="0"/>
              <w:rPr>
                <w:sz w:val="23"/>
                <w:szCs w:val="23"/>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20"/>
                <w:szCs w:val="20"/>
                <w:b w:val="1"/>
                <w:bCs w:val="1"/>
                <w:color w:val="auto"/>
              </w:rPr>
              <w:t>currency</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Revenue</w:t>
            </w:r>
          </w:p>
        </w:tc>
        <w:tc>
          <w:tcPr>
            <w:tcW w:w="160" w:type="dxa"/>
            <w:vAlign w:val="bottom"/>
          </w:tcPr>
          <w:p>
            <w:pPr>
              <w:spacing w:after="0"/>
              <w:rPr>
                <w:sz w:val="23"/>
                <w:szCs w:val="23"/>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20"/>
                <w:szCs w:val="20"/>
                <w:b w:val="1"/>
                <w:bCs w:val="1"/>
                <w:color w:val="auto"/>
                <w:w w:val="99"/>
              </w:rPr>
              <w:t>currency</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Revenue</w:t>
            </w:r>
          </w:p>
        </w:tc>
        <w:tc>
          <w:tcPr>
            <w:tcW w:w="160" w:type="dxa"/>
            <w:vAlign w:val="bottom"/>
          </w:tcPr>
          <w:p>
            <w:pPr>
              <w:spacing w:after="0"/>
              <w:rPr>
                <w:sz w:val="23"/>
                <w:szCs w:val="23"/>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20"/>
                <w:szCs w:val="20"/>
                <w:b w:val="1"/>
                <w:bCs w:val="1"/>
                <w:color w:val="auto"/>
                <w:w w:val="99"/>
              </w:rPr>
              <w:t>currency</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Revenue</w:t>
            </w:r>
          </w:p>
        </w:tc>
        <w:tc>
          <w:tcPr>
            <w:tcW w:w="140" w:type="dxa"/>
            <w:vAlign w:val="bottom"/>
          </w:tcPr>
          <w:p>
            <w:pPr>
              <w:spacing w:after="0"/>
              <w:rPr>
                <w:sz w:val="23"/>
                <w:szCs w:val="23"/>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20"/>
                <w:szCs w:val="20"/>
                <w:b w:val="1"/>
                <w:bCs w:val="1"/>
                <w:color w:val="auto"/>
              </w:rPr>
              <w:t>currency</w:t>
            </w: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Revenue</w:t>
            </w:r>
          </w:p>
        </w:tc>
        <w:tc>
          <w:tcPr>
            <w:tcW w:w="0" w:type="dxa"/>
            <w:vAlign w:val="bottom"/>
          </w:tcPr>
          <w:p>
            <w:pPr>
              <w:spacing w:after="0"/>
              <w:rPr>
                <w:sz w:val="1"/>
                <w:szCs w:val="1"/>
                <w:color w:val="auto"/>
              </w:rPr>
            </w:pPr>
          </w:p>
        </w:tc>
      </w:tr>
      <w:tr>
        <w:trPr>
          <w:trHeight w:val="196"/>
        </w:trPr>
        <w:tc>
          <w:tcPr>
            <w:tcW w:w="2680" w:type="dxa"/>
            <w:vAlign w:val="bottom"/>
            <w:vMerge w:val="continue"/>
          </w:tcPr>
          <w:p>
            <w:pPr>
              <w:spacing w:after="0"/>
              <w:rPr>
                <w:sz w:val="17"/>
                <w:szCs w:val="17"/>
                <w:color w:val="auto"/>
              </w:rPr>
            </w:pPr>
          </w:p>
        </w:tc>
        <w:tc>
          <w:tcPr>
            <w:tcW w:w="16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20"/>
                <w:szCs w:val="20"/>
                <w:color w:val="auto"/>
              </w:rPr>
              <w:t>6,399</w:t>
            </w:r>
          </w:p>
        </w:tc>
        <w:tc>
          <w:tcPr>
            <w:tcW w:w="100" w:type="dxa"/>
            <w:vAlign w:val="bottom"/>
          </w:tcPr>
          <w:p>
            <w:pPr>
              <w:spacing w:after="0"/>
              <w:rPr>
                <w:sz w:val="17"/>
                <w:szCs w:val="17"/>
                <w:color w:val="auto"/>
              </w:rPr>
            </w:pPr>
          </w:p>
        </w:tc>
        <w:tc>
          <w:tcPr>
            <w:tcW w:w="78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rPr>
              <w:t>9%</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20"/>
                <w:szCs w:val="20"/>
                <w:color w:val="auto"/>
              </w:rPr>
              <w:t>6,418</w:t>
            </w:r>
          </w:p>
        </w:tc>
        <w:tc>
          <w:tcPr>
            <w:tcW w:w="100" w:type="dxa"/>
            <w:vAlign w:val="bottom"/>
          </w:tcPr>
          <w:p>
            <w:pPr>
              <w:spacing w:after="0"/>
              <w:rPr>
                <w:sz w:val="17"/>
                <w:szCs w:val="17"/>
                <w:color w:val="auto"/>
              </w:rPr>
            </w:pPr>
          </w:p>
        </w:tc>
        <w:tc>
          <w:tcPr>
            <w:tcW w:w="78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rPr>
              <w:t>9%</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20"/>
                <w:szCs w:val="20"/>
                <w:color w:val="auto"/>
              </w:rPr>
              <w:t>25,797</w:t>
            </w:r>
          </w:p>
        </w:tc>
        <w:tc>
          <w:tcPr>
            <w:tcW w:w="100" w:type="dxa"/>
            <w:vAlign w:val="bottom"/>
          </w:tcPr>
          <w:p>
            <w:pPr>
              <w:spacing w:after="0"/>
              <w:rPr>
                <w:sz w:val="17"/>
                <w:szCs w:val="17"/>
                <w:color w:val="auto"/>
              </w:rPr>
            </w:pPr>
          </w:p>
        </w:tc>
        <w:tc>
          <w:tcPr>
            <w:tcW w:w="78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rPr>
              <w:t>10%</w:t>
            </w:r>
          </w:p>
        </w:tc>
        <w:tc>
          <w:tcPr>
            <w:tcW w:w="10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20"/>
                <w:szCs w:val="20"/>
                <w:color w:val="auto"/>
              </w:rPr>
              <w:t>25,211</w:t>
            </w:r>
          </w:p>
        </w:tc>
        <w:tc>
          <w:tcPr>
            <w:tcW w:w="100" w:type="dxa"/>
            <w:vAlign w:val="bottom"/>
          </w:tcPr>
          <w:p>
            <w:pPr>
              <w:spacing w:after="0"/>
              <w:rPr>
                <w:sz w:val="17"/>
                <w:szCs w:val="17"/>
                <w:color w:val="auto"/>
              </w:rPr>
            </w:pPr>
          </w:p>
        </w:tc>
        <w:tc>
          <w:tcPr>
            <w:tcW w:w="76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7"/>
              </w:rPr>
              <w:t>9%</w:t>
            </w:r>
          </w:p>
        </w:tc>
        <w:tc>
          <w:tcPr>
            <w:tcW w:w="0" w:type="dxa"/>
            <w:vAlign w:val="bottom"/>
          </w:tcPr>
          <w:p>
            <w:pPr>
              <w:spacing w:after="0"/>
              <w:rPr>
                <w:sz w:val="1"/>
                <w:szCs w:val="1"/>
                <w:color w:val="auto"/>
              </w:rPr>
            </w:pPr>
          </w:p>
        </w:tc>
      </w:tr>
      <w:tr>
        <w:trPr>
          <w:trHeight w:val="148"/>
        </w:trPr>
        <w:tc>
          <w:tcPr>
            <w:tcW w:w="26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medical cannabis</w:t>
            </w:r>
          </w:p>
        </w:tc>
        <w:tc>
          <w:tcPr>
            <w:tcW w:w="16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26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7"/>
        </w:trPr>
        <w:tc>
          <w:tcPr>
            <w:tcW w:w="268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Revenue from Canadian adult-</w:t>
            </w:r>
          </w:p>
        </w:tc>
        <w:tc>
          <w:tcPr>
            <w:tcW w:w="160" w:type="dxa"/>
            <w:vAlign w:val="bottom"/>
          </w:tcPr>
          <w:p>
            <w:pPr>
              <w:spacing w:after="0"/>
              <w:rPr>
                <w:sz w:val="19"/>
                <w:szCs w:val="19"/>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59,986</w:t>
            </w:r>
          </w:p>
        </w:tc>
        <w:tc>
          <w:tcPr>
            <w:tcW w:w="100" w:type="dxa"/>
            <w:vAlign w:val="bottom"/>
          </w:tcPr>
          <w:p>
            <w:pPr>
              <w:spacing w:after="0"/>
              <w:rPr>
                <w:sz w:val="19"/>
                <w:szCs w:val="19"/>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88%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61,496</w:t>
            </w:r>
          </w:p>
        </w:tc>
        <w:tc>
          <w:tcPr>
            <w:tcW w:w="100" w:type="dxa"/>
            <w:vAlign w:val="bottom"/>
          </w:tcPr>
          <w:p>
            <w:pPr>
              <w:spacing w:after="0"/>
              <w:rPr>
                <w:sz w:val="19"/>
                <w:szCs w:val="19"/>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86%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230,953</w:t>
            </w:r>
          </w:p>
        </w:tc>
        <w:tc>
          <w:tcPr>
            <w:tcW w:w="100" w:type="dxa"/>
            <w:vAlign w:val="bottom"/>
          </w:tcPr>
          <w:p>
            <w:pPr>
              <w:spacing w:after="0"/>
              <w:rPr>
                <w:sz w:val="19"/>
                <w:szCs w:val="19"/>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91%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266,846</w:t>
            </w:r>
          </w:p>
        </w:tc>
        <w:tc>
          <w:tcPr>
            <w:tcW w:w="100" w:type="dxa"/>
            <w:vAlign w:val="bottom"/>
          </w:tcPr>
          <w:p>
            <w:pPr>
              <w:spacing w:after="0"/>
              <w:rPr>
                <w:sz w:val="19"/>
                <w:szCs w:val="19"/>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98%</w:t>
            </w:r>
          </w:p>
        </w:tc>
        <w:tc>
          <w:tcPr>
            <w:tcW w:w="0" w:type="dxa"/>
            <w:vAlign w:val="bottom"/>
          </w:tcPr>
          <w:p>
            <w:pPr>
              <w:spacing w:after="0"/>
              <w:rPr>
                <w:sz w:val="1"/>
                <w:szCs w:val="1"/>
                <w:color w:val="auto"/>
              </w:rPr>
            </w:pPr>
          </w:p>
        </w:tc>
      </w:tr>
      <w:tr>
        <w:trPr>
          <w:trHeight w:val="148"/>
        </w:trPr>
        <w:tc>
          <w:tcPr>
            <w:tcW w:w="26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use cannabis</w:t>
            </w:r>
          </w:p>
        </w:tc>
        <w:tc>
          <w:tcPr>
            <w:tcW w:w="16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26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7"/>
        </w:trPr>
        <w:tc>
          <w:tcPr>
            <w:tcW w:w="268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Revenue from wholesale</w:t>
            </w:r>
          </w:p>
        </w:tc>
        <w:tc>
          <w:tcPr>
            <w:tcW w:w="160" w:type="dxa"/>
            <w:vAlign w:val="bottom"/>
          </w:tcPr>
          <w:p>
            <w:pPr>
              <w:spacing w:after="0"/>
              <w:rPr>
                <w:sz w:val="19"/>
                <w:szCs w:val="19"/>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2,254</w:t>
            </w:r>
          </w:p>
        </w:tc>
        <w:tc>
          <w:tcPr>
            <w:tcW w:w="100" w:type="dxa"/>
            <w:vAlign w:val="bottom"/>
          </w:tcPr>
          <w:p>
            <w:pPr>
              <w:spacing w:after="0"/>
              <w:rPr>
                <w:sz w:val="19"/>
                <w:szCs w:val="19"/>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12,992</w:t>
            </w:r>
          </w:p>
        </w:tc>
        <w:tc>
          <w:tcPr>
            <w:tcW w:w="100" w:type="dxa"/>
            <w:vAlign w:val="bottom"/>
          </w:tcPr>
          <w:p>
            <w:pPr>
              <w:spacing w:after="0"/>
              <w:rPr>
                <w:sz w:val="19"/>
                <w:szCs w:val="19"/>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18,779</w:t>
            </w:r>
          </w:p>
        </w:tc>
        <w:tc>
          <w:tcPr>
            <w:tcW w:w="100" w:type="dxa"/>
            <w:vAlign w:val="bottom"/>
          </w:tcPr>
          <w:p>
            <w:pPr>
              <w:spacing w:after="0"/>
              <w:rPr>
                <w:sz w:val="19"/>
                <w:szCs w:val="19"/>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7"/>
              </w:rPr>
              <w:t>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25,340</w:t>
            </w:r>
          </w:p>
        </w:tc>
        <w:tc>
          <w:tcPr>
            <w:tcW w:w="100" w:type="dxa"/>
            <w:vAlign w:val="bottom"/>
          </w:tcPr>
          <w:p>
            <w:pPr>
              <w:spacing w:after="0"/>
              <w:rPr>
                <w:sz w:val="19"/>
                <w:szCs w:val="19"/>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7"/>
              </w:rPr>
              <w:t>9%</w:t>
            </w:r>
          </w:p>
        </w:tc>
        <w:tc>
          <w:tcPr>
            <w:tcW w:w="0" w:type="dxa"/>
            <w:vAlign w:val="bottom"/>
          </w:tcPr>
          <w:p>
            <w:pPr>
              <w:spacing w:after="0"/>
              <w:rPr>
                <w:sz w:val="1"/>
                <w:szCs w:val="1"/>
                <w:color w:val="auto"/>
              </w:rPr>
            </w:pPr>
          </w:p>
        </w:tc>
      </w:tr>
      <w:tr>
        <w:trPr>
          <w:trHeight w:val="148"/>
        </w:trPr>
        <w:tc>
          <w:tcPr>
            <w:tcW w:w="26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cannabis</w:t>
            </w:r>
          </w:p>
        </w:tc>
        <w:tc>
          <w:tcPr>
            <w:tcW w:w="16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26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7"/>
        </w:trPr>
        <w:tc>
          <w:tcPr>
            <w:tcW w:w="268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Revenue from international</w:t>
            </w:r>
          </w:p>
        </w:tc>
        <w:tc>
          <w:tcPr>
            <w:tcW w:w="160" w:type="dxa"/>
            <w:vAlign w:val="bottom"/>
          </w:tcPr>
          <w:p>
            <w:pPr>
              <w:spacing w:after="0"/>
              <w:rPr>
                <w:sz w:val="19"/>
                <w:szCs w:val="19"/>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21,800</w:t>
            </w:r>
          </w:p>
        </w:tc>
        <w:tc>
          <w:tcPr>
            <w:tcW w:w="100" w:type="dxa"/>
            <w:vAlign w:val="bottom"/>
          </w:tcPr>
          <w:p>
            <w:pPr>
              <w:spacing w:after="0"/>
              <w:rPr>
                <w:sz w:val="19"/>
                <w:szCs w:val="19"/>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32%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13,110</w:t>
            </w:r>
          </w:p>
        </w:tc>
        <w:tc>
          <w:tcPr>
            <w:tcW w:w="100" w:type="dxa"/>
            <w:vAlign w:val="bottom"/>
          </w:tcPr>
          <w:p>
            <w:pPr>
              <w:spacing w:after="0"/>
              <w:rPr>
                <w:sz w:val="19"/>
                <w:szCs w:val="19"/>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63,211</w:t>
            </w:r>
          </w:p>
        </w:tc>
        <w:tc>
          <w:tcPr>
            <w:tcW w:w="100" w:type="dxa"/>
            <w:vAlign w:val="bottom"/>
          </w:tcPr>
          <w:p>
            <w:pPr>
              <w:spacing w:after="0"/>
              <w:rPr>
                <w:sz w:val="19"/>
                <w:szCs w:val="19"/>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53,295</w:t>
            </w:r>
          </w:p>
        </w:tc>
        <w:tc>
          <w:tcPr>
            <w:tcW w:w="100" w:type="dxa"/>
            <w:vAlign w:val="bottom"/>
          </w:tcPr>
          <w:p>
            <w:pPr>
              <w:spacing w:after="0"/>
              <w:rPr>
                <w:sz w:val="19"/>
                <w:szCs w:val="19"/>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20%</w:t>
            </w:r>
          </w:p>
        </w:tc>
        <w:tc>
          <w:tcPr>
            <w:tcW w:w="0" w:type="dxa"/>
            <w:vAlign w:val="bottom"/>
          </w:tcPr>
          <w:p>
            <w:pPr>
              <w:spacing w:after="0"/>
              <w:rPr>
                <w:sz w:val="1"/>
                <w:szCs w:val="1"/>
                <w:color w:val="auto"/>
              </w:rPr>
            </w:pPr>
          </w:p>
        </w:tc>
      </w:tr>
      <w:tr>
        <w:trPr>
          <w:trHeight w:val="148"/>
        </w:trPr>
        <w:tc>
          <w:tcPr>
            <w:tcW w:w="26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cannabis</w:t>
            </w:r>
          </w:p>
        </w:tc>
        <w:tc>
          <w:tcPr>
            <w:tcW w:w="16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26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2"/>
        </w:trPr>
        <w:tc>
          <w:tcPr>
            <w:tcW w:w="2680" w:type="dxa"/>
            <w:vAlign w:val="bottom"/>
          </w:tcPr>
          <w:p>
            <w:pPr>
              <w:spacing w:after="0"/>
              <w:rPr>
                <w:sz w:val="20"/>
                <w:szCs w:val="20"/>
                <w:color w:val="auto"/>
              </w:rPr>
            </w:pPr>
            <w:r>
              <w:rPr>
                <w:rFonts w:ascii="Times New Roman" w:cs="Times New Roman" w:eastAsia="Times New Roman" w:hAnsi="Times New Roman"/>
                <w:sz w:val="20"/>
                <w:szCs w:val="20"/>
                <w:color w:val="auto"/>
              </w:rPr>
              <w:t>Less excise taxes</w:t>
            </w: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(21,975)</w:t>
            </w:r>
          </w:p>
        </w:tc>
        <w:tc>
          <w:tcPr>
            <w:tcW w:w="100" w:type="dxa"/>
            <w:vAlign w:val="bottom"/>
          </w:tcPr>
          <w:p>
            <w:pPr>
              <w:spacing w:after="0"/>
              <w:rPr>
                <w:sz w:val="22"/>
                <w:szCs w:val="22"/>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(32)%</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(22,097)</w:t>
            </w:r>
          </w:p>
        </w:tc>
        <w:tc>
          <w:tcPr>
            <w:tcW w:w="100" w:type="dxa"/>
            <w:vAlign w:val="bottom"/>
          </w:tcPr>
          <w:p>
            <w:pPr>
              <w:spacing w:after="0"/>
              <w:rPr>
                <w:sz w:val="22"/>
                <w:szCs w:val="22"/>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(31)%</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(84,156)</w:t>
            </w:r>
          </w:p>
        </w:tc>
        <w:tc>
          <w:tcPr>
            <w:tcW w:w="100" w:type="dxa"/>
            <w:vAlign w:val="bottom"/>
          </w:tcPr>
          <w:p>
            <w:pPr>
              <w:spacing w:after="0"/>
              <w:rPr>
                <w:sz w:val="22"/>
                <w:szCs w:val="22"/>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(33)%</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(97,894)</w:t>
            </w:r>
          </w:p>
        </w:tc>
        <w:tc>
          <w:tcPr>
            <w:tcW w:w="100" w:type="dxa"/>
            <w:vAlign w:val="bottom"/>
          </w:tcPr>
          <w:p>
            <w:pPr>
              <w:spacing w:after="0"/>
              <w:rPr>
                <w:sz w:val="22"/>
                <w:szCs w:val="22"/>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(36)%</w:t>
            </w:r>
          </w:p>
        </w:tc>
        <w:tc>
          <w:tcPr>
            <w:tcW w:w="0" w:type="dxa"/>
            <w:vAlign w:val="bottom"/>
          </w:tcPr>
          <w:p>
            <w:pPr>
              <w:spacing w:after="0"/>
              <w:rPr>
                <w:sz w:val="1"/>
                <w:szCs w:val="1"/>
                <w:color w:val="auto"/>
              </w:rPr>
            </w:pPr>
          </w:p>
        </w:tc>
      </w:tr>
      <w:tr>
        <w:trPr>
          <w:trHeight w:val="249"/>
        </w:trPr>
        <w:tc>
          <w:tcPr>
            <w:tcW w:w="2680" w:type="dxa"/>
            <w:vAlign w:val="bottom"/>
          </w:tcPr>
          <w:p>
            <w:pPr>
              <w:spacing w:after="0"/>
              <w:rPr>
                <w:sz w:val="20"/>
                <w:szCs w:val="20"/>
                <w:color w:val="auto"/>
              </w:rPr>
            </w:pPr>
            <w:r>
              <w:rPr>
                <w:rFonts w:ascii="Times New Roman" w:cs="Times New Roman" w:eastAsia="Times New Roman" w:hAnsi="Times New Roman"/>
                <w:sz w:val="20"/>
                <w:szCs w:val="20"/>
                <w:color w:val="auto"/>
              </w:rPr>
              <w:t>Total</w:t>
            </w: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68,464</w:t>
            </w:r>
          </w:p>
        </w:tc>
        <w:tc>
          <w:tcPr>
            <w:tcW w:w="100" w:type="dxa"/>
            <w:vAlign w:val="bottom"/>
          </w:tcPr>
          <w:p>
            <w:pPr>
              <w:spacing w:after="0"/>
              <w:rPr>
                <w:sz w:val="21"/>
                <w:szCs w:val="21"/>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100%</w:t>
            </w:r>
          </w:p>
        </w:tc>
        <w:tc>
          <w:tcPr>
            <w:tcW w:w="100" w:type="dxa"/>
            <w:vAlign w:val="bottom"/>
          </w:tcPr>
          <w:p>
            <w:pPr>
              <w:spacing w:after="0"/>
              <w:rPr>
                <w:sz w:val="21"/>
                <w:szCs w:val="21"/>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71,919</w:t>
            </w:r>
          </w:p>
        </w:tc>
        <w:tc>
          <w:tcPr>
            <w:tcW w:w="100" w:type="dxa"/>
            <w:vAlign w:val="bottom"/>
          </w:tcPr>
          <w:p>
            <w:pPr>
              <w:spacing w:after="0"/>
              <w:rPr>
                <w:sz w:val="21"/>
                <w:szCs w:val="21"/>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100%</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254,584</w:t>
            </w:r>
          </w:p>
        </w:tc>
        <w:tc>
          <w:tcPr>
            <w:tcW w:w="100" w:type="dxa"/>
            <w:vAlign w:val="bottom"/>
          </w:tcPr>
          <w:p>
            <w:pPr>
              <w:spacing w:after="0"/>
              <w:rPr>
                <w:sz w:val="21"/>
                <w:szCs w:val="21"/>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100%</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272,798</w:t>
            </w:r>
          </w:p>
        </w:tc>
        <w:tc>
          <w:tcPr>
            <w:tcW w:w="100" w:type="dxa"/>
            <w:vAlign w:val="bottom"/>
          </w:tcPr>
          <w:p>
            <w:pPr>
              <w:spacing w:after="0"/>
              <w:rPr>
                <w:sz w:val="21"/>
                <w:szCs w:val="21"/>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100%</w:t>
            </w: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020" w:type="dxa"/>
            <w:vAlign w:val="bottom"/>
            <w:gridSpan w:val="7"/>
          </w:tcPr>
          <w:p>
            <w:pPr>
              <w:spacing w:after="0"/>
              <w:rPr>
                <w:sz w:val="20"/>
                <w:szCs w:val="20"/>
                <w:color w:val="auto"/>
              </w:rPr>
            </w:pPr>
            <w:r>
              <w:rPr>
                <w:rFonts w:ascii="Times New Roman" w:cs="Times New Roman" w:eastAsia="Times New Roman" w:hAnsi="Times New Roman"/>
                <w:sz w:val="20"/>
                <w:szCs w:val="20"/>
                <w:b w:val="1"/>
                <w:bCs w:val="1"/>
                <w:color w:val="auto"/>
              </w:rPr>
              <w:t>Other Financial Information: Gross Margin and Adjusted Gross Margin</w:t>
            </w: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53"/>
        </w:trPr>
        <w:tc>
          <w:tcPr>
            <w:tcW w:w="4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20" w:type="dxa"/>
            <w:vAlign w:val="bottom"/>
            <w:gridSpan w:val="8"/>
          </w:tcPr>
          <w:p>
            <w:pPr>
              <w:ind w:left="80"/>
              <w:spacing w:after="0"/>
              <w:rPr>
                <w:sz w:val="20"/>
                <w:szCs w:val="20"/>
                <w:color w:val="auto"/>
              </w:rPr>
            </w:pPr>
            <w:r>
              <w:rPr>
                <w:rFonts w:ascii="Times New Roman" w:cs="Times New Roman" w:eastAsia="Times New Roman" w:hAnsi="Times New Roman"/>
                <w:sz w:val="20"/>
                <w:szCs w:val="20"/>
                <w:b w:val="1"/>
                <w:bCs w:val="1"/>
                <w:color w:val="auto"/>
              </w:rPr>
              <w:t>For the three months ended May 31, 2025</w:t>
            </w: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66"/>
        </w:trPr>
        <w:tc>
          <w:tcPr>
            <w:tcW w:w="42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(In thousands of U.S. dollars)</w:t>
            </w:r>
          </w:p>
        </w:tc>
        <w:tc>
          <w:tcPr>
            <w:tcW w:w="180" w:type="dxa"/>
            <w:vAlign w:val="bottom"/>
          </w:tcPr>
          <w:p>
            <w:pPr>
              <w:spacing w:after="0"/>
              <w:rPr>
                <w:sz w:val="23"/>
                <w:szCs w:val="23"/>
                <w:color w:val="auto"/>
              </w:rPr>
            </w:pP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Beverage</w:t>
            </w:r>
          </w:p>
        </w:tc>
        <w:tc>
          <w:tcPr>
            <w:tcW w:w="180" w:type="dxa"/>
            <w:vAlign w:val="bottom"/>
          </w:tcPr>
          <w:p>
            <w:pPr>
              <w:spacing w:after="0"/>
              <w:rPr>
                <w:sz w:val="23"/>
                <w:szCs w:val="23"/>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20"/>
                <w:szCs w:val="20"/>
                <w:b w:val="1"/>
                <w:bCs w:val="1"/>
                <w:color w:val="auto"/>
              </w:rPr>
              <w:t>Cannabis</w:t>
            </w:r>
          </w:p>
        </w:tc>
        <w:tc>
          <w:tcPr>
            <w:tcW w:w="120" w:type="dxa"/>
            <w:vAlign w:val="bottom"/>
          </w:tcPr>
          <w:p>
            <w:pPr>
              <w:spacing w:after="0"/>
              <w:rPr>
                <w:sz w:val="23"/>
                <w:szCs w:val="23"/>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Distribution</w:t>
            </w:r>
          </w:p>
        </w:tc>
        <w:tc>
          <w:tcPr>
            <w:tcW w:w="180" w:type="dxa"/>
            <w:vAlign w:val="bottom"/>
          </w:tcPr>
          <w:p>
            <w:pPr>
              <w:spacing w:after="0"/>
              <w:rPr>
                <w:sz w:val="23"/>
                <w:szCs w:val="23"/>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Wellness</w:t>
            </w:r>
          </w:p>
        </w:tc>
        <w:tc>
          <w:tcPr>
            <w:tcW w:w="280" w:type="dxa"/>
            <w:vAlign w:val="bottom"/>
          </w:tcPr>
          <w:p>
            <w:pPr>
              <w:spacing w:after="0"/>
              <w:rPr>
                <w:sz w:val="23"/>
                <w:szCs w:val="23"/>
                <w:color w:val="auto"/>
              </w:rPr>
            </w:pPr>
          </w:p>
        </w:tc>
        <w:tc>
          <w:tcPr>
            <w:tcW w:w="1020" w:type="dxa"/>
            <w:vAlign w:val="bottom"/>
          </w:tcPr>
          <w:p>
            <w:pPr>
              <w:jc w:val="right"/>
              <w:ind w:right="319"/>
              <w:spacing w:after="0"/>
              <w:rPr>
                <w:sz w:val="20"/>
                <w:szCs w:val="20"/>
                <w:color w:val="auto"/>
              </w:rPr>
            </w:pPr>
            <w:r>
              <w:rPr>
                <w:rFonts w:ascii="Times New Roman" w:cs="Times New Roman" w:eastAsia="Times New Roman" w:hAnsi="Times New Roman"/>
                <w:sz w:val="20"/>
                <w:szCs w:val="20"/>
                <w:b w:val="1"/>
                <w:bCs w:val="1"/>
                <w:color w:val="auto"/>
              </w:rPr>
              <w:t>Total</w:t>
            </w:r>
          </w:p>
        </w:tc>
      </w:tr>
      <w:tr>
        <w:trPr>
          <w:trHeight w:val="236"/>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Net revenue</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2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20"/>
                <w:szCs w:val="20"/>
                <w:color w:val="auto"/>
              </w:rPr>
              <w:t>65,621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2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20"/>
                <w:szCs w:val="20"/>
                <w:color w:val="auto"/>
              </w:rPr>
              <w:t>67,826</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20"/>
                <w:szCs w:val="20"/>
                <w:color w:val="auto"/>
              </w:rPr>
              <w:t>74,053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20"/>
                <w:szCs w:val="20"/>
                <w:color w:val="auto"/>
              </w:rPr>
              <w:t>17,035</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20"/>
                <w:szCs w:val="20"/>
                <w:color w:val="auto"/>
                <w:w w:val="99"/>
              </w:rPr>
              <w:t>$</w:t>
            </w:r>
          </w:p>
        </w:tc>
        <w:tc>
          <w:tcPr>
            <w:tcW w:w="102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20"/>
                <w:szCs w:val="20"/>
                <w:color w:val="auto"/>
              </w:rPr>
              <w:t>224,535</w:t>
            </w:r>
          </w:p>
        </w:tc>
      </w:tr>
      <w:tr>
        <w:trPr>
          <w:trHeight w:val="262"/>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Cost of goods sold</w:t>
            </w: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20"/>
                <w:szCs w:val="20"/>
                <w:color w:val="auto"/>
              </w:rPr>
              <w:t>40,630</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20"/>
                <w:szCs w:val="20"/>
                <w:color w:val="auto"/>
              </w:rPr>
              <w:t>38,201</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20"/>
                <w:szCs w:val="20"/>
                <w:color w:val="auto"/>
              </w:rPr>
              <w:t>66,615</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20"/>
                <w:szCs w:val="20"/>
                <w:color w:val="auto"/>
              </w:rPr>
              <w:t>11,456</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20"/>
                <w:szCs w:val="20"/>
                <w:color w:val="auto"/>
              </w:rPr>
              <w:t>156,902</w:t>
            </w:r>
          </w:p>
        </w:tc>
      </w:tr>
      <w:tr>
        <w:trPr>
          <w:trHeight w:val="249"/>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Gross profit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20"/>
                <w:szCs w:val="20"/>
                <w:color w:val="auto"/>
              </w:rPr>
              <w:t>24,991</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20"/>
                <w:szCs w:val="20"/>
                <w:color w:val="auto"/>
              </w:rPr>
              <w:t>29,625</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20"/>
                <w:szCs w:val="20"/>
                <w:color w:val="auto"/>
              </w:rPr>
              <w:t>7,438</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20"/>
                <w:szCs w:val="20"/>
                <w:color w:val="auto"/>
              </w:rPr>
              <w:t>5,579</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20"/>
                <w:szCs w:val="20"/>
                <w:color w:val="auto"/>
                <w:w w:val="99"/>
              </w:rPr>
              <w:t>$</w:t>
            </w:r>
          </w:p>
        </w:tc>
        <w:tc>
          <w:tcPr>
            <w:tcW w:w="10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20"/>
                <w:szCs w:val="20"/>
                <w:color w:val="auto"/>
              </w:rPr>
              <w:t>67,633</w:t>
            </w:r>
          </w:p>
        </w:tc>
      </w:tr>
      <w:tr>
        <w:trPr>
          <w:trHeight w:val="245"/>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Gross margin</w:t>
            </w: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w:t>
            </w:r>
          </w:p>
        </w:tc>
      </w:tr>
      <w:tr>
        <w:trPr>
          <w:trHeight w:val="20"/>
        </w:trPr>
        <w:tc>
          <w:tcPr>
            <w:tcW w:w="4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20" w:type="dxa"/>
            <w:vAlign w:val="bottom"/>
            <w:gridSpan w:val="8"/>
          </w:tcPr>
          <w:p>
            <w:pPr>
              <w:ind w:left="80"/>
              <w:spacing w:after="0"/>
              <w:rPr>
                <w:sz w:val="20"/>
                <w:szCs w:val="20"/>
                <w:color w:val="auto"/>
              </w:rPr>
            </w:pPr>
            <w:r>
              <w:rPr>
                <w:rFonts w:ascii="Times New Roman" w:cs="Times New Roman" w:eastAsia="Times New Roman" w:hAnsi="Times New Roman"/>
                <w:sz w:val="20"/>
                <w:szCs w:val="20"/>
                <w:b w:val="1"/>
                <w:bCs w:val="1"/>
                <w:color w:val="auto"/>
              </w:rPr>
              <w:t>For the three months ended May 31, 2024</w:t>
            </w: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42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(In thousands of U.S. dollars)</w:t>
            </w:r>
          </w:p>
        </w:tc>
        <w:tc>
          <w:tcPr>
            <w:tcW w:w="180" w:type="dxa"/>
            <w:vAlign w:val="bottom"/>
          </w:tcPr>
          <w:p>
            <w:pPr>
              <w:spacing w:after="0"/>
              <w:rPr>
                <w:sz w:val="23"/>
                <w:szCs w:val="23"/>
                <w:color w:val="auto"/>
              </w:rPr>
            </w:pP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Beverage</w:t>
            </w:r>
          </w:p>
        </w:tc>
        <w:tc>
          <w:tcPr>
            <w:tcW w:w="180" w:type="dxa"/>
            <w:vAlign w:val="bottom"/>
          </w:tcPr>
          <w:p>
            <w:pPr>
              <w:spacing w:after="0"/>
              <w:rPr>
                <w:sz w:val="23"/>
                <w:szCs w:val="23"/>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20"/>
                <w:szCs w:val="20"/>
                <w:b w:val="1"/>
                <w:bCs w:val="1"/>
                <w:color w:val="auto"/>
              </w:rPr>
              <w:t>Cannabis</w:t>
            </w:r>
          </w:p>
        </w:tc>
        <w:tc>
          <w:tcPr>
            <w:tcW w:w="120" w:type="dxa"/>
            <w:vAlign w:val="bottom"/>
          </w:tcPr>
          <w:p>
            <w:pPr>
              <w:spacing w:after="0"/>
              <w:rPr>
                <w:sz w:val="23"/>
                <w:szCs w:val="23"/>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Distribution</w:t>
            </w:r>
          </w:p>
        </w:tc>
        <w:tc>
          <w:tcPr>
            <w:tcW w:w="180" w:type="dxa"/>
            <w:vAlign w:val="bottom"/>
          </w:tcPr>
          <w:p>
            <w:pPr>
              <w:spacing w:after="0"/>
              <w:rPr>
                <w:sz w:val="23"/>
                <w:szCs w:val="23"/>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Wellness</w:t>
            </w:r>
          </w:p>
        </w:tc>
        <w:tc>
          <w:tcPr>
            <w:tcW w:w="280" w:type="dxa"/>
            <w:vAlign w:val="bottom"/>
          </w:tcPr>
          <w:p>
            <w:pPr>
              <w:spacing w:after="0"/>
              <w:rPr>
                <w:sz w:val="23"/>
                <w:szCs w:val="23"/>
                <w:color w:val="auto"/>
              </w:rPr>
            </w:pPr>
          </w:p>
        </w:tc>
        <w:tc>
          <w:tcPr>
            <w:tcW w:w="1020" w:type="dxa"/>
            <w:vAlign w:val="bottom"/>
          </w:tcPr>
          <w:p>
            <w:pPr>
              <w:jc w:val="right"/>
              <w:ind w:right="319"/>
              <w:spacing w:after="0"/>
              <w:rPr>
                <w:sz w:val="20"/>
                <w:szCs w:val="20"/>
                <w:color w:val="auto"/>
              </w:rPr>
            </w:pPr>
            <w:r>
              <w:rPr>
                <w:rFonts w:ascii="Times New Roman" w:cs="Times New Roman" w:eastAsia="Times New Roman" w:hAnsi="Times New Roman"/>
                <w:sz w:val="20"/>
                <w:szCs w:val="20"/>
                <w:b w:val="1"/>
                <w:bCs w:val="1"/>
                <w:color w:val="auto"/>
              </w:rPr>
              <w:t>Total</w:t>
            </w:r>
          </w:p>
        </w:tc>
        <w:tc>
          <w:tcPr>
            <w:tcW w:w="0" w:type="dxa"/>
            <w:vAlign w:val="bottom"/>
          </w:tcPr>
          <w:p>
            <w:pPr>
              <w:spacing w:after="0"/>
              <w:rPr>
                <w:sz w:val="1"/>
                <w:szCs w:val="1"/>
                <w:color w:val="auto"/>
              </w:rPr>
            </w:pPr>
          </w:p>
        </w:tc>
      </w:tr>
      <w:tr>
        <w:trPr>
          <w:trHeight w:val="236"/>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Net revenue</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2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20"/>
                <w:szCs w:val="20"/>
                <w:color w:val="auto"/>
              </w:rPr>
              <w:t>76,739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2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20"/>
                <w:szCs w:val="20"/>
                <w:color w:val="auto"/>
              </w:rPr>
              <w:t>71,919</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20"/>
                <w:szCs w:val="20"/>
                <w:color w:val="auto"/>
              </w:rPr>
              <w:t>65,566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20"/>
                <w:szCs w:val="20"/>
                <w:color w:val="auto"/>
              </w:rPr>
              <w:t>15,658</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20"/>
                <w:szCs w:val="20"/>
                <w:color w:val="auto"/>
                <w:w w:val="99"/>
              </w:rPr>
              <w:t>$</w:t>
            </w:r>
          </w:p>
        </w:tc>
        <w:tc>
          <w:tcPr>
            <w:tcW w:w="102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20"/>
                <w:szCs w:val="20"/>
                <w:color w:val="auto"/>
              </w:rPr>
              <w:t>229,882</w:t>
            </w:r>
          </w:p>
        </w:tc>
        <w:tc>
          <w:tcPr>
            <w:tcW w:w="0" w:type="dxa"/>
            <w:vAlign w:val="bottom"/>
          </w:tcPr>
          <w:p>
            <w:pPr>
              <w:spacing w:after="0"/>
              <w:rPr>
                <w:sz w:val="1"/>
                <w:szCs w:val="1"/>
                <w:color w:val="auto"/>
              </w:rPr>
            </w:pPr>
          </w:p>
        </w:tc>
      </w:tr>
      <w:tr>
        <w:trPr>
          <w:trHeight w:val="262"/>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Cost of goods sold</w:t>
            </w: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20"/>
                <w:szCs w:val="20"/>
                <w:color w:val="auto"/>
              </w:rPr>
              <w:t>35,907</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20"/>
                <w:szCs w:val="20"/>
                <w:color w:val="auto"/>
              </w:rPr>
              <w:t>43,087</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20"/>
                <w:szCs w:val="20"/>
                <w:color w:val="auto"/>
              </w:rPr>
              <w:t>57,750</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20"/>
                <w:szCs w:val="20"/>
                <w:color w:val="auto"/>
              </w:rPr>
              <w:t>10,788</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20"/>
                <w:szCs w:val="20"/>
                <w:color w:val="auto"/>
              </w:rPr>
              <w:t>147,532</w:t>
            </w:r>
          </w:p>
        </w:tc>
        <w:tc>
          <w:tcPr>
            <w:tcW w:w="0" w:type="dxa"/>
            <w:vAlign w:val="bottom"/>
          </w:tcPr>
          <w:p>
            <w:pPr>
              <w:spacing w:after="0"/>
              <w:rPr>
                <w:sz w:val="1"/>
                <w:szCs w:val="1"/>
                <w:color w:val="auto"/>
              </w:rPr>
            </w:pPr>
          </w:p>
        </w:tc>
      </w:tr>
      <w:tr>
        <w:trPr>
          <w:trHeight w:val="249"/>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Gross profit</w:t>
            </w: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20"/>
                <w:szCs w:val="20"/>
                <w:color w:val="auto"/>
              </w:rPr>
              <w:t>40,832</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20"/>
                <w:szCs w:val="20"/>
                <w:color w:val="auto"/>
              </w:rPr>
              <w:t>28,832</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20"/>
                <w:szCs w:val="20"/>
                <w:color w:val="auto"/>
              </w:rPr>
              <w:t>7,816</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20"/>
                <w:szCs w:val="20"/>
                <w:color w:val="auto"/>
              </w:rPr>
              <w:t>4,870</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20"/>
                <w:szCs w:val="20"/>
                <w:color w:val="auto"/>
              </w:rPr>
              <w:t>82,350</w:t>
            </w:r>
          </w:p>
        </w:tc>
        <w:tc>
          <w:tcPr>
            <w:tcW w:w="0" w:type="dxa"/>
            <w:vAlign w:val="bottom"/>
          </w:tcPr>
          <w:p>
            <w:pPr>
              <w:spacing w:after="0"/>
              <w:rPr>
                <w:sz w:val="1"/>
                <w:szCs w:val="1"/>
                <w:color w:val="auto"/>
              </w:rPr>
            </w:pPr>
          </w:p>
        </w:tc>
      </w:tr>
      <w:tr>
        <w:trPr>
          <w:trHeight w:val="245"/>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Gross margin</w:t>
            </w: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53%</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w:t>
            </w:r>
          </w:p>
        </w:tc>
        <w:tc>
          <w:tcPr>
            <w:tcW w:w="0" w:type="dxa"/>
            <w:vAlign w:val="bottom"/>
          </w:tcPr>
          <w:p>
            <w:pPr>
              <w:spacing w:after="0"/>
              <w:rPr>
                <w:sz w:val="1"/>
                <w:szCs w:val="1"/>
                <w:color w:val="auto"/>
              </w:rPr>
            </w:pPr>
          </w:p>
        </w:tc>
      </w:tr>
      <w:tr>
        <w:trPr>
          <w:trHeight w:val="20"/>
        </w:trPr>
        <w:tc>
          <w:tcPr>
            <w:tcW w:w="42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Adjustments:</w:t>
            </w: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42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Purchase price accounting step-up</w:t>
            </w:r>
          </w:p>
        </w:tc>
        <w:tc>
          <w:tcPr>
            <w:tcW w:w="180" w:type="dxa"/>
            <w:vAlign w:val="bottom"/>
          </w:tcPr>
          <w:p>
            <w:pPr>
              <w:spacing w:after="0"/>
              <w:rPr>
                <w:sz w:val="23"/>
                <w:szCs w:val="23"/>
                <w:color w:val="auto"/>
              </w:rPr>
            </w:pPr>
          </w:p>
        </w:tc>
        <w:tc>
          <w:tcPr>
            <w:tcW w:w="1120" w:type="dxa"/>
            <w:vAlign w:val="bottom"/>
          </w:tcPr>
          <w:p>
            <w:pPr>
              <w:jc w:val="right"/>
              <w:ind w:right="99"/>
              <w:spacing w:after="0"/>
              <w:rPr>
                <w:sz w:val="20"/>
                <w:szCs w:val="20"/>
                <w:color w:val="auto"/>
              </w:rPr>
            </w:pPr>
            <w:r>
              <w:rPr>
                <w:rFonts w:ascii="Times New Roman" w:cs="Times New Roman" w:eastAsia="Times New Roman" w:hAnsi="Times New Roman"/>
                <w:sz w:val="20"/>
                <w:szCs w:val="20"/>
                <w:color w:val="auto"/>
              </w:rPr>
              <w:t>176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3"/>
                <w:szCs w:val="23"/>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3"/>
                <w:szCs w:val="23"/>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23"/>
                <w:szCs w:val="23"/>
                <w:color w:val="auto"/>
              </w:rPr>
            </w:pP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20"/>
                <w:szCs w:val="20"/>
                <w:color w:val="auto"/>
              </w:rPr>
              <w:t>176</w:t>
            </w:r>
          </w:p>
        </w:tc>
        <w:tc>
          <w:tcPr>
            <w:tcW w:w="0" w:type="dxa"/>
            <w:vAlign w:val="bottom"/>
          </w:tcPr>
          <w:p>
            <w:pPr>
              <w:spacing w:after="0"/>
              <w:rPr>
                <w:sz w:val="1"/>
                <w:szCs w:val="1"/>
                <w:color w:val="auto"/>
              </w:rPr>
            </w:pPr>
          </w:p>
        </w:tc>
      </w:tr>
      <w:tr>
        <w:trPr>
          <w:trHeight w:val="236"/>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Adjusted gross profit</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2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20"/>
                <w:szCs w:val="20"/>
                <w:color w:val="auto"/>
              </w:rPr>
              <w:t>41,008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2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20"/>
                <w:szCs w:val="20"/>
                <w:color w:val="auto"/>
              </w:rPr>
              <w:t>28,832</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20"/>
                <w:szCs w:val="20"/>
                <w:color w:val="auto"/>
              </w:rPr>
              <w:t>7,816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20"/>
                <w:szCs w:val="20"/>
                <w:color w:val="auto"/>
              </w:rPr>
              <w:t>4,870</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20"/>
                <w:szCs w:val="20"/>
                <w:color w:val="auto"/>
                <w:w w:val="99"/>
              </w:rPr>
              <w:t>$</w:t>
            </w:r>
          </w:p>
        </w:tc>
        <w:tc>
          <w:tcPr>
            <w:tcW w:w="102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20"/>
                <w:szCs w:val="20"/>
                <w:color w:val="auto"/>
              </w:rPr>
              <w:t>82,526</w:t>
            </w:r>
          </w:p>
        </w:tc>
        <w:tc>
          <w:tcPr>
            <w:tcW w:w="0" w:type="dxa"/>
            <w:vAlign w:val="bottom"/>
          </w:tcPr>
          <w:p>
            <w:pPr>
              <w:spacing w:after="0"/>
              <w:rPr>
                <w:sz w:val="1"/>
                <w:szCs w:val="1"/>
                <w:color w:val="auto"/>
              </w:rPr>
            </w:pPr>
          </w:p>
        </w:tc>
      </w:tr>
      <w:tr>
        <w:trPr>
          <w:trHeight w:val="265"/>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Adjusted gross margin</w:t>
            </w:r>
          </w:p>
        </w:tc>
        <w:tc>
          <w:tcPr>
            <w:tcW w:w="1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53%</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w:t>
            </w:r>
          </w:p>
        </w:tc>
        <w:tc>
          <w:tcPr>
            <w:tcW w:w="1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w:t>
            </w:r>
          </w:p>
        </w:tc>
        <w:tc>
          <w:tcPr>
            <w:tcW w:w="1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40" w:type="dxa"/>
            <w:vAlign w:val="bottom"/>
            <w:gridSpan w:val="8"/>
          </w:tcPr>
          <w:p>
            <w:pPr>
              <w:jc w:val="center"/>
              <w:ind w:right="260"/>
              <w:spacing w:after="0"/>
              <w:rPr>
                <w:sz w:val="20"/>
                <w:szCs w:val="20"/>
                <w:color w:val="auto"/>
              </w:rPr>
            </w:pPr>
            <w:r>
              <w:rPr>
                <w:rFonts w:ascii="Times New Roman" w:cs="Times New Roman" w:eastAsia="Times New Roman" w:hAnsi="Times New Roman"/>
                <w:sz w:val="20"/>
                <w:szCs w:val="20"/>
                <w:b w:val="1"/>
                <w:bCs w:val="1"/>
                <w:color w:val="auto"/>
              </w:rPr>
              <w:t>For the twelve months ended May 31, 2025</w:t>
            </w: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42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(In thousands of U.S. dollars)</w:t>
            </w:r>
          </w:p>
        </w:tc>
        <w:tc>
          <w:tcPr>
            <w:tcW w:w="180" w:type="dxa"/>
            <w:vAlign w:val="bottom"/>
          </w:tcPr>
          <w:p>
            <w:pPr>
              <w:spacing w:after="0"/>
              <w:rPr>
                <w:sz w:val="23"/>
                <w:szCs w:val="23"/>
                <w:color w:val="auto"/>
              </w:rPr>
            </w:pP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Beverage</w:t>
            </w:r>
          </w:p>
        </w:tc>
        <w:tc>
          <w:tcPr>
            <w:tcW w:w="160" w:type="dxa"/>
            <w:vAlign w:val="bottom"/>
          </w:tcPr>
          <w:p>
            <w:pPr>
              <w:spacing w:after="0"/>
              <w:rPr>
                <w:sz w:val="23"/>
                <w:szCs w:val="23"/>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Cannabis</w:t>
            </w:r>
          </w:p>
        </w:tc>
        <w:tc>
          <w:tcPr>
            <w:tcW w:w="120" w:type="dxa"/>
            <w:vAlign w:val="bottom"/>
          </w:tcPr>
          <w:p>
            <w:pPr>
              <w:spacing w:after="0"/>
              <w:rPr>
                <w:sz w:val="23"/>
                <w:szCs w:val="23"/>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20"/>
                <w:szCs w:val="20"/>
                <w:b w:val="1"/>
                <w:bCs w:val="1"/>
                <w:color w:val="auto"/>
              </w:rPr>
              <w:t>Distribution</w:t>
            </w:r>
          </w:p>
        </w:tc>
        <w:tc>
          <w:tcPr>
            <w:tcW w:w="180" w:type="dxa"/>
            <w:vAlign w:val="bottom"/>
          </w:tcPr>
          <w:p>
            <w:pPr>
              <w:spacing w:after="0"/>
              <w:rPr>
                <w:sz w:val="23"/>
                <w:szCs w:val="23"/>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Wellness</w:t>
            </w:r>
          </w:p>
        </w:tc>
        <w:tc>
          <w:tcPr>
            <w:tcW w:w="280" w:type="dxa"/>
            <w:vAlign w:val="bottom"/>
          </w:tcPr>
          <w:p>
            <w:pPr>
              <w:spacing w:after="0"/>
              <w:rPr>
                <w:sz w:val="23"/>
                <w:szCs w:val="23"/>
                <w:color w:val="auto"/>
              </w:rPr>
            </w:pPr>
          </w:p>
        </w:tc>
        <w:tc>
          <w:tcPr>
            <w:tcW w:w="1020" w:type="dxa"/>
            <w:vAlign w:val="bottom"/>
          </w:tcPr>
          <w:p>
            <w:pPr>
              <w:jc w:val="right"/>
              <w:ind w:right="319"/>
              <w:spacing w:after="0"/>
              <w:rPr>
                <w:sz w:val="20"/>
                <w:szCs w:val="20"/>
                <w:color w:val="auto"/>
              </w:rPr>
            </w:pPr>
            <w:r>
              <w:rPr>
                <w:rFonts w:ascii="Times New Roman" w:cs="Times New Roman" w:eastAsia="Times New Roman" w:hAnsi="Times New Roman"/>
                <w:sz w:val="20"/>
                <w:szCs w:val="20"/>
                <w:b w:val="1"/>
                <w:bCs w:val="1"/>
                <w:color w:val="auto"/>
              </w:rPr>
              <w:t>Total</w:t>
            </w:r>
          </w:p>
        </w:tc>
        <w:tc>
          <w:tcPr>
            <w:tcW w:w="0" w:type="dxa"/>
            <w:vAlign w:val="bottom"/>
          </w:tcPr>
          <w:p>
            <w:pPr>
              <w:spacing w:after="0"/>
              <w:rPr>
                <w:sz w:val="1"/>
                <w:szCs w:val="1"/>
                <w:color w:val="auto"/>
              </w:rPr>
            </w:pPr>
          </w:p>
        </w:tc>
      </w:tr>
      <w:tr>
        <w:trPr>
          <w:trHeight w:val="236"/>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Net revenue</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2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20"/>
                <w:szCs w:val="20"/>
                <w:color w:val="auto"/>
              </w:rPr>
              <w:t>240,595</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20"/>
                <w:szCs w:val="20"/>
                <w:color w:val="auto"/>
              </w:rPr>
              <w:t>249,001</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20"/>
                <w:szCs w:val="20"/>
                <w:color w:val="auto"/>
              </w:rPr>
              <w:t>271,228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20"/>
                <w:szCs w:val="20"/>
                <w:color w:val="auto"/>
              </w:rPr>
              <w:t>60,485</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20"/>
                <w:szCs w:val="20"/>
                <w:color w:val="auto"/>
                <w:w w:val="99"/>
              </w:rPr>
              <w:t>$</w:t>
            </w:r>
          </w:p>
        </w:tc>
        <w:tc>
          <w:tcPr>
            <w:tcW w:w="102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20"/>
                <w:szCs w:val="20"/>
                <w:color w:val="auto"/>
              </w:rPr>
              <w:t>821,309</w:t>
            </w:r>
          </w:p>
        </w:tc>
        <w:tc>
          <w:tcPr>
            <w:tcW w:w="0" w:type="dxa"/>
            <w:vAlign w:val="bottom"/>
          </w:tcPr>
          <w:p>
            <w:pPr>
              <w:spacing w:after="0"/>
              <w:rPr>
                <w:sz w:val="1"/>
                <w:szCs w:val="1"/>
                <w:color w:val="auto"/>
              </w:rPr>
            </w:pPr>
          </w:p>
        </w:tc>
      </w:tr>
      <w:tr>
        <w:trPr>
          <w:trHeight w:val="262"/>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Cost of goods sold</w:t>
            </w: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20"/>
                <w:szCs w:val="20"/>
                <w:color w:val="auto"/>
              </w:rPr>
              <w:t>147,591</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20"/>
                <w:szCs w:val="20"/>
                <w:color w:val="auto"/>
              </w:rPr>
              <w:t>150,005</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20"/>
                <w:szCs w:val="20"/>
                <w:color w:val="auto"/>
              </w:rPr>
              <w:t>241,896</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20"/>
                <w:szCs w:val="20"/>
                <w:color w:val="auto"/>
              </w:rPr>
              <w:t>41,247</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20"/>
                <w:szCs w:val="20"/>
                <w:color w:val="auto"/>
              </w:rPr>
              <w:t>580,739</w:t>
            </w:r>
          </w:p>
        </w:tc>
        <w:tc>
          <w:tcPr>
            <w:tcW w:w="0" w:type="dxa"/>
            <w:vAlign w:val="bottom"/>
          </w:tcPr>
          <w:p>
            <w:pPr>
              <w:spacing w:after="0"/>
              <w:rPr>
                <w:sz w:val="1"/>
                <w:szCs w:val="1"/>
                <w:color w:val="auto"/>
              </w:rPr>
            </w:pPr>
          </w:p>
        </w:tc>
      </w:tr>
      <w:tr>
        <w:trPr>
          <w:trHeight w:val="249"/>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Gross profit</w:t>
            </w: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20"/>
                <w:szCs w:val="20"/>
                <w:color w:val="auto"/>
              </w:rPr>
              <w:t>93,004</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20"/>
                <w:szCs w:val="20"/>
                <w:color w:val="auto"/>
              </w:rPr>
              <w:t>98,996</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20"/>
                <w:szCs w:val="20"/>
                <w:color w:val="auto"/>
              </w:rPr>
              <w:t>29,332</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20"/>
                <w:szCs w:val="20"/>
                <w:color w:val="auto"/>
              </w:rPr>
              <w:t>19,238</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20"/>
                <w:szCs w:val="20"/>
                <w:color w:val="auto"/>
              </w:rPr>
              <w:t>240,570</w:t>
            </w:r>
          </w:p>
        </w:tc>
        <w:tc>
          <w:tcPr>
            <w:tcW w:w="0" w:type="dxa"/>
            <w:vAlign w:val="bottom"/>
          </w:tcPr>
          <w:p>
            <w:pPr>
              <w:spacing w:after="0"/>
              <w:rPr>
                <w:sz w:val="1"/>
                <w:szCs w:val="1"/>
                <w:color w:val="auto"/>
              </w:rPr>
            </w:pPr>
          </w:p>
        </w:tc>
      </w:tr>
      <w:tr>
        <w:trPr>
          <w:trHeight w:val="245"/>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Gross margin</w:t>
            </w: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w:t>
            </w:r>
          </w:p>
        </w:tc>
        <w:tc>
          <w:tcPr>
            <w:tcW w:w="0" w:type="dxa"/>
            <w:vAlign w:val="bottom"/>
          </w:tcPr>
          <w:p>
            <w:pPr>
              <w:spacing w:after="0"/>
              <w:rPr>
                <w:sz w:val="1"/>
                <w:szCs w:val="1"/>
                <w:color w:val="auto"/>
              </w:rPr>
            </w:pPr>
          </w:p>
        </w:tc>
      </w:tr>
      <w:tr>
        <w:trPr>
          <w:trHeight w:val="20"/>
        </w:trPr>
        <w:tc>
          <w:tcPr>
            <w:tcW w:w="42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Adjustments:</w:t>
            </w: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42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Purchase price accounting step-up</w:t>
            </w:r>
          </w:p>
        </w:tc>
        <w:tc>
          <w:tcPr>
            <w:tcW w:w="180" w:type="dxa"/>
            <w:vAlign w:val="bottom"/>
          </w:tcPr>
          <w:p>
            <w:pPr>
              <w:spacing w:after="0"/>
              <w:rPr>
                <w:sz w:val="23"/>
                <w:szCs w:val="23"/>
                <w:color w:val="auto"/>
              </w:rPr>
            </w:pPr>
          </w:p>
        </w:tc>
        <w:tc>
          <w:tcPr>
            <w:tcW w:w="1120" w:type="dxa"/>
            <w:vAlign w:val="bottom"/>
          </w:tcPr>
          <w:p>
            <w:pPr>
              <w:jc w:val="right"/>
              <w:ind w:right="99"/>
              <w:spacing w:after="0"/>
              <w:rPr>
                <w:sz w:val="20"/>
                <w:szCs w:val="20"/>
                <w:color w:val="auto"/>
              </w:rPr>
            </w:pPr>
            <w:r>
              <w:rPr>
                <w:rFonts w:ascii="Times New Roman" w:cs="Times New Roman" w:eastAsia="Times New Roman" w:hAnsi="Times New Roman"/>
                <w:sz w:val="20"/>
                <w:szCs w:val="20"/>
                <w:color w:val="auto"/>
              </w:rPr>
              <w:t>1,610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3"/>
                <w:szCs w:val="23"/>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3"/>
                <w:szCs w:val="23"/>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23"/>
                <w:szCs w:val="23"/>
                <w:color w:val="auto"/>
              </w:rPr>
            </w:pP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20"/>
                <w:szCs w:val="20"/>
                <w:color w:val="auto"/>
              </w:rPr>
              <w:t>1,610</w:t>
            </w:r>
          </w:p>
        </w:tc>
        <w:tc>
          <w:tcPr>
            <w:tcW w:w="0" w:type="dxa"/>
            <w:vAlign w:val="bottom"/>
          </w:tcPr>
          <w:p>
            <w:pPr>
              <w:spacing w:after="0"/>
              <w:rPr>
                <w:sz w:val="1"/>
                <w:szCs w:val="1"/>
                <w:color w:val="auto"/>
              </w:rPr>
            </w:pPr>
          </w:p>
        </w:tc>
      </w:tr>
      <w:tr>
        <w:trPr>
          <w:trHeight w:val="236"/>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Adjusted gross profit</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2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20"/>
                <w:szCs w:val="20"/>
                <w:color w:val="auto"/>
              </w:rPr>
              <w:t>94,614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20"/>
                <w:szCs w:val="20"/>
                <w:color w:val="auto"/>
              </w:rPr>
              <w:t>98,996</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20"/>
                <w:szCs w:val="20"/>
                <w:color w:val="auto"/>
              </w:rPr>
              <w:t>29,332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20"/>
                <w:szCs w:val="20"/>
                <w:color w:val="auto"/>
              </w:rPr>
              <w:t>19,238</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20"/>
                <w:szCs w:val="20"/>
                <w:color w:val="auto"/>
                <w:w w:val="99"/>
              </w:rPr>
              <w:t>$</w:t>
            </w:r>
          </w:p>
        </w:tc>
        <w:tc>
          <w:tcPr>
            <w:tcW w:w="102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20"/>
                <w:szCs w:val="20"/>
                <w:color w:val="auto"/>
              </w:rPr>
              <w:t>242,180</w:t>
            </w:r>
          </w:p>
        </w:tc>
        <w:tc>
          <w:tcPr>
            <w:tcW w:w="0" w:type="dxa"/>
            <w:vAlign w:val="bottom"/>
          </w:tcPr>
          <w:p>
            <w:pPr>
              <w:spacing w:after="0"/>
              <w:rPr>
                <w:sz w:val="1"/>
                <w:szCs w:val="1"/>
                <w:color w:val="auto"/>
              </w:rPr>
            </w:pPr>
          </w:p>
        </w:tc>
      </w:tr>
      <w:tr>
        <w:trPr>
          <w:trHeight w:val="265"/>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Adjusted gross margin</w:t>
            </w:r>
          </w:p>
        </w:tc>
        <w:tc>
          <w:tcPr>
            <w:tcW w:w="1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w:t>
            </w:r>
          </w:p>
        </w:tc>
        <w:tc>
          <w:tcPr>
            <w:tcW w:w="10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w:t>
            </w:r>
          </w:p>
        </w:tc>
        <w:tc>
          <w:tcPr>
            <w:tcW w:w="1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w:t>
            </w:r>
          </w:p>
        </w:tc>
        <w:tc>
          <w:tcPr>
            <w:tcW w:w="1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40" w:type="dxa"/>
            <w:vAlign w:val="bottom"/>
            <w:gridSpan w:val="8"/>
          </w:tcPr>
          <w:p>
            <w:pPr>
              <w:jc w:val="center"/>
              <w:ind w:right="260"/>
              <w:spacing w:after="0"/>
              <w:rPr>
                <w:sz w:val="20"/>
                <w:szCs w:val="20"/>
                <w:color w:val="auto"/>
              </w:rPr>
            </w:pPr>
            <w:r>
              <w:rPr>
                <w:rFonts w:ascii="Times New Roman" w:cs="Times New Roman" w:eastAsia="Times New Roman" w:hAnsi="Times New Roman"/>
                <w:sz w:val="20"/>
                <w:szCs w:val="20"/>
                <w:b w:val="1"/>
                <w:bCs w:val="1"/>
                <w:color w:val="auto"/>
              </w:rPr>
              <w:t>For the twelve months ended May 31, 2024</w:t>
            </w: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66"/>
        </w:trPr>
        <w:tc>
          <w:tcPr>
            <w:tcW w:w="42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(In thousands of U.S. dollars)</w:t>
            </w:r>
          </w:p>
        </w:tc>
        <w:tc>
          <w:tcPr>
            <w:tcW w:w="180" w:type="dxa"/>
            <w:vAlign w:val="bottom"/>
          </w:tcPr>
          <w:p>
            <w:pPr>
              <w:spacing w:after="0"/>
              <w:rPr>
                <w:sz w:val="23"/>
                <w:szCs w:val="23"/>
                <w:color w:val="auto"/>
              </w:rPr>
            </w:pP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Beverage</w:t>
            </w:r>
          </w:p>
        </w:tc>
        <w:tc>
          <w:tcPr>
            <w:tcW w:w="160" w:type="dxa"/>
            <w:vAlign w:val="bottom"/>
          </w:tcPr>
          <w:p>
            <w:pPr>
              <w:spacing w:after="0"/>
              <w:rPr>
                <w:sz w:val="23"/>
                <w:szCs w:val="23"/>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Cannabis</w:t>
            </w:r>
          </w:p>
        </w:tc>
        <w:tc>
          <w:tcPr>
            <w:tcW w:w="120" w:type="dxa"/>
            <w:vAlign w:val="bottom"/>
          </w:tcPr>
          <w:p>
            <w:pPr>
              <w:spacing w:after="0"/>
              <w:rPr>
                <w:sz w:val="23"/>
                <w:szCs w:val="23"/>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20"/>
                <w:szCs w:val="20"/>
                <w:b w:val="1"/>
                <w:bCs w:val="1"/>
                <w:color w:val="auto"/>
              </w:rPr>
              <w:t>Distribution</w:t>
            </w:r>
          </w:p>
        </w:tc>
        <w:tc>
          <w:tcPr>
            <w:tcW w:w="180" w:type="dxa"/>
            <w:vAlign w:val="bottom"/>
          </w:tcPr>
          <w:p>
            <w:pPr>
              <w:spacing w:after="0"/>
              <w:rPr>
                <w:sz w:val="23"/>
                <w:szCs w:val="23"/>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Wellness</w:t>
            </w:r>
          </w:p>
        </w:tc>
        <w:tc>
          <w:tcPr>
            <w:tcW w:w="280" w:type="dxa"/>
            <w:vAlign w:val="bottom"/>
          </w:tcPr>
          <w:p>
            <w:pPr>
              <w:spacing w:after="0"/>
              <w:rPr>
                <w:sz w:val="23"/>
                <w:szCs w:val="23"/>
                <w:color w:val="auto"/>
              </w:rPr>
            </w:pPr>
          </w:p>
        </w:tc>
        <w:tc>
          <w:tcPr>
            <w:tcW w:w="1020" w:type="dxa"/>
            <w:vAlign w:val="bottom"/>
          </w:tcPr>
          <w:p>
            <w:pPr>
              <w:jc w:val="right"/>
              <w:ind w:right="319"/>
              <w:spacing w:after="0"/>
              <w:rPr>
                <w:sz w:val="20"/>
                <w:szCs w:val="20"/>
                <w:color w:val="auto"/>
              </w:rPr>
            </w:pPr>
            <w:r>
              <w:rPr>
                <w:rFonts w:ascii="Times New Roman" w:cs="Times New Roman" w:eastAsia="Times New Roman" w:hAnsi="Times New Roman"/>
                <w:sz w:val="20"/>
                <w:szCs w:val="20"/>
                <w:b w:val="1"/>
                <w:bCs w:val="1"/>
                <w:color w:val="auto"/>
              </w:rPr>
              <w:t>Total</w:t>
            </w:r>
          </w:p>
        </w:tc>
      </w:tr>
      <w:tr>
        <w:trPr>
          <w:trHeight w:val="236"/>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Net revenue</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2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20"/>
                <w:szCs w:val="20"/>
                <w:color w:val="auto"/>
              </w:rPr>
              <w:t>202,094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20"/>
                <w:szCs w:val="20"/>
                <w:color w:val="auto"/>
              </w:rPr>
              <w:t>272,798</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20"/>
                <w:szCs w:val="20"/>
                <w:color w:val="auto"/>
              </w:rPr>
              <w:t>258,740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20"/>
                <w:szCs w:val="20"/>
                <w:color w:val="auto"/>
              </w:rPr>
              <w:t>55,310</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20"/>
                <w:szCs w:val="20"/>
                <w:color w:val="auto"/>
                <w:w w:val="99"/>
              </w:rPr>
              <w:t>$</w:t>
            </w:r>
          </w:p>
        </w:tc>
        <w:tc>
          <w:tcPr>
            <w:tcW w:w="102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20"/>
                <w:szCs w:val="20"/>
                <w:color w:val="auto"/>
              </w:rPr>
              <w:t>788,942</w:t>
            </w:r>
          </w:p>
        </w:tc>
      </w:tr>
      <w:tr>
        <w:trPr>
          <w:trHeight w:val="262"/>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Cost of goods sold</w:t>
            </w: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20"/>
                <w:szCs w:val="20"/>
                <w:color w:val="auto"/>
              </w:rPr>
              <w:t>113,522</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20"/>
                <w:szCs w:val="20"/>
                <w:color w:val="auto"/>
              </w:rPr>
              <w:t>182,594</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20"/>
                <w:szCs w:val="20"/>
                <w:color w:val="auto"/>
              </w:rPr>
              <w:t>230,596</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20"/>
                <w:szCs w:val="20"/>
                <w:color w:val="auto"/>
              </w:rPr>
              <w:t>38,879</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20"/>
                <w:szCs w:val="20"/>
                <w:color w:val="auto"/>
              </w:rPr>
              <w:t>565,591</w:t>
            </w:r>
          </w:p>
        </w:tc>
      </w:tr>
      <w:tr>
        <w:trPr>
          <w:trHeight w:val="249"/>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Gross profit</w:t>
            </w: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20"/>
                <w:szCs w:val="20"/>
                <w:color w:val="auto"/>
              </w:rPr>
              <w:t>88,572</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20"/>
                <w:szCs w:val="20"/>
                <w:color w:val="auto"/>
              </w:rPr>
              <w:t>90,204</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20"/>
                <w:szCs w:val="20"/>
                <w:color w:val="auto"/>
              </w:rPr>
              <w:t>28,144</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20"/>
                <w:szCs w:val="20"/>
                <w:color w:val="auto"/>
              </w:rPr>
              <w:t>16,431</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20"/>
                <w:szCs w:val="20"/>
                <w:color w:val="auto"/>
              </w:rPr>
              <w:t>223,351</w:t>
            </w:r>
          </w:p>
        </w:tc>
      </w:tr>
      <w:tr>
        <w:trPr>
          <w:trHeight w:val="245"/>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Gross margin</w:t>
            </w: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w:t>
            </w:r>
          </w:p>
        </w:tc>
      </w:tr>
      <w:tr>
        <w:trPr>
          <w:trHeight w:val="20"/>
        </w:trPr>
        <w:tc>
          <w:tcPr>
            <w:tcW w:w="4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120"/>
          </w:cols>
          <w:pgMar w:left="340" w:top="114" w:right="439" w:bottom="0" w:gutter="0" w:footer="0" w:header="0"/>
        </w:sectPr>
      </w:pPr>
    </w:p>
    <w:bookmarkStart w:id="12" w:name="page13"/>
    <w:bookmarkEnd w:id="12"/>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Adjustments:</w:t>
            </w:r>
          </w:p>
        </w:tc>
        <w:tc>
          <w:tcPr>
            <w:tcW w:w="3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62"/>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Purchase price accounting step-up</w:t>
            </w:r>
          </w:p>
        </w:tc>
        <w:tc>
          <w:tcPr>
            <w:tcW w:w="340" w:type="dxa"/>
            <w:vAlign w:val="bottom"/>
          </w:tcPr>
          <w:p>
            <w:pPr>
              <w:spacing w:after="0"/>
              <w:rPr>
                <w:sz w:val="22"/>
                <w:szCs w:val="22"/>
                <w:color w:val="auto"/>
              </w:rPr>
            </w:pPr>
          </w:p>
        </w:tc>
        <w:tc>
          <w:tcPr>
            <w:tcW w:w="960" w:type="dxa"/>
            <w:vAlign w:val="bottom"/>
          </w:tcPr>
          <w:p>
            <w:pPr>
              <w:jc w:val="right"/>
              <w:ind w:right="99"/>
              <w:spacing w:after="0"/>
              <w:rPr>
                <w:sz w:val="20"/>
                <w:szCs w:val="20"/>
                <w:color w:val="auto"/>
              </w:rPr>
            </w:pPr>
            <w:r>
              <w:rPr>
                <w:rFonts w:ascii="Times New Roman" w:cs="Times New Roman" w:eastAsia="Times New Roman" w:hAnsi="Times New Roman"/>
                <w:sz w:val="20"/>
                <w:szCs w:val="20"/>
                <w:color w:val="auto"/>
              </w:rPr>
              <w:t>4,602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60" w:type="dxa"/>
            <w:vAlign w:val="bottom"/>
          </w:tcPr>
          <w:p>
            <w:pPr>
              <w:jc w:val="right"/>
              <w:ind w:right="99"/>
              <w:spacing w:after="0"/>
              <w:rPr>
                <w:sz w:val="20"/>
                <w:szCs w:val="20"/>
                <w:color w:val="auto"/>
              </w:rPr>
            </w:pPr>
            <w:r>
              <w:rPr>
                <w:rFonts w:ascii="Times New Roman" w:cs="Times New Roman" w:eastAsia="Times New Roman" w:hAnsi="Times New Roman"/>
                <w:sz w:val="20"/>
                <w:szCs w:val="20"/>
                <w:color w:val="auto"/>
              </w:rPr>
              <w:t>7,628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spacing w:after="0"/>
              <w:rPr>
                <w:sz w:val="22"/>
                <w:szCs w:val="22"/>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22"/>
                <w:szCs w:val="22"/>
                <w:color w:val="auto"/>
              </w:rPr>
            </w:pP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20"/>
                <w:szCs w:val="20"/>
                <w:color w:val="auto"/>
              </w:rPr>
              <w:t>12,230</w:t>
            </w:r>
          </w:p>
        </w:tc>
      </w:tr>
      <w:tr>
        <w:trPr>
          <w:trHeight w:val="236"/>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Adjusted gross profit</w:t>
            </w:r>
          </w:p>
        </w:tc>
        <w:tc>
          <w:tcPr>
            <w:tcW w:w="34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20"/>
                <w:szCs w:val="20"/>
                <w:color w:val="auto"/>
                <w:w w:val="99"/>
              </w:rPr>
              <w:t>$</w:t>
            </w:r>
          </w:p>
        </w:tc>
        <w:tc>
          <w:tcPr>
            <w:tcW w:w="96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20"/>
                <w:szCs w:val="20"/>
                <w:color w:val="auto"/>
              </w:rPr>
              <w:t>93,174</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20"/>
                <w:szCs w:val="20"/>
                <w:color w:val="auto"/>
                <w:w w:val="99"/>
              </w:rPr>
              <w:t>$</w:t>
            </w:r>
          </w:p>
        </w:tc>
        <w:tc>
          <w:tcPr>
            <w:tcW w:w="96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20"/>
                <w:szCs w:val="20"/>
                <w:color w:val="auto"/>
              </w:rPr>
              <w:t>97,832</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20"/>
                <w:szCs w:val="20"/>
                <w:color w:val="auto"/>
                <w:w w:val="99"/>
              </w:rPr>
              <w:t>$</w:t>
            </w:r>
          </w:p>
        </w:tc>
        <w:tc>
          <w:tcPr>
            <w:tcW w:w="98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20"/>
                <w:szCs w:val="20"/>
                <w:color w:val="auto"/>
              </w:rPr>
              <w:t>28,144</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20"/>
                <w:szCs w:val="20"/>
                <w:color w:val="auto"/>
              </w:rPr>
              <w:t>16,431</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20"/>
                <w:szCs w:val="20"/>
                <w:color w:val="auto"/>
                <w:w w:val="99"/>
              </w:rPr>
              <w:t>$</w:t>
            </w:r>
          </w:p>
        </w:tc>
        <w:tc>
          <w:tcPr>
            <w:tcW w:w="102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20"/>
                <w:szCs w:val="20"/>
                <w:color w:val="auto"/>
              </w:rPr>
              <w:t>235,581</w:t>
            </w:r>
          </w:p>
        </w:tc>
      </w:tr>
      <w:tr>
        <w:trPr>
          <w:trHeight w:val="265"/>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Adjusted gross margin</w:t>
            </w:r>
          </w:p>
        </w:tc>
        <w:tc>
          <w:tcPr>
            <w:tcW w:w="3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46%</w:t>
            </w: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w:t>
            </w: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1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w:t>
            </w:r>
          </w:p>
        </w:tc>
      </w:tr>
      <w:tr>
        <w:trPr>
          <w:trHeight w:val="20"/>
        </w:trPr>
        <w:tc>
          <w:tcPr>
            <w:tcW w:w="4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Financial Information: Adjusted Earnings Before Interest, Taxes and Amortization</w:t>
      </w:r>
    </w:p>
    <w:p>
      <w:pPr>
        <w:sectPr>
          <w:pgSz w:w="11900" w:h="16884" w:orient="portrait"/>
          <w:cols w:equalWidth="0" w:num="1">
            <w:col w:w="11220"/>
          </w:cols>
          <w:pgMar w:left="340" w:top="114" w:right="339" w:bottom="0" w:gutter="0" w:footer="0" w:header="0"/>
        </w:sect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 thousands of U.S. dollars)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Net income (loss)</w:t>
      </w:r>
    </w:p>
    <w:p>
      <w:pPr>
        <w:spacing w:after="0" w:line="26"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20"/>
          <w:szCs w:val="20"/>
          <w:color w:val="auto"/>
        </w:rPr>
        <w:t>Income tax (recovery) expense Interest expense, net</w:t>
      </w:r>
    </w:p>
    <w:p>
      <w:pPr>
        <w:spacing w:after="0" w:line="1" w:lineRule="exact"/>
        <w:rPr>
          <w:sz w:val="20"/>
          <w:szCs w:val="20"/>
          <w:color w:val="auto"/>
        </w:rPr>
      </w:pPr>
    </w:p>
    <w:p>
      <w:pPr>
        <w:ind w:right="740"/>
        <w:spacing w:after="0" w:line="250" w:lineRule="auto"/>
        <w:rPr>
          <w:sz w:val="20"/>
          <w:szCs w:val="20"/>
          <w:color w:val="auto"/>
        </w:rPr>
      </w:pPr>
      <w:r>
        <w:rPr>
          <w:rFonts w:ascii="Times New Roman" w:cs="Times New Roman" w:eastAsia="Times New Roman" w:hAnsi="Times New Roman"/>
          <w:sz w:val="20"/>
          <w:szCs w:val="20"/>
          <w:color w:val="auto"/>
        </w:rPr>
        <w:t>Non-operating income (expense), net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Amortization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Stock-based compensation</w:t>
      </w:r>
    </w:p>
    <w:p>
      <w:pPr>
        <w:spacing w:after="0" w:line="23" w:lineRule="exact"/>
        <w:rPr>
          <w:sz w:val="20"/>
          <w:szCs w:val="20"/>
          <w:color w:val="auto"/>
        </w:rPr>
      </w:pPr>
    </w:p>
    <w:p>
      <w:pPr>
        <w:ind w:right="580"/>
        <w:spacing w:after="0" w:line="250" w:lineRule="auto"/>
        <w:rPr>
          <w:sz w:val="20"/>
          <w:szCs w:val="20"/>
          <w:color w:val="auto"/>
        </w:rPr>
      </w:pPr>
      <w:r>
        <w:rPr>
          <w:rFonts w:ascii="Times New Roman" w:cs="Times New Roman" w:eastAsia="Times New Roman" w:hAnsi="Times New Roman"/>
          <w:sz w:val="20"/>
          <w:szCs w:val="20"/>
          <w:color w:val="auto"/>
        </w:rPr>
        <w:t>Change in fair value of contingent consideration</w:t>
      </w:r>
    </w:p>
    <w:p>
      <w:pPr>
        <w:spacing w:after="0" w:line="1"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20"/>
          <w:szCs w:val="20"/>
          <w:color w:val="auto"/>
        </w:rPr>
        <w:t>Impairment of intangible assets and goodwill</w:t>
      </w:r>
    </w:p>
    <w:p>
      <w:pPr>
        <w:spacing w:after="0" w:line="1"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Other than temporary change in fair value of convertible notes receivable</w:t>
      </w:r>
    </w:p>
    <w:p>
      <w:pPr>
        <w:ind w:right="900"/>
        <w:spacing w:after="0" w:line="250" w:lineRule="auto"/>
        <w:rPr>
          <w:sz w:val="20"/>
          <w:szCs w:val="20"/>
          <w:color w:val="auto"/>
        </w:rPr>
      </w:pPr>
      <w:r>
        <w:rPr>
          <w:rFonts w:ascii="Times New Roman" w:cs="Times New Roman" w:eastAsia="Times New Roman" w:hAnsi="Times New Roman"/>
          <w:sz w:val="20"/>
          <w:szCs w:val="20"/>
          <w:color w:val="auto"/>
        </w:rPr>
        <w:t>Project 420 business optimization</w:t>
      </w:r>
    </w:p>
    <w:p>
      <w:pPr>
        <w:spacing w:after="0" w:line="1"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20"/>
          <w:szCs w:val="20"/>
          <w:color w:val="auto"/>
        </w:rPr>
        <w:t>Loss (gain) on sale of capital assets - non-operating facility</w:t>
      </w:r>
    </w:p>
    <w:p>
      <w:pPr>
        <w:spacing w:after="0" w:line="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0"/>
          <w:szCs w:val="20"/>
          <w:color w:val="auto"/>
        </w:rPr>
        <w:t>Purchase price accounting step-up</w:t>
      </w:r>
    </w:p>
    <w:p>
      <w:pPr>
        <w:spacing w:after="0" w:line="1" w:lineRule="exact"/>
        <w:rPr>
          <w:sz w:val="20"/>
          <w:szCs w:val="20"/>
          <w:color w:val="auto"/>
        </w:rPr>
      </w:pPr>
    </w:p>
    <w:p>
      <w:pPr>
        <w:ind w:right="300"/>
        <w:spacing w:after="0" w:line="250" w:lineRule="auto"/>
        <w:rPr>
          <w:sz w:val="20"/>
          <w:szCs w:val="20"/>
          <w:color w:val="auto"/>
        </w:rPr>
      </w:pPr>
      <w:r>
        <w:rPr>
          <w:rFonts w:ascii="Times New Roman" w:cs="Times New Roman" w:eastAsia="Times New Roman" w:hAnsi="Times New Roman"/>
          <w:sz w:val="20"/>
          <w:szCs w:val="20"/>
          <w:color w:val="auto"/>
        </w:rPr>
        <w:t>Facility start-up and closure costs</w:t>
      </w:r>
    </w:p>
    <w:p>
      <w:pPr>
        <w:spacing w:after="0" w:line="1" w:lineRule="exact"/>
        <w:rPr>
          <w:sz w:val="20"/>
          <w:szCs w:val="20"/>
          <w:color w:val="auto"/>
        </w:rPr>
      </w:pPr>
    </w:p>
    <w:p>
      <w:pPr>
        <w:ind w:right="740"/>
        <w:spacing w:after="0" w:line="250" w:lineRule="auto"/>
        <w:rPr>
          <w:sz w:val="20"/>
          <w:szCs w:val="20"/>
          <w:color w:val="auto"/>
        </w:rPr>
      </w:pPr>
      <w:r>
        <w:rPr>
          <w:rFonts w:ascii="Times New Roman" w:cs="Times New Roman" w:eastAsia="Times New Roman" w:hAnsi="Times New Roman"/>
          <w:sz w:val="20"/>
          <w:szCs w:val="20"/>
          <w:color w:val="auto"/>
        </w:rPr>
        <w:t>Litigation costs, net of recoveries</w:t>
      </w:r>
    </w:p>
    <w:p>
      <w:pPr>
        <w:spacing w:after="0" w:line="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20"/>
          <w:szCs w:val="20"/>
          <w:color w:val="auto"/>
        </w:rPr>
        <w:t>Restructuring costs Transaction costs (income), net Adjusted EBITDA</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 thousands of U.S. dollars)</w:t>
      </w:r>
    </w:p>
    <w:p>
      <w:pPr>
        <w:spacing w:after="0" w:line="36"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20"/>
          <w:szCs w:val="20"/>
          <w:color w:val="auto"/>
        </w:rPr>
        <w:t>Net loss attributable to stockholders of Tilray Brands, Inc.</w:t>
      </w:r>
    </w:p>
    <w:p>
      <w:pPr>
        <w:ind w:right="740"/>
        <w:spacing w:after="0" w:line="250" w:lineRule="auto"/>
        <w:rPr>
          <w:sz w:val="20"/>
          <w:szCs w:val="20"/>
          <w:color w:val="auto"/>
        </w:rPr>
      </w:pPr>
      <w:r>
        <w:rPr>
          <w:rFonts w:ascii="Times New Roman" w:cs="Times New Roman" w:eastAsia="Times New Roman" w:hAnsi="Times New Roman"/>
          <w:sz w:val="20"/>
          <w:szCs w:val="20"/>
          <w:color w:val="auto"/>
        </w:rPr>
        <w:t>Non-operating income (expense), net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Amortization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Stock-based compensation</w:t>
      </w:r>
    </w:p>
    <w:p>
      <w:pPr>
        <w:spacing w:after="0" w:line="23" w:lineRule="exact"/>
        <w:rPr>
          <w:sz w:val="20"/>
          <w:szCs w:val="20"/>
          <w:color w:val="auto"/>
        </w:rPr>
      </w:pPr>
    </w:p>
    <w:p>
      <w:pPr>
        <w:ind w:right="580"/>
        <w:spacing w:after="0" w:line="250" w:lineRule="auto"/>
        <w:rPr>
          <w:sz w:val="20"/>
          <w:szCs w:val="20"/>
          <w:color w:val="auto"/>
        </w:rPr>
      </w:pPr>
      <w:r>
        <w:rPr>
          <w:rFonts w:ascii="Times New Roman" w:cs="Times New Roman" w:eastAsia="Times New Roman" w:hAnsi="Times New Roman"/>
          <w:sz w:val="20"/>
          <w:szCs w:val="20"/>
          <w:color w:val="auto"/>
        </w:rPr>
        <w:t>Change in fair value of contingent consideration</w:t>
      </w:r>
    </w:p>
    <w:p>
      <w:pPr>
        <w:spacing w:after="0" w:line="1"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20"/>
          <w:szCs w:val="20"/>
          <w:color w:val="auto"/>
        </w:rPr>
        <w:t>Impairment of intangible assets and goodwill</w:t>
      </w:r>
    </w:p>
    <w:p>
      <w:pPr>
        <w:spacing w:after="0" w:line="1"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20"/>
          <w:szCs w:val="20"/>
          <w:color w:val="auto"/>
        </w:rPr>
        <w:t>Income tax recovery on impairment of intangible assets</w:t>
      </w:r>
    </w:p>
    <w:p>
      <w:pPr>
        <w:spacing w:after="0" w:line="1"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auto"/>
        </w:rPr>
        <w:t>Other than temporary change in fair value of convertible notes receivable, attributable to stockholders of Tilray Brands, Inc.</w:t>
      </w:r>
    </w:p>
    <w:p>
      <w:pPr>
        <w:spacing w:after="0" w:line="3" w:lineRule="exact"/>
        <w:rPr>
          <w:sz w:val="20"/>
          <w:szCs w:val="20"/>
          <w:color w:val="auto"/>
        </w:rPr>
      </w:pPr>
    </w:p>
    <w:p>
      <w:pPr>
        <w:ind w:right="900"/>
        <w:spacing w:after="0" w:line="250" w:lineRule="auto"/>
        <w:rPr>
          <w:sz w:val="20"/>
          <w:szCs w:val="20"/>
          <w:color w:val="auto"/>
        </w:rPr>
      </w:pPr>
      <w:r>
        <w:rPr>
          <w:rFonts w:ascii="Times New Roman" w:cs="Times New Roman" w:eastAsia="Times New Roman" w:hAnsi="Times New Roman"/>
          <w:sz w:val="20"/>
          <w:szCs w:val="20"/>
          <w:color w:val="auto"/>
        </w:rPr>
        <w:t>Project 420 business optimization</w:t>
      </w:r>
    </w:p>
    <w:p>
      <w:pPr>
        <w:spacing w:after="0" w:line="1" w:lineRule="exact"/>
        <w:rPr>
          <w:sz w:val="20"/>
          <w:szCs w:val="20"/>
          <w:color w:val="auto"/>
        </w:rPr>
      </w:pPr>
    </w:p>
    <w:p>
      <w:pPr>
        <w:ind w:right="300"/>
        <w:spacing w:after="0" w:line="250" w:lineRule="auto"/>
        <w:rPr>
          <w:sz w:val="20"/>
          <w:szCs w:val="20"/>
          <w:color w:val="auto"/>
        </w:rPr>
      </w:pPr>
      <w:r>
        <w:rPr>
          <w:rFonts w:ascii="Times New Roman" w:cs="Times New Roman" w:eastAsia="Times New Roman" w:hAnsi="Times New Roman"/>
          <w:sz w:val="20"/>
          <w:szCs w:val="20"/>
          <w:color w:val="auto"/>
        </w:rPr>
        <w:t>Facility start-up and closure costs</w:t>
      </w:r>
    </w:p>
    <w:p>
      <w:pPr>
        <w:spacing w:after="0" w:line="1" w:lineRule="exact"/>
        <w:rPr>
          <w:sz w:val="20"/>
          <w:szCs w:val="20"/>
          <w:color w:val="auto"/>
        </w:rPr>
      </w:pPr>
    </w:p>
    <w:p>
      <w:pPr>
        <w:ind w:right="740"/>
        <w:spacing w:after="0" w:line="261" w:lineRule="auto"/>
        <w:rPr>
          <w:sz w:val="20"/>
          <w:szCs w:val="20"/>
          <w:color w:val="auto"/>
        </w:rPr>
      </w:pPr>
      <w:r>
        <w:rPr>
          <w:rFonts w:ascii="Times New Roman" w:cs="Times New Roman" w:eastAsia="Times New Roman" w:hAnsi="Times New Roman"/>
          <w:sz w:val="20"/>
          <w:szCs w:val="20"/>
          <w:color w:val="auto"/>
        </w:rPr>
        <w:t>Litigation costs, net of recoveries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140" w:type="dxa"/>
            <w:vAlign w:val="bottom"/>
            <w:gridSpan w:val="4"/>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For the three months</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100" w:type="dxa"/>
            <w:vAlign w:val="bottom"/>
          </w:tcPr>
          <w:p>
            <w:pPr>
              <w:spacing w:after="0"/>
              <w:rPr>
                <w:sz w:val="19"/>
                <w:szCs w:val="19"/>
                <w:color w:val="auto"/>
              </w:rPr>
            </w:pPr>
          </w:p>
        </w:tc>
        <w:tc>
          <w:tcPr>
            <w:tcW w:w="2260" w:type="dxa"/>
            <w:vAlign w:val="bottom"/>
            <w:gridSpan w:val="5"/>
          </w:tcPr>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For the year</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w:t>
            </w:r>
          </w:p>
        </w:tc>
      </w:tr>
      <w:tr>
        <w:trPr>
          <w:trHeight w:val="253"/>
        </w:trPr>
        <w:tc>
          <w:tcPr>
            <w:tcW w:w="2140" w:type="dxa"/>
            <w:vAlign w:val="bottom"/>
            <w:gridSpan w:val="4"/>
          </w:tcPr>
          <w:p>
            <w:pPr>
              <w:jc w:val="center"/>
              <w:spacing w:after="0"/>
              <w:rPr>
                <w:sz w:val="20"/>
                <w:szCs w:val="20"/>
                <w:color w:val="auto"/>
              </w:rPr>
            </w:pPr>
            <w:r>
              <w:rPr>
                <w:rFonts w:ascii="Times New Roman" w:cs="Times New Roman" w:eastAsia="Times New Roman" w:hAnsi="Times New Roman"/>
                <w:sz w:val="20"/>
                <w:szCs w:val="20"/>
                <w:b w:val="1"/>
                <w:bCs w:val="1"/>
                <w:color w:val="auto"/>
              </w:rPr>
              <w:t>ended May 31,</w:t>
            </w:r>
          </w:p>
        </w:tc>
        <w:tc>
          <w:tcPr>
            <w:tcW w:w="120" w:type="dxa"/>
            <w:vAlign w:val="bottom"/>
          </w:tcPr>
          <w:p>
            <w:pPr>
              <w:spacing w:after="0"/>
              <w:rPr>
                <w:sz w:val="21"/>
                <w:szCs w:val="21"/>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20"/>
                <w:szCs w:val="20"/>
                <w:b w:val="1"/>
                <w:bCs w:val="1"/>
                <w:color w:val="auto"/>
              </w:rPr>
              <w:t>Change</w:t>
            </w: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Change</w:t>
            </w:r>
          </w:p>
        </w:tc>
        <w:tc>
          <w:tcPr>
            <w:tcW w:w="2260" w:type="dxa"/>
            <w:vAlign w:val="bottom"/>
            <w:gridSpan w:val="5"/>
          </w:tcPr>
          <w:p>
            <w:pPr>
              <w:jc w:val="center"/>
              <w:spacing w:after="0"/>
              <w:rPr>
                <w:sz w:val="20"/>
                <w:szCs w:val="20"/>
                <w:color w:val="auto"/>
              </w:rPr>
            </w:pPr>
            <w:r>
              <w:rPr>
                <w:rFonts w:ascii="Times New Roman" w:cs="Times New Roman" w:eastAsia="Times New Roman" w:hAnsi="Times New Roman"/>
                <w:sz w:val="20"/>
                <w:szCs w:val="20"/>
                <w:b w:val="1"/>
                <w:bCs w:val="1"/>
                <w:color w:val="auto"/>
              </w:rPr>
              <w:t>ended May 31,</w:t>
            </w:r>
          </w:p>
        </w:tc>
        <w:tc>
          <w:tcPr>
            <w:tcW w:w="120" w:type="dxa"/>
            <w:vAlign w:val="bottom"/>
          </w:tcPr>
          <w:p>
            <w:pPr>
              <w:spacing w:after="0"/>
              <w:rPr>
                <w:sz w:val="21"/>
                <w:szCs w:val="21"/>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20"/>
                <w:szCs w:val="20"/>
                <w:b w:val="1"/>
                <w:bCs w:val="1"/>
                <w:color w:val="auto"/>
              </w:rPr>
              <w:t>Change</w:t>
            </w:r>
          </w:p>
        </w:tc>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Change</w:t>
            </w:r>
          </w:p>
        </w:tc>
      </w:tr>
      <w:tr>
        <w:trPr>
          <w:trHeight w:val="268"/>
        </w:trPr>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2025</w:t>
            </w:r>
          </w:p>
        </w:tc>
        <w:tc>
          <w:tcPr>
            <w:tcW w:w="1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2024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980" w:type="dxa"/>
            <w:vAlign w:val="bottom"/>
            <w:gridSpan w:val="4"/>
          </w:tcPr>
          <w:p>
            <w:pPr>
              <w:ind w:left="320"/>
              <w:spacing w:after="0"/>
              <w:rPr>
                <w:sz w:val="20"/>
                <w:szCs w:val="20"/>
                <w:color w:val="auto"/>
              </w:rPr>
            </w:pPr>
            <w:r>
              <w:rPr>
                <w:rFonts w:ascii="Times New Roman" w:cs="Times New Roman" w:eastAsia="Times New Roman" w:hAnsi="Times New Roman"/>
                <w:sz w:val="20"/>
                <w:szCs w:val="20"/>
                <w:b w:val="1"/>
                <w:bCs w:val="1"/>
                <w:color w:val="auto"/>
              </w:rPr>
              <w:t>2025 vs. 2024</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2025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2024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80" w:type="dxa"/>
            <w:vAlign w:val="bottom"/>
            <w:gridSpan w:val="3"/>
          </w:tcPr>
          <w:p>
            <w:pPr>
              <w:jc w:val="right"/>
              <w:ind w:right="319"/>
              <w:spacing w:after="0"/>
              <w:rPr>
                <w:sz w:val="20"/>
                <w:szCs w:val="20"/>
                <w:color w:val="auto"/>
              </w:rPr>
            </w:pPr>
            <w:r>
              <w:rPr>
                <w:rFonts w:ascii="Times New Roman" w:cs="Times New Roman" w:eastAsia="Times New Roman" w:hAnsi="Times New Roman"/>
                <w:sz w:val="20"/>
                <w:szCs w:val="20"/>
                <w:b w:val="1"/>
                <w:bCs w:val="1"/>
                <w:color w:val="auto"/>
              </w:rPr>
              <w:t>2025 vs. 2024</w:t>
            </w:r>
          </w:p>
        </w:tc>
      </w:tr>
      <w:tr>
        <w:trPr>
          <w:trHeight w:val="234"/>
        </w:trPr>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$(1,267,895)</w:t>
            </w:r>
          </w:p>
        </w:tc>
        <w:tc>
          <w:tcPr>
            <w:tcW w:w="120" w:type="dxa"/>
            <w:vAlign w:val="bottom"/>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$(15,375)</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8"/>
              </w:rPr>
              <w:t>(1,252,520)</w:t>
            </w:r>
          </w:p>
        </w:tc>
        <w:tc>
          <w:tcPr>
            <w:tcW w:w="1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8,146%</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$(2,181,356)</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(222,404)</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8"/>
              </w:rPr>
              <w:t>(1,958,952)</w:t>
            </w:r>
          </w:p>
        </w:tc>
        <w:tc>
          <w:tcPr>
            <w:tcW w:w="1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881%</w:t>
            </w:r>
          </w:p>
        </w:tc>
      </w:tr>
      <w:tr>
        <w:trPr>
          <w:trHeight w:val="253"/>
        </w:trPr>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(125,142)</w:t>
            </w: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(27,629)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(97,513)</w:t>
            </w: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353%</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(121,017)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(26,616)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(94,401)</w:t>
            </w: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355%</w:t>
            </w:r>
          </w:p>
        </w:tc>
      </w:tr>
      <w:tr>
        <w:trPr>
          <w:trHeight w:val="262"/>
        </w:trPr>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3,966</w:t>
            </w:r>
          </w:p>
        </w:tc>
        <w:tc>
          <w:tcPr>
            <w:tcW w:w="1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9,456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(5,490)</w:t>
            </w: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w:t>
            </w:r>
          </w:p>
        </w:tc>
        <w:tc>
          <w:tcPr>
            <w:tcW w:w="1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29,952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36,433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(6,481)</w:t>
            </w: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r>
      <w:tr>
        <w:trPr>
          <w:trHeight w:val="366"/>
        </w:trPr>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(54,915)</w:t>
            </w: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17,022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(71,937)</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(423)%</w:t>
            </w:r>
          </w:p>
        </w:tc>
        <w:tc>
          <w:tcPr>
            <w:tcW w:w="1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(10,284)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37,842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(48,126)</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w:t>
            </w:r>
          </w:p>
        </w:tc>
      </w:tr>
      <w:tr>
        <w:trPr>
          <w:trHeight w:val="357"/>
        </w:trPr>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34,080</w:t>
            </w: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31,730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2,350</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1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133,490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126,913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6,577</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r>
      <w:tr>
        <w:trPr>
          <w:trHeight w:val="262"/>
        </w:trPr>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6,100</w:t>
            </w:r>
          </w:p>
        </w:tc>
        <w:tc>
          <w:tcPr>
            <w:tcW w:w="1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7,252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(1,152)</w:t>
            </w: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1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24,289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31,769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(7,480)</w:t>
            </w: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r>
      <w:tr>
        <w:trPr>
          <w:trHeight w:val="366"/>
        </w:trPr>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100" w:type="dxa"/>
            <w:vAlign w:val="bottom"/>
          </w:tcPr>
          <w:p>
            <w:pPr>
              <w:spacing w:after="0"/>
              <w:rPr>
                <w:sz w:val="24"/>
                <w:szCs w:val="24"/>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(15,790)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15,790</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w:t>
            </w:r>
          </w:p>
        </w:tc>
      </w:tr>
      <w:tr>
        <w:trPr>
          <w:trHeight w:val="480"/>
        </w:trPr>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1,396,904</w:t>
            </w:r>
          </w:p>
        </w:tc>
        <w:tc>
          <w:tcPr>
            <w:tcW w:w="12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1,396,904</w:t>
            </w:r>
          </w:p>
        </w:tc>
        <w:tc>
          <w:tcPr>
            <w:tcW w:w="100" w:type="dxa"/>
            <w:vAlign w:val="bottom"/>
          </w:tcPr>
          <w:p>
            <w:pPr>
              <w:spacing w:after="0"/>
              <w:rPr>
                <w:sz w:val="24"/>
                <w:szCs w:val="24"/>
                <w:color w:val="auto"/>
              </w:rPr>
            </w:pPr>
          </w:p>
        </w:tc>
        <w:tc>
          <w:tcPr>
            <w:tcW w:w="900" w:type="dxa"/>
            <w:vAlign w:val="bottom"/>
            <w:gridSpan w:val="2"/>
          </w:tcPr>
          <w:p>
            <w:pPr>
              <w:ind w:left="460"/>
              <w:spacing w:after="0"/>
              <w:rPr>
                <w:sz w:val="20"/>
                <w:szCs w:val="20"/>
                <w:color w:val="auto"/>
              </w:rPr>
            </w:pPr>
            <w:r>
              <w:rPr>
                <w:rFonts w:ascii="Times New Roman" w:cs="Times New Roman" w:eastAsia="Times New Roman" w:hAnsi="Times New Roman"/>
                <w:sz w:val="20"/>
                <w:szCs w:val="20"/>
                <w:color w:val="auto"/>
              </w:rPr>
              <w:t>NM</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2,096,139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2,096,139</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NM</w:t>
            </w:r>
          </w:p>
        </w:tc>
      </w:tr>
      <w:tr>
        <w:trPr>
          <w:trHeight w:val="594"/>
        </w:trPr>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1,661</w:t>
            </w:r>
          </w:p>
        </w:tc>
        <w:tc>
          <w:tcPr>
            <w:tcW w:w="12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1,661</w:t>
            </w:r>
          </w:p>
        </w:tc>
        <w:tc>
          <w:tcPr>
            <w:tcW w:w="100" w:type="dxa"/>
            <w:vAlign w:val="bottom"/>
          </w:tcPr>
          <w:p>
            <w:pPr>
              <w:spacing w:after="0"/>
              <w:rPr>
                <w:sz w:val="24"/>
                <w:szCs w:val="24"/>
                <w:color w:val="auto"/>
              </w:rPr>
            </w:pPr>
          </w:p>
        </w:tc>
        <w:tc>
          <w:tcPr>
            <w:tcW w:w="900" w:type="dxa"/>
            <w:vAlign w:val="bottom"/>
            <w:gridSpan w:val="2"/>
          </w:tcPr>
          <w:p>
            <w:pPr>
              <w:ind w:left="460"/>
              <w:spacing w:after="0"/>
              <w:rPr>
                <w:sz w:val="20"/>
                <w:szCs w:val="20"/>
                <w:color w:val="auto"/>
              </w:rPr>
            </w:pPr>
            <w:r>
              <w:rPr>
                <w:rFonts w:ascii="Times New Roman" w:cs="Times New Roman" w:eastAsia="Times New Roman" w:hAnsi="Times New Roman"/>
                <w:sz w:val="20"/>
                <w:szCs w:val="20"/>
                <w:color w:val="auto"/>
              </w:rPr>
              <w:t>NM</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21,661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42,681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(21,020)</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w:t>
            </w:r>
          </w:p>
        </w:tc>
      </w:tr>
      <w:tr>
        <w:trPr>
          <w:trHeight w:val="594"/>
        </w:trPr>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4"/>
                <w:szCs w:val="24"/>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gridSpan w:val="2"/>
          </w:tcPr>
          <w:p>
            <w:pPr>
              <w:ind w:left="460"/>
              <w:spacing w:after="0"/>
              <w:rPr>
                <w:sz w:val="20"/>
                <w:szCs w:val="20"/>
                <w:color w:val="auto"/>
              </w:rPr>
            </w:pPr>
            <w:r>
              <w:rPr>
                <w:rFonts w:ascii="Times New Roman" w:cs="Times New Roman" w:eastAsia="Times New Roman" w:hAnsi="Times New Roman"/>
                <w:sz w:val="20"/>
                <w:szCs w:val="20"/>
                <w:color w:val="auto"/>
              </w:rPr>
              <w:t>NM</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2,600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2,600</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NM</w:t>
            </w:r>
          </w:p>
        </w:tc>
      </w:tr>
      <w:tr>
        <w:trPr>
          <w:trHeight w:val="480"/>
        </w:trPr>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1,787</w:t>
            </w: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(3,987)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5,774</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w:t>
            </w:r>
          </w:p>
        </w:tc>
        <w:tc>
          <w:tcPr>
            <w:tcW w:w="1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1,787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(3,987)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5,774</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w:t>
            </w:r>
          </w:p>
        </w:tc>
      </w:tr>
      <w:tr>
        <w:trPr>
          <w:trHeight w:val="480"/>
        </w:trPr>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(176)</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1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1,610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12,230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(10,620)</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w:t>
            </w:r>
          </w:p>
        </w:tc>
      </w:tr>
      <w:tr>
        <w:trPr>
          <w:trHeight w:val="480"/>
        </w:trPr>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(800)</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100" w:type="dxa"/>
            <w:vAlign w:val="bottom"/>
          </w:tcPr>
          <w:p>
            <w:pPr>
              <w:spacing w:after="0"/>
              <w:rPr>
                <w:sz w:val="24"/>
                <w:szCs w:val="24"/>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2,100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(2,100)</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w:t>
            </w:r>
          </w:p>
        </w:tc>
      </w:tr>
      <w:tr>
        <w:trPr>
          <w:trHeight w:val="480"/>
        </w:trPr>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12,093</w:t>
            </w: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12,281</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(6,532)%</w:t>
            </w:r>
          </w:p>
        </w:tc>
        <w:tc>
          <w:tcPr>
            <w:tcW w:w="1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17,347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8,251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9,096</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w:t>
            </w:r>
          </w:p>
        </w:tc>
      </w:tr>
      <w:tr>
        <w:trPr>
          <w:trHeight w:val="357"/>
        </w:trPr>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17,034</w:t>
            </w: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6,833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10,201</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w:t>
            </w:r>
          </w:p>
        </w:tc>
        <w:tc>
          <w:tcPr>
            <w:tcW w:w="1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34,283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15,581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18,702</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w:t>
            </w:r>
          </w:p>
        </w:tc>
      </w:tr>
      <w:tr>
        <w:trPr>
          <w:trHeight w:val="264"/>
        </w:trPr>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1,971</w:t>
            </w:r>
          </w:p>
        </w:tc>
        <w:tc>
          <w:tcPr>
            <w:tcW w:w="120" w:type="dxa"/>
            <w:vAlign w:val="bottom"/>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2,401</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(430)</w:t>
            </w:r>
          </w:p>
        </w:tc>
        <w:tc>
          <w:tcPr>
            <w:tcW w:w="100" w:type="dxa"/>
            <w:vAlign w:val="bottom"/>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100" w:type="dxa"/>
            <w:vAlign w:val="bottom"/>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4,534</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15,462</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(10,928)</w:t>
            </w:r>
          </w:p>
        </w:tc>
        <w:tc>
          <w:tcPr>
            <w:tcW w:w="100" w:type="dxa"/>
            <w:vAlign w:val="bottom"/>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(71)%</w:t>
            </w:r>
          </w:p>
        </w:tc>
      </w:tr>
      <w:tr>
        <w:trPr>
          <w:trHeight w:val="247"/>
        </w:trPr>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   27,644</w:t>
            </w:r>
          </w:p>
        </w:tc>
        <w:tc>
          <w:tcPr>
            <w:tcW w:w="120" w:type="dxa"/>
            <w:vAlign w:val="bottom"/>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$ 29,491</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(1,847)</w:t>
            </w:r>
          </w:p>
        </w:tc>
        <w:tc>
          <w:tcPr>
            <w:tcW w:w="100" w:type="dxa"/>
            <w:vAlign w:val="bottom"/>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100" w:type="dxa"/>
            <w:vAlign w:val="bottom"/>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   55,035</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60,465</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(5,430)</w:t>
            </w:r>
          </w:p>
        </w:tc>
        <w:tc>
          <w:tcPr>
            <w:tcW w:w="100" w:type="dxa"/>
            <w:vAlign w:val="bottom"/>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w:t>
            </w:r>
          </w:p>
        </w:tc>
      </w:tr>
      <w:tr>
        <w:trPr>
          <w:trHeight w:val="20"/>
        </w:trPr>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454"/>
        </w:trPr>
        <w:tc>
          <w:tcPr>
            <w:tcW w:w="2140" w:type="dxa"/>
            <w:vAlign w:val="bottom"/>
            <w:gridSpan w:val="4"/>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For the three months</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100" w:type="dxa"/>
            <w:vAlign w:val="bottom"/>
          </w:tcPr>
          <w:p>
            <w:pPr>
              <w:spacing w:after="0"/>
              <w:rPr>
                <w:sz w:val="24"/>
                <w:szCs w:val="24"/>
                <w:color w:val="auto"/>
              </w:rPr>
            </w:pPr>
          </w:p>
        </w:tc>
        <w:tc>
          <w:tcPr>
            <w:tcW w:w="2260" w:type="dxa"/>
            <w:vAlign w:val="bottom"/>
            <w:gridSpan w:val="5"/>
          </w:tcPr>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For the year</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w:t>
            </w:r>
          </w:p>
        </w:tc>
      </w:tr>
      <w:tr>
        <w:trPr>
          <w:trHeight w:val="253"/>
        </w:trPr>
        <w:tc>
          <w:tcPr>
            <w:tcW w:w="2140" w:type="dxa"/>
            <w:vAlign w:val="bottom"/>
            <w:gridSpan w:val="4"/>
          </w:tcPr>
          <w:p>
            <w:pPr>
              <w:jc w:val="center"/>
              <w:spacing w:after="0"/>
              <w:rPr>
                <w:sz w:val="20"/>
                <w:szCs w:val="20"/>
                <w:color w:val="auto"/>
              </w:rPr>
            </w:pPr>
            <w:r>
              <w:rPr>
                <w:rFonts w:ascii="Times New Roman" w:cs="Times New Roman" w:eastAsia="Times New Roman" w:hAnsi="Times New Roman"/>
                <w:sz w:val="20"/>
                <w:szCs w:val="20"/>
                <w:b w:val="1"/>
                <w:bCs w:val="1"/>
                <w:color w:val="auto"/>
              </w:rPr>
              <w:t>ended May 31,</w:t>
            </w:r>
          </w:p>
        </w:tc>
        <w:tc>
          <w:tcPr>
            <w:tcW w:w="120" w:type="dxa"/>
            <w:vAlign w:val="bottom"/>
          </w:tcPr>
          <w:p>
            <w:pPr>
              <w:spacing w:after="0"/>
              <w:rPr>
                <w:sz w:val="21"/>
                <w:szCs w:val="21"/>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20"/>
                <w:szCs w:val="20"/>
                <w:b w:val="1"/>
                <w:bCs w:val="1"/>
                <w:color w:val="auto"/>
              </w:rPr>
              <w:t>Change</w:t>
            </w: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Change</w:t>
            </w:r>
          </w:p>
        </w:tc>
        <w:tc>
          <w:tcPr>
            <w:tcW w:w="2260" w:type="dxa"/>
            <w:vAlign w:val="bottom"/>
            <w:gridSpan w:val="5"/>
          </w:tcPr>
          <w:p>
            <w:pPr>
              <w:jc w:val="center"/>
              <w:spacing w:after="0"/>
              <w:rPr>
                <w:sz w:val="20"/>
                <w:szCs w:val="20"/>
                <w:color w:val="auto"/>
              </w:rPr>
            </w:pPr>
            <w:r>
              <w:rPr>
                <w:rFonts w:ascii="Times New Roman" w:cs="Times New Roman" w:eastAsia="Times New Roman" w:hAnsi="Times New Roman"/>
                <w:sz w:val="20"/>
                <w:szCs w:val="20"/>
                <w:b w:val="1"/>
                <w:bCs w:val="1"/>
                <w:color w:val="auto"/>
              </w:rPr>
              <w:t>ended May 31,</w:t>
            </w:r>
          </w:p>
        </w:tc>
        <w:tc>
          <w:tcPr>
            <w:tcW w:w="120" w:type="dxa"/>
            <w:vAlign w:val="bottom"/>
          </w:tcPr>
          <w:p>
            <w:pPr>
              <w:spacing w:after="0"/>
              <w:rPr>
                <w:sz w:val="21"/>
                <w:szCs w:val="21"/>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20"/>
                <w:szCs w:val="20"/>
                <w:b w:val="1"/>
                <w:bCs w:val="1"/>
                <w:color w:val="auto"/>
              </w:rPr>
              <w:t>Change</w:t>
            </w:r>
          </w:p>
        </w:tc>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Change</w:t>
            </w:r>
          </w:p>
        </w:tc>
      </w:tr>
      <w:tr>
        <w:trPr>
          <w:trHeight w:val="268"/>
        </w:trPr>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2025</w:t>
            </w:r>
          </w:p>
        </w:tc>
        <w:tc>
          <w:tcPr>
            <w:tcW w:w="1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2024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980" w:type="dxa"/>
            <w:vAlign w:val="bottom"/>
            <w:gridSpan w:val="4"/>
          </w:tcPr>
          <w:p>
            <w:pPr>
              <w:ind w:left="320"/>
              <w:spacing w:after="0"/>
              <w:rPr>
                <w:sz w:val="20"/>
                <w:szCs w:val="20"/>
                <w:color w:val="auto"/>
              </w:rPr>
            </w:pPr>
            <w:r>
              <w:rPr>
                <w:rFonts w:ascii="Times New Roman" w:cs="Times New Roman" w:eastAsia="Times New Roman" w:hAnsi="Times New Roman"/>
                <w:sz w:val="20"/>
                <w:szCs w:val="20"/>
                <w:b w:val="1"/>
                <w:bCs w:val="1"/>
                <w:color w:val="auto"/>
              </w:rPr>
              <w:t>2025 vs. 2024</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2025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2024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80" w:type="dxa"/>
            <w:vAlign w:val="bottom"/>
            <w:gridSpan w:val="3"/>
          </w:tcPr>
          <w:p>
            <w:pPr>
              <w:jc w:val="right"/>
              <w:ind w:right="319"/>
              <w:spacing w:after="0"/>
              <w:rPr>
                <w:sz w:val="20"/>
                <w:szCs w:val="20"/>
                <w:color w:val="auto"/>
              </w:rPr>
            </w:pPr>
            <w:r>
              <w:rPr>
                <w:rFonts w:ascii="Times New Roman" w:cs="Times New Roman" w:eastAsia="Times New Roman" w:hAnsi="Times New Roman"/>
                <w:sz w:val="20"/>
                <w:szCs w:val="20"/>
                <w:b w:val="1"/>
                <w:bCs w:val="1"/>
                <w:color w:val="auto"/>
              </w:rPr>
              <w:t>2025 vs. 2024</w:t>
            </w:r>
          </w:p>
        </w:tc>
      </w:tr>
      <w:tr>
        <w:trPr>
          <w:trHeight w:val="459"/>
        </w:trPr>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$(1,272,795)</w:t>
            </w:r>
          </w:p>
        </w:tc>
        <w:tc>
          <w:tcPr>
            <w:tcW w:w="120" w:type="dxa"/>
            <w:vAlign w:val="bottom"/>
          </w:tcPr>
          <w:p>
            <w:pPr>
              <w:spacing w:after="0"/>
              <w:rPr>
                <w:sz w:val="24"/>
                <w:szCs w:val="24"/>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$(31,747)</w:t>
            </w:r>
          </w:p>
        </w:tc>
        <w:tc>
          <w:tcPr>
            <w:tcW w:w="100" w:type="dxa"/>
            <w:vAlign w:val="bottom"/>
          </w:tcPr>
          <w:p>
            <w:pPr>
              <w:spacing w:after="0"/>
              <w:rPr>
                <w:sz w:val="24"/>
                <w:szCs w:val="2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8"/>
              </w:rPr>
              <w:t>(1,241,048)</w:t>
            </w: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3,909%</w:t>
            </w:r>
          </w:p>
        </w:tc>
        <w:tc>
          <w:tcPr>
            <w:tcW w:w="100" w:type="dxa"/>
            <w:vAlign w:val="bottom"/>
          </w:tcPr>
          <w:p>
            <w:pPr>
              <w:spacing w:after="0"/>
              <w:rPr>
                <w:sz w:val="24"/>
                <w:szCs w:val="24"/>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$(2,186,738)</w:t>
            </w:r>
          </w:p>
        </w:tc>
        <w:tc>
          <w:tcPr>
            <w:tcW w:w="100" w:type="dxa"/>
            <w:vAlign w:val="bottom"/>
          </w:tcPr>
          <w:p>
            <w:pPr>
              <w:spacing w:after="0"/>
              <w:rPr>
                <w:sz w:val="24"/>
                <w:szCs w:val="2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(244,981)</w:t>
            </w:r>
          </w:p>
        </w:tc>
        <w:tc>
          <w:tcPr>
            <w:tcW w:w="100" w:type="dxa"/>
            <w:vAlign w:val="bottom"/>
          </w:tcPr>
          <w:p>
            <w:pPr>
              <w:spacing w:after="0"/>
              <w:rPr>
                <w:sz w:val="24"/>
                <w:szCs w:val="2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8"/>
              </w:rPr>
              <w:t>(1,941,757)</w:t>
            </w: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793%</w:t>
            </w:r>
          </w:p>
        </w:tc>
      </w:tr>
      <w:tr>
        <w:trPr>
          <w:trHeight w:val="594"/>
        </w:trPr>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(54,915)</w:t>
            </w: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17,022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(71,937)</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(423)%</w:t>
            </w:r>
          </w:p>
        </w:tc>
        <w:tc>
          <w:tcPr>
            <w:tcW w:w="1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(10,284)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37,842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(48,126)</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w:t>
            </w:r>
          </w:p>
        </w:tc>
      </w:tr>
      <w:tr>
        <w:trPr>
          <w:trHeight w:val="357"/>
        </w:trPr>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34,080</w:t>
            </w: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31,730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2,350</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1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133,490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126,913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6,577</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r>
      <w:tr>
        <w:trPr>
          <w:trHeight w:val="262"/>
        </w:trPr>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6,100</w:t>
            </w:r>
          </w:p>
        </w:tc>
        <w:tc>
          <w:tcPr>
            <w:tcW w:w="1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7,252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(1,152)</w:t>
            </w: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1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24,289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31,769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(7,480)</w:t>
            </w: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r>
      <w:tr>
        <w:trPr>
          <w:trHeight w:val="366"/>
        </w:trPr>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100" w:type="dxa"/>
            <w:vAlign w:val="bottom"/>
          </w:tcPr>
          <w:p>
            <w:pPr>
              <w:spacing w:after="0"/>
              <w:rPr>
                <w:sz w:val="24"/>
                <w:szCs w:val="24"/>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(15,790)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15,790</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w:t>
            </w:r>
          </w:p>
        </w:tc>
      </w:tr>
      <w:tr>
        <w:trPr>
          <w:trHeight w:val="480"/>
        </w:trPr>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1,396,904</w:t>
            </w:r>
          </w:p>
        </w:tc>
        <w:tc>
          <w:tcPr>
            <w:tcW w:w="12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1,396,904</w:t>
            </w:r>
          </w:p>
        </w:tc>
        <w:tc>
          <w:tcPr>
            <w:tcW w:w="100" w:type="dxa"/>
            <w:vAlign w:val="bottom"/>
          </w:tcPr>
          <w:p>
            <w:pPr>
              <w:spacing w:after="0"/>
              <w:rPr>
                <w:sz w:val="24"/>
                <w:szCs w:val="24"/>
                <w:color w:val="auto"/>
              </w:rPr>
            </w:pPr>
          </w:p>
        </w:tc>
        <w:tc>
          <w:tcPr>
            <w:tcW w:w="900" w:type="dxa"/>
            <w:vAlign w:val="bottom"/>
            <w:gridSpan w:val="2"/>
          </w:tcPr>
          <w:p>
            <w:pPr>
              <w:ind w:left="460"/>
              <w:spacing w:after="0"/>
              <w:rPr>
                <w:sz w:val="20"/>
                <w:szCs w:val="20"/>
                <w:color w:val="auto"/>
              </w:rPr>
            </w:pPr>
            <w:r>
              <w:rPr>
                <w:rFonts w:ascii="Times New Roman" w:cs="Times New Roman" w:eastAsia="Times New Roman" w:hAnsi="Times New Roman"/>
                <w:sz w:val="20"/>
                <w:szCs w:val="20"/>
                <w:color w:val="auto"/>
              </w:rPr>
              <w:t>NM</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2,096,139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2,096,139</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NM</w:t>
            </w:r>
          </w:p>
        </w:tc>
      </w:tr>
      <w:tr>
        <w:trPr>
          <w:trHeight w:val="480"/>
        </w:trPr>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(121,436)</w:t>
            </w:r>
          </w:p>
        </w:tc>
        <w:tc>
          <w:tcPr>
            <w:tcW w:w="12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(121,436)</w:t>
            </w:r>
          </w:p>
        </w:tc>
        <w:tc>
          <w:tcPr>
            <w:tcW w:w="100" w:type="dxa"/>
            <w:vAlign w:val="bottom"/>
          </w:tcPr>
          <w:p>
            <w:pPr>
              <w:spacing w:after="0"/>
              <w:rPr>
                <w:sz w:val="24"/>
                <w:szCs w:val="24"/>
                <w:color w:val="auto"/>
              </w:rPr>
            </w:pPr>
          </w:p>
        </w:tc>
        <w:tc>
          <w:tcPr>
            <w:tcW w:w="900" w:type="dxa"/>
            <w:vAlign w:val="bottom"/>
            <w:gridSpan w:val="2"/>
          </w:tcPr>
          <w:p>
            <w:pPr>
              <w:ind w:left="460"/>
              <w:spacing w:after="0"/>
              <w:rPr>
                <w:sz w:val="20"/>
                <w:szCs w:val="20"/>
                <w:color w:val="auto"/>
              </w:rPr>
            </w:pPr>
            <w:r>
              <w:rPr>
                <w:rFonts w:ascii="Times New Roman" w:cs="Times New Roman" w:eastAsia="Times New Roman" w:hAnsi="Times New Roman"/>
                <w:sz w:val="20"/>
                <w:szCs w:val="20"/>
                <w:color w:val="auto"/>
              </w:rPr>
              <w:t>NM</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(121,436)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(121,436)</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NM</w:t>
            </w:r>
          </w:p>
        </w:tc>
      </w:tr>
      <w:tr>
        <w:trPr>
          <w:trHeight w:val="821"/>
        </w:trPr>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1,129</w:t>
            </w:r>
          </w:p>
        </w:tc>
        <w:tc>
          <w:tcPr>
            <w:tcW w:w="12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1,129</w:t>
            </w:r>
          </w:p>
        </w:tc>
        <w:tc>
          <w:tcPr>
            <w:tcW w:w="100" w:type="dxa"/>
            <w:vAlign w:val="bottom"/>
          </w:tcPr>
          <w:p>
            <w:pPr>
              <w:spacing w:after="0"/>
              <w:rPr>
                <w:sz w:val="24"/>
                <w:szCs w:val="24"/>
                <w:color w:val="auto"/>
              </w:rPr>
            </w:pPr>
          </w:p>
        </w:tc>
        <w:tc>
          <w:tcPr>
            <w:tcW w:w="900" w:type="dxa"/>
            <w:vAlign w:val="bottom"/>
            <w:gridSpan w:val="2"/>
          </w:tcPr>
          <w:p>
            <w:pPr>
              <w:ind w:left="460"/>
              <w:spacing w:after="0"/>
              <w:rPr>
                <w:sz w:val="20"/>
                <w:szCs w:val="20"/>
                <w:color w:val="auto"/>
              </w:rPr>
            </w:pPr>
            <w:r>
              <w:rPr>
                <w:rFonts w:ascii="Times New Roman" w:cs="Times New Roman" w:eastAsia="Times New Roman" w:hAnsi="Times New Roman"/>
                <w:sz w:val="20"/>
                <w:szCs w:val="20"/>
                <w:color w:val="auto"/>
              </w:rPr>
              <w:t>NM</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14,729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29,023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(14,294)</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w:t>
            </w:r>
          </w:p>
        </w:tc>
      </w:tr>
      <w:tr>
        <w:trPr>
          <w:trHeight w:val="821"/>
        </w:trPr>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4"/>
                <w:szCs w:val="24"/>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gridSpan w:val="2"/>
          </w:tcPr>
          <w:p>
            <w:pPr>
              <w:ind w:left="460"/>
              <w:spacing w:after="0"/>
              <w:rPr>
                <w:sz w:val="20"/>
                <w:szCs w:val="20"/>
                <w:color w:val="auto"/>
              </w:rPr>
            </w:pPr>
            <w:r>
              <w:rPr>
                <w:rFonts w:ascii="Times New Roman" w:cs="Times New Roman" w:eastAsia="Times New Roman" w:hAnsi="Times New Roman"/>
                <w:sz w:val="20"/>
                <w:szCs w:val="20"/>
                <w:color w:val="auto"/>
              </w:rPr>
              <w:t>NM</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2,600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2,600</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NM</w:t>
            </w:r>
          </w:p>
        </w:tc>
      </w:tr>
      <w:tr>
        <w:trPr>
          <w:trHeight w:val="480"/>
        </w:trPr>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(800)</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100" w:type="dxa"/>
            <w:vAlign w:val="bottom"/>
          </w:tcPr>
          <w:p>
            <w:pPr>
              <w:spacing w:after="0"/>
              <w:rPr>
                <w:sz w:val="24"/>
                <w:szCs w:val="24"/>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2,100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(2,100)</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w:t>
            </w:r>
          </w:p>
        </w:tc>
      </w:tr>
      <w:tr>
        <w:trPr>
          <w:trHeight w:val="480"/>
        </w:trPr>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12,093</w:t>
            </w: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12,281</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(6,532)%</w:t>
            </w:r>
          </w:p>
        </w:tc>
        <w:tc>
          <w:tcPr>
            <w:tcW w:w="1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17,347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8,251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9,096</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w:t>
            </w:r>
          </w:p>
        </w:tc>
      </w:tr>
    </w:tbl>
    <w:p>
      <w:pPr>
        <w:sectPr>
          <w:pgSz w:w="11900" w:h="16884" w:orient="portrait"/>
          <w:cols w:equalWidth="0" w:num="2">
            <w:col w:w="2560" w:space="160"/>
            <w:col w:w="8500"/>
          </w:cols>
          <w:pgMar w:left="340" w:top="114" w:right="339" w:bottom="0" w:gutter="0" w:footer="0" w:header="0"/>
          <w:type w:val="continuous"/>
        </w:sectPr>
      </w:pPr>
    </w:p>
    <w:bookmarkStart w:id="13" w:name="page14"/>
    <w:bookmarkEnd w:id="13"/>
    <w:p>
      <w:pPr>
        <w:ind w:left="20"/>
        <w:spacing w:after="0"/>
        <w:rPr>
          <w:sz w:val="20"/>
          <w:szCs w:val="20"/>
          <w:color w:val="auto"/>
        </w:rPr>
      </w:pPr>
      <w:r>
        <w:rPr>
          <w:rFonts w:ascii="Times New Roman" w:cs="Times New Roman" w:eastAsia="Times New Roman" w:hAnsi="Times New Roman"/>
          <w:sz w:val="20"/>
          <w:szCs w:val="20"/>
          <w:color w:val="auto"/>
        </w:rPr>
        <w:t>Restructuring costs</w:t>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Transaction costs (income), net</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Adjusted net income (loss)</w:t>
      </w:r>
    </w:p>
    <w:p>
      <w:pPr>
        <w:spacing w:after="0" w:line="48" w:lineRule="exact"/>
        <w:rPr>
          <w:sz w:val="20"/>
          <w:szCs w:val="20"/>
          <w:color w:val="auto"/>
        </w:rPr>
      </w:pPr>
    </w:p>
    <w:p>
      <w:pPr>
        <w:ind w:left="20" w:right="40"/>
        <w:spacing w:after="0" w:line="270" w:lineRule="auto"/>
        <w:rPr>
          <w:sz w:val="20"/>
          <w:szCs w:val="20"/>
          <w:color w:val="auto"/>
        </w:rPr>
      </w:pPr>
      <w:r>
        <w:rPr>
          <w:rFonts w:ascii="Times New Roman" w:cs="Times New Roman" w:eastAsia="Times New Roman" w:hAnsi="Times New Roman"/>
          <w:sz w:val="20"/>
          <w:szCs w:val="20"/>
          <w:color w:val="auto"/>
        </w:rPr>
        <w:t>Adjusted net income (loss) per share - basic</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17,034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6,833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10,201</w:t>
            </w: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34,283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15,581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18,702</w:t>
            </w: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w:t>
            </w:r>
          </w:p>
        </w:tc>
      </w:tr>
      <w:tr>
        <w:trPr>
          <w:trHeight w:val="264"/>
        </w:trPr>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1,971</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2,401</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(430)</w:t>
            </w:r>
          </w:p>
        </w:tc>
        <w:tc>
          <w:tcPr>
            <w:tcW w:w="100" w:type="dxa"/>
            <w:vAlign w:val="bottom"/>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4,534</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15,462</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(10,928)</w:t>
            </w:r>
          </w:p>
        </w:tc>
        <w:tc>
          <w:tcPr>
            <w:tcW w:w="100" w:type="dxa"/>
            <w:vAlign w:val="bottom"/>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(71)%</w:t>
            </w:r>
          </w:p>
        </w:tc>
      </w:tr>
      <w:tr>
        <w:trPr>
          <w:trHeight w:val="247"/>
        </w:trPr>
        <w:tc>
          <w:tcPr>
            <w:tcW w:w="2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20,165</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35,103</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20"/>
                <w:szCs w:val="20"/>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(14,938)</w:t>
            </w:r>
          </w:p>
        </w:tc>
        <w:tc>
          <w:tcPr>
            <w:tcW w:w="100" w:type="dxa"/>
            <w:vAlign w:val="bottom"/>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20"/>
                <w:szCs w:val="20"/>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8,953</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6,170</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20"/>
                <w:szCs w:val="20"/>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2,783</w:t>
            </w:r>
          </w:p>
        </w:tc>
        <w:tc>
          <w:tcPr>
            <w:tcW w:w="100" w:type="dxa"/>
            <w:vAlign w:val="bottom"/>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45%</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329"/>
        </w:trPr>
        <w:tc>
          <w:tcPr>
            <w:tcW w:w="260" w:type="dxa"/>
            <w:vAlign w:val="bottom"/>
          </w:tcPr>
          <w:p>
            <w:pPr>
              <w:jc w:val="right"/>
              <w:ind w:right="59"/>
              <w:spacing w:after="0"/>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0.02</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0.04</w:t>
            </w:r>
          </w:p>
        </w:tc>
        <w:tc>
          <w:tcPr>
            <w:tcW w:w="100" w:type="dxa"/>
            <w:vAlign w:val="bottom"/>
          </w:tcPr>
          <w:p>
            <w:pPr>
              <w:spacing w:after="0"/>
              <w:rPr>
                <w:sz w:val="24"/>
                <w:szCs w:val="24"/>
                <w:color w:val="auto"/>
              </w:rPr>
            </w:pPr>
          </w:p>
        </w:tc>
        <w:tc>
          <w:tcPr>
            <w:tcW w:w="240" w:type="dxa"/>
            <w:vAlign w:val="bottom"/>
          </w:tcPr>
          <w:p>
            <w:pPr>
              <w:jc w:val="right"/>
              <w:ind w:right="19"/>
              <w:spacing w:after="0"/>
              <w:rPr>
                <w:sz w:val="20"/>
                <w:szCs w:val="20"/>
                <w:color w:val="auto"/>
              </w:rPr>
            </w:pPr>
            <w:r>
              <w:rPr>
                <w:rFonts w:ascii="Times New Roman" w:cs="Times New Roman" w:eastAsia="Times New Roman" w:hAnsi="Times New Roman"/>
                <w:sz w:val="20"/>
                <w:szCs w:val="20"/>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(0.02)</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w:t>
            </w:r>
          </w:p>
        </w:tc>
        <w:tc>
          <w:tcPr>
            <w:tcW w:w="100" w:type="dxa"/>
            <w:vAlign w:val="bottom"/>
          </w:tcPr>
          <w:p>
            <w:pPr>
              <w:spacing w:after="0"/>
              <w:rPr>
                <w:sz w:val="24"/>
                <w:szCs w:val="24"/>
                <w:color w:val="auto"/>
              </w:rPr>
            </w:pPr>
          </w:p>
        </w:tc>
        <w:tc>
          <w:tcPr>
            <w:tcW w:w="280" w:type="dxa"/>
            <w:vAlign w:val="bottom"/>
          </w:tcPr>
          <w:p>
            <w:pPr>
              <w:jc w:val="right"/>
              <w:ind w:right="59"/>
              <w:spacing w:after="0"/>
              <w:rPr>
                <w:sz w:val="20"/>
                <w:szCs w:val="20"/>
                <w:color w:val="auto"/>
              </w:rPr>
            </w:pPr>
            <w:r>
              <w:rPr>
                <w:rFonts w:ascii="Times New Roman" w:cs="Times New Roman" w:eastAsia="Times New Roman" w:hAnsi="Times New Roman"/>
                <w:sz w:val="20"/>
                <w:szCs w:val="20"/>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0.01</w:t>
            </w:r>
          </w:p>
        </w:tc>
        <w:tc>
          <w:tcPr>
            <w:tcW w:w="10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0.01</w:t>
            </w:r>
          </w:p>
        </w:tc>
        <w:tc>
          <w:tcPr>
            <w:tcW w:w="100" w:type="dxa"/>
            <w:vAlign w:val="bottom"/>
          </w:tcPr>
          <w:p>
            <w:pPr>
              <w:spacing w:after="0"/>
              <w:rPr>
                <w:sz w:val="24"/>
                <w:szCs w:val="24"/>
                <w:color w:val="auto"/>
              </w:rPr>
            </w:pPr>
          </w:p>
        </w:tc>
        <w:tc>
          <w:tcPr>
            <w:tcW w:w="240" w:type="dxa"/>
            <w:vAlign w:val="bottom"/>
          </w:tcPr>
          <w:p>
            <w:pPr>
              <w:jc w:val="right"/>
              <w:ind w:right="19"/>
              <w:spacing w:after="0"/>
              <w:rPr>
                <w:sz w:val="20"/>
                <w:szCs w:val="20"/>
                <w:color w:val="auto"/>
              </w:rPr>
            </w:pPr>
            <w:r>
              <w:rPr>
                <w:rFonts w:ascii="Times New Roman" w:cs="Times New Roman" w:eastAsia="Times New Roman" w:hAnsi="Times New Roman"/>
                <w:sz w:val="20"/>
                <w:szCs w:val="20"/>
                <w:color w:val="auto"/>
                <w:w w:val="99"/>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r>
      <w:tr>
        <w:trPr>
          <w:trHeight w:val="92"/>
        </w:trPr>
        <w:tc>
          <w:tcPr>
            <w:tcW w:w="26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2540" w:space="200"/>
            <w:col w:w="8500"/>
          </w:cols>
          <w:pgMar w:left="320" w:top="114" w:right="339" w:bottom="1440" w:gutter="0" w:footer="0" w:header="0"/>
        </w:sectPr>
      </w:pP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Other Financial Information:</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Free Cash Flow</w:t>
      </w:r>
    </w:p>
    <w:p>
      <w:pPr>
        <w:spacing w:after="0" w:line="200" w:lineRule="exact"/>
        <w:rPr>
          <w:sz w:val="20"/>
          <w:szCs w:val="20"/>
          <w:color w:val="auto"/>
        </w:rPr>
      </w:pPr>
    </w:p>
    <w:p>
      <w:pPr>
        <w:spacing w:after="0" w:line="2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(In thousands of U.S. dollars)</w:t>
      </w:r>
    </w:p>
    <w:p>
      <w:pPr>
        <w:spacing w:after="0" w:line="36" w:lineRule="exact"/>
        <w:rPr>
          <w:sz w:val="20"/>
          <w:szCs w:val="20"/>
          <w:color w:val="auto"/>
        </w:rPr>
      </w:pPr>
    </w:p>
    <w:p>
      <w:pPr>
        <w:ind w:left="20" w:right="100"/>
        <w:spacing w:after="0" w:line="250" w:lineRule="auto"/>
        <w:rPr>
          <w:sz w:val="20"/>
          <w:szCs w:val="20"/>
          <w:color w:val="auto"/>
        </w:rPr>
      </w:pPr>
      <w:r>
        <w:rPr>
          <w:rFonts w:ascii="Times New Roman" w:cs="Times New Roman" w:eastAsia="Times New Roman" w:hAnsi="Times New Roman"/>
          <w:sz w:val="20"/>
          <w:szCs w:val="20"/>
          <w:color w:val="auto"/>
        </w:rPr>
        <w:t>Net cash provided by (used in) operating activities</w:t>
      </w:r>
    </w:p>
    <w:p>
      <w:pPr>
        <w:spacing w:after="0" w:line="1" w:lineRule="exact"/>
        <w:rPr>
          <w:sz w:val="20"/>
          <w:szCs w:val="20"/>
          <w:color w:val="auto"/>
        </w:rPr>
      </w:pPr>
    </w:p>
    <w:p>
      <w:pPr>
        <w:ind w:left="20"/>
        <w:spacing w:after="0" w:line="252" w:lineRule="auto"/>
        <w:rPr>
          <w:sz w:val="20"/>
          <w:szCs w:val="20"/>
          <w:color w:val="auto"/>
        </w:rPr>
      </w:pPr>
      <w:r>
        <w:rPr>
          <w:rFonts w:ascii="Times New Roman" w:cs="Times New Roman" w:eastAsia="Times New Roman" w:hAnsi="Times New Roman"/>
          <w:sz w:val="20"/>
          <w:szCs w:val="20"/>
          <w:color w:val="auto"/>
        </w:rPr>
        <w:t>Less: investments in capital and intangible assets,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140" w:type="dxa"/>
            <w:vAlign w:val="bottom"/>
            <w:gridSpan w:val="4"/>
          </w:tcPr>
          <w:p>
            <w:pPr>
              <w:jc w:val="center"/>
              <w:spacing w:after="0"/>
              <w:rPr>
                <w:sz w:val="20"/>
                <w:szCs w:val="20"/>
                <w:color w:val="auto"/>
              </w:rPr>
            </w:pPr>
            <w:r>
              <w:rPr>
                <w:rFonts w:ascii="Times New Roman" w:cs="Times New Roman" w:eastAsia="Times New Roman" w:hAnsi="Times New Roman"/>
                <w:sz w:val="20"/>
                <w:szCs w:val="20"/>
                <w:b w:val="1"/>
                <w:bCs w:val="1"/>
                <w:color w:val="auto"/>
              </w:rPr>
              <w:t>For the three months</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40" w:type="dxa"/>
            <w:vAlign w:val="bottom"/>
          </w:tcPr>
          <w:p>
            <w:pPr>
              <w:jc w:val="right"/>
              <w:ind w:right="199"/>
              <w:spacing w:after="0"/>
              <w:rPr>
                <w:sz w:val="20"/>
                <w:szCs w:val="20"/>
                <w:color w:val="auto"/>
              </w:rPr>
            </w:pPr>
            <w:r>
              <w:rPr>
                <w:rFonts w:ascii="Times New Roman" w:cs="Times New Roman" w:eastAsia="Times New Roman" w:hAnsi="Times New Roman"/>
                <w:sz w:val="20"/>
                <w:szCs w:val="20"/>
                <w:b w:val="1"/>
                <w:bCs w:val="1"/>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0" w:type="dxa"/>
            <w:vAlign w:val="bottom"/>
            <w:gridSpan w:val="4"/>
          </w:tcPr>
          <w:p>
            <w:pPr>
              <w:jc w:val="center"/>
              <w:ind w:right="300"/>
              <w:spacing w:after="0"/>
              <w:rPr>
                <w:sz w:val="20"/>
                <w:szCs w:val="20"/>
                <w:color w:val="auto"/>
              </w:rPr>
            </w:pPr>
            <w:r>
              <w:rPr>
                <w:rFonts w:ascii="Times New Roman" w:cs="Times New Roman" w:eastAsia="Times New Roman" w:hAnsi="Times New Roman"/>
                <w:sz w:val="20"/>
                <w:szCs w:val="20"/>
                <w:b w:val="1"/>
                <w:bCs w:val="1"/>
                <w:color w:val="auto"/>
              </w:rPr>
              <w:t>For the year</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40" w:type="dxa"/>
            <w:vAlign w:val="bottom"/>
          </w:tcPr>
          <w:p>
            <w:pPr>
              <w:jc w:val="right"/>
              <w:ind w:right="199"/>
              <w:spacing w:after="0"/>
              <w:rPr>
                <w:sz w:val="20"/>
                <w:szCs w:val="20"/>
                <w:color w:val="auto"/>
              </w:rPr>
            </w:pPr>
            <w:r>
              <w:rPr>
                <w:rFonts w:ascii="Times New Roman" w:cs="Times New Roman" w:eastAsia="Times New Roman" w:hAnsi="Times New Roman"/>
                <w:sz w:val="20"/>
                <w:szCs w:val="20"/>
                <w:b w:val="1"/>
                <w:bCs w:val="1"/>
                <w:color w:val="auto"/>
              </w:rPr>
              <w:t>%</w:t>
            </w:r>
          </w:p>
        </w:tc>
      </w:tr>
      <w:tr>
        <w:trPr>
          <w:trHeight w:val="253"/>
        </w:trPr>
        <w:tc>
          <w:tcPr>
            <w:tcW w:w="2140" w:type="dxa"/>
            <w:vAlign w:val="bottom"/>
            <w:gridSpan w:val="4"/>
          </w:tcPr>
          <w:p>
            <w:pPr>
              <w:jc w:val="center"/>
              <w:spacing w:after="0"/>
              <w:rPr>
                <w:sz w:val="20"/>
                <w:szCs w:val="20"/>
                <w:color w:val="auto"/>
              </w:rPr>
            </w:pPr>
            <w:r>
              <w:rPr>
                <w:rFonts w:ascii="Times New Roman" w:cs="Times New Roman" w:eastAsia="Times New Roman" w:hAnsi="Times New Roman"/>
                <w:sz w:val="20"/>
                <w:szCs w:val="20"/>
                <w:b w:val="1"/>
                <w:bCs w:val="1"/>
                <w:color w:val="auto"/>
              </w:rPr>
              <w:t>ended May 31,</w:t>
            </w:r>
          </w:p>
        </w:tc>
        <w:tc>
          <w:tcPr>
            <w:tcW w:w="160" w:type="dxa"/>
            <w:vAlign w:val="bottom"/>
          </w:tcPr>
          <w:p>
            <w:pPr>
              <w:spacing w:after="0"/>
              <w:rPr>
                <w:sz w:val="21"/>
                <w:szCs w:val="21"/>
                <w:color w:val="auto"/>
              </w:rPr>
            </w:pPr>
          </w:p>
        </w:tc>
        <w:tc>
          <w:tcPr>
            <w:tcW w:w="1000" w:type="dxa"/>
            <w:vAlign w:val="bottom"/>
          </w:tcPr>
          <w:p>
            <w:pPr>
              <w:jc w:val="right"/>
              <w:ind w:right="179"/>
              <w:spacing w:after="0"/>
              <w:rPr>
                <w:sz w:val="20"/>
                <w:szCs w:val="20"/>
                <w:color w:val="auto"/>
              </w:rPr>
            </w:pPr>
            <w:r>
              <w:rPr>
                <w:rFonts w:ascii="Times New Roman" w:cs="Times New Roman" w:eastAsia="Times New Roman" w:hAnsi="Times New Roman"/>
                <w:sz w:val="20"/>
                <w:szCs w:val="20"/>
                <w:b w:val="1"/>
                <w:bCs w:val="1"/>
                <w:color w:val="auto"/>
              </w:rPr>
              <w:t>Change</w:t>
            </w:r>
          </w:p>
        </w:tc>
        <w:tc>
          <w:tcPr>
            <w:tcW w:w="1200" w:type="dxa"/>
            <w:vAlign w:val="bottom"/>
            <w:gridSpan w:val="3"/>
          </w:tcPr>
          <w:p>
            <w:pPr>
              <w:jc w:val="right"/>
              <w:ind w:right="420"/>
              <w:spacing w:after="0"/>
              <w:rPr>
                <w:sz w:val="20"/>
                <w:szCs w:val="20"/>
                <w:color w:val="auto"/>
              </w:rPr>
            </w:pPr>
            <w:r>
              <w:rPr>
                <w:rFonts w:ascii="Times New Roman" w:cs="Times New Roman" w:eastAsia="Times New Roman" w:hAnsi="Times New Roman"/>
                <w:sz w:val="20"/>
                <w:szCs w:val="20"/>
                <w:b w:val="1"/>
                <w:bCs w:val="1"/>
                <w:color w:val="auto"/>
              </w:rPr>
              <w:t>Change</w:t>
            </w:r>
          </w:p>
        </w:tc>
        <w:tc>
          <w:tcPr>
            <w:tcW w:w="2000" w:type="dxa"/>
            <w:vAlign w:val="bottom"/>
            <w:gridSpan w:val="4"/>
          </w:tcPr>
          <w:p>
            <w:pPr>
              <w:jc w:val="center"/>
              <w:ind w:right="260"/>
              <w:spacing w:after="0"/>
              <w:rPr>
                <w:sz w:val="20"/>
                <w:szCs w:val="20"/>
                <w:color w:val="auto"/>
              </w:rPr>
            </w:pPr>
            <w:r>
              <w:rPr>
                <w:rFonts w:ascii="Times New Roman" w:cs="Times New Roman" w:eastAsia="Times New Roman" w:hAnsi="Times New Roman"/>
                <w:sz w:val="20"/>
                <w:szCs w:val="20"/>
                <w:b w:val="1"/>
                <w:bCs w:val="1"/>
                <w:color w:val="auto"/>
              </w:rPr>
              <w:t>ended May 31,</w:t>
            </w:r>
          </w:p>
        </w:tc>
        <w:tc>
          <w:tcPr>
            <w:tcW w:w="160" w:type="dxa"/>
            <w:vAlign w:val="bottom"/>
          </w:tcPr>
          <w:p>
            <w:pPr>
              <w:spacing w:after="0"/>
              <w:rPr>
                <w:sz w:val="21"/>
                <w:szCs w:val="21"/>
                <w:color w:val="auto"/>
              </w:rPr>
            </w:pPr>
          </w:p>
        </w:tc>
        <w:tc>
          <w:tcPr>
            <w:tcW w:w="1000" w:type="dxa"/>
            <w:vAlign w:val="bottom"/>
          </w:tcPr>
          <w:p>
            <w:pPr>
              <w:jc w:val="right"/>
              <w:ind w:right="179"/>
              <w:spacing w:after="0"/>
              <w:rPr>
                <w:sz w:val="20"/>
                <w:szCs w:val="20"/>
                <w:color w:val="auto"/>
              </w:rPr>
            </w:pPr>
            <w:r>
              <w:rPr>
                <w:rFonts w:ascii="Times New Roman" w:cs="Times New Roman" w:eastAsia="Times New Roman" w:hAnsi="Times New Roman"/>
                <w:sz w:val="20"/>
                <w:szCs w:val="20"/>
                <w:b w:val="1"/>
                <w:bCs w:val="1"/>
                <w:color w:val="auto"/>
              </w:rPr>
              <w:t>Change</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Change</w:t>
            </w:r>
          </w:p>
        </w:tc>
      </w:tr>
      <w:tr>
        <w:trPr>
          <w:trHeight w:val="268"/>
        </w:trPr>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2025</w:t>
            </w:r>
          </w:p>
        </w:tc>
        <w:tc>
          <w:tcPr>
            <w:tcW w:w="120" w:type="dxa"/>
            <w:vAlign w:val="bottom"/>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2024</w:t>
            </w:r>
          </w:p>
        </w:tc>
        <w:tc>
          <w:tcPr>
            <w:tcW w:w="10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840" w:type="dxa"/>
            <w:vAlign w:val="bottom"/>
            <w:tcBorders>
              <w:bottom w:val="single" w:sz="8" w:color="auto"/>
            </w:tcBorders>
            <w:gridSpan w:val="2"/>
          </w:tcPr>
          <w:p>
            <w:pPr>
              <w:jc w:val="right"/>
              <w:ind w:right="319"/>
              <w:spacing w:after="0"/>
              <w:rPr>
                <w:sz w:val="20"/>
                <w:szCs w:val="20"/>
                <w:color w:val="auto"/>
              </w:rPr>
            </w:pPr>
            <w:r>
              <w:rPr>
                <w:rFonts w:ascii="Times New Roman" w:cs="Times New Roman" w:eastAsia="Times New Roman" w:hAnsi="Times New Roman"/>
                <w:sz w:val="20"/>
                <w:szCs w:val="20"/>
                <w:b w:val="1"/>
                <w:bCs w:val="1"/>
                <w:color w:val="auto"/>
              </w:rPr>
              <w:t>2025 vs. 2024</w:t>
            </w:r>
          </w:p>
        </w:tc>
        <w:tc>
          <w:tcPr>
            <w:tcW w:w="1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2025</w:t>
            </w:r>
          </w:p>
        </w:tc>
        <w:tc>
          <w:tcPr>
            <w:tcW w:w="100" w:type="dxa"/>
            <w:vAlign w:val="bottom"/>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2024</w:t>
            </w:r>
          </w:p>
        </w:tc>
        <w:tc>
          <w:tcPr>
            <w:tcW w:w="10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840" w:type="dxa"/>
            <w:vAlign w:val="bottom"/>
            <w:tcBorders>
              <w:bottom w:val="single" w:sz="8" w:color="auto"/>
            </w:tcBorders>
            <w:gridSpan w:val="2"/>
          </w:tcPr>
          <w:p>
            <w:pPr>
              <w:jc w:val="right"/>
              <w:ind w:right="319"/>
              <w:spacing w:after="0"/>
              <w:rPr>
                <w:sz w:val="20"/>
                <w:szCs w:val="20"/>
                <w:color w:val="auto"/>
              </w:rPr>
            </w:pPr>
            <w:r>
              <w:rPr>
                <w:rFonts w:ascii="Times New Roman" w:cs="Times New Roman" w:eastAsia="Times New Roman" w:hAnsi="Times New Roman"/>
                <w:sz w:val="20"/>
                <w:szCs w:val="20"/>
                <w:b w:val="1"/>
                <w:bCs w:val="1"/>
                <w:color w:val="auto"/>
              </w:rPr>
              <w:t>2025 vs. 2024</w:t>
            </w:r>
          </w:p>
        </w:tc>
      </w:tr>
      <w:tr>
        <w:trPr>
          <w:trHeight w:val="345"/>
        </w:trPr>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(12,807)</w:t>
            </w: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$ 30,707</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(43,514)</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(142)% $</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(94,599)</w:t>
            </w:r>
          </w:p>
        </w:tc>
        <w:tc>
          <w:tcPr>
            <w:tcW w:w="1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(30,905)</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(63,694)</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206%</w:t>
            </w:r>
          </w:p>
        </w:tc>
      </w:tr>
      <w:tr>
        <w:trPr>
          <w:trHeight w:val="480"/>
        </w:trPr>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(340)</w:t>
            </w: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(2,367)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20"/>
                <w:szCs w:val="20"/>
                <w:color w:val="auto"/>
              </w:rPr>
              <w:t>2,027</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(26,093)</w:t>
            </w:r>
          </w:p>
        </w:tc>
        <w:tc>
          <w:tcPr>
            <w:tcW w:w="1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(20,740)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(5,353)</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w:t>
            </w:r>
          </w:p>
        </w:tc>
      </w:tr>
    </w:tbl>
    <w:p>
      <w:pPr>
        <w:spacing w:after="0" w:line="117" w:lineRule="exact"/>
        <w:rPr>
          <w:sz w:val="20"/>
          <w:szCs w:val="20"/>
          <w:color w:val="auto"/>
        </w:rPr>
      </w:pPr>
    </w:p>
    <w:p>
      <w:pPr>
        <w:sectPr>
          <w:pgSz w:w="11900" w:h="16838" w:orient="portrait"/>
          <w:cols w:equalWidth="0" w:num="2">
            <w:col w:w="2600" w:space="140"/>
            <w:col w:w="8500"/>
          </w:cols>
          <w:pgMar w:left="320" w:top="114"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20"/>
          <w:szCs w:val="20"/>
          <w:color w:val="auto"/>
        </w:rPr>
        <w:t>Free cash flow</w:t>
      </w:r>
    </w:p>
    <w:p>
      <w:pPr>
        <w:spacing w:after="0" w:line="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Add: growth CAPEX</w:t>
      </w:r>
    </w:p>
    <w:p>
      <w:pPr>
        <w:spacing w:after="0" w:line="35" w:lineRule="exact"/>
        <w:rPr>
          <w:sz w:val="20"/>
          <w:szCs w:val="20"/>
          <w:color w:val="auto"/>
        </w:rPr>
      </w:pPr>
    </w:p>
    <w:p>
      <w:pPr>
        <w:ind w:left="20" w:right="60"/>
        <w:spacing w:after="0" w:line="255" w:lineRule="auto"/>
        <w:rPr>
          <w:sz w:val="20"/>
          <w:szCs w:val="20"/>
          <w:color w:val="auto"/>
        </w:rPr>
      </w:pPr>
      <w:r>
        <w:rPr>
          <w:rFonts w:ascii="Times New Roman" w:cs="Times New Roman" w:eastAsia="Times New Roman" w:hAnsi="Times New Roman"/>
          <w:sz w:val="20"/>
          <w:szCs w:val="20"/>
          <w:color w:val="auto"/>
        </w:rPr>
        <w:t>Add: cash income taxes related to Aphria Diamond</w:t>
      </w:r>
    </w:p>
    <w:p>
      <w:pPr>
        <w:spacing w:after="0" w:line="1" w:lineRule="exact"/>
        <w:rPr>
          <w:sz w:val="20"/>
          <w:szCs w:val="20"/>
          <w:color w:val="auto"/>
        </w:rPr>
      </w:pPr>
    </w:p>
    <w:p>
      <w:pPr>
        <w:ind w:left="20"/>
        <w:spacing w:after="0" w:line="252" w:lineRule="auto"/>
        <w:rPr>
          <w:sz w:val="20"/>
          <w:szCs w:val="20"/>
          <w:color w:val="auto"/>
        </w:rPr>
      </w:pPr>
      <w:r>
        <w:rPr>
          <w:rFonts w:ascii="Times New Roman" w:cs="Times New Roman" w:eastAsia="Times New Roman" w:hAnsi="Times New Roman"/>
          <w:sz w:val="20"/>
          <w:szCs w:val="20"/>
          <w:color w:val="auto"/>
        </w:rPr>
        <w:t>Add: integration costs related to HEXO</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
        </w:trPr>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29"/>
        </w:trPr>
        <w:tc>
          <w:tcPr>
            <w:tcW w:w="108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   (13,147)</w:t>
            </w:r>
          </w:p>
        </w:tc>
        <w:tc>
          <w:tcPr>
            <w:tcW w:w="120" w:type="dxa"/>
            <w:vAlign w:val="bottom"/>
          </w:tcPr>
          <w:p>
            <w:pPr>
              <w:spacing w:after="0"/>
              <w:rPr>
                <w:sz w:val="19"/>
                <w:szCs w:val="19"/>
                <w:color w:val="auto"/>
              </w:rPr>
            </w:pPr>
          </w:p>
        </w:tc>
        <w:tc>
          <w:tcPr>
            <w:tcW w:w="84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$ 28,340</w:t>
            </w:r>
          </w:p>
        </w:tc>
        <w:tc>
          <w:tcPr>
            <w:tcW w:w="100" w:type="dxa"/>
            <w:vAlign w:val="bottom"/>
          </w:tcPr>
          <w:p>
            <w:pPr>
              <w:spacing w:after="0"/>
              <w:rPr>
                <w:sz w:val="19"/>
                <w:szCs w:val="19"/>
                <w:color w:val="auto"/>
              </w:rPr>
            </w:pPr>
          </w:p>
        </w:tc>
        <w:tc>
          <w:tcPr>
            <w:tcW w:w="240" w:type="dxa"/>
            <w:vAlign w:val="bottom"/>
          </w:tcPr>
          <w:p>
            <w:pPr>
              <w:jc w:val="right"/>
              <w:ind w:right="19"/>
              <w:spacing w:after="0" w:line="229" w:lineRule="exact"/>
              <w:rPr>
                <w:sz w:val="20"/>
                <w:szCs w:val="20"/>
                <w:color w:val="auto"/>
              </w:rPr>
            </w:pPr>
            <w:r>
              <w:rPr>
                <w:rFonts w:ascii="Times New Roman" w:cs="Times New Roman" w:eastAsia="Times New Roman" w:hAnsi="Times New Roman"/>
                <w:sz w:val="20"/>
                <w:szCs w:val="20"/>
                <w:color w:val="auto"/>
                <w:w w:val="99"/>
              </w:rPr>
              <w:t>$</w:t>
            </w:r>
          </w:p>
        </w:tc>
        <w:tc>
          <w:tcPr>
            <w:tcW w:w="86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(41,487)</w:t>
            </w:r>
          </w:p>
        </w:tc>
        <w:tc>
          <w:tcPr>
            <w:tcW w:w="100" w:type="dxa"/>
            <w:vAlign w:val="bottom"/>
          </w:tcPr>
          <w:p>
            <w:pPr>
              <w:spacing w:after="0"/>
              <w:rPr>
                <w:sz w:val="19"/>
                <w:szCs w:val="19"/>
                <w:color w:val="auto"/>
              </w:rPr>
            </w:pPr>
          </w:p>
        </w:tc>
        <w:tc>
          <w:tcPr>
            <w:tcW w:w="1100" w:type="dxa"/>
            <w:vAlign w:val="bottom"/>
            <w:gridSpan w:val="3"/>
          </w:tcPr>
          <w:p>
            <w:pPr>
              <w:jc w:val="right"/>
              <w:ind w:right="80"/>
              <w:spacing w:after="0" w:line="229" w:lineRule="exact"/>
              <w:rPr>
                <w:sz w:val="20"/>
                <w:szCs w:val="20"/>
                <w:color w:val="auto"/>
              </w:rPr>
            </w:pPr>
            <w:r>
              <w:rPr>
                <w:rFonts w:ascii="Times New Roman" w:cs="Times New Roman" w:eastAsia="Times New Roman" w:hAnsi="Times New Roman"/>
                <w:sz w:val="20"/>
                <w:szCs w:val="20"/>
                <w:color w:val="auto"/>
              </w:rPr>
              <w:t>(146)% $</w:t>
            </w:r>
          </w:p>
        </w:tc>
        <w:tc>
          <w:tcPr>
            <w:tcW w:w="90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(120,692)</w:t>
            </w:r>
          </w:p>
        </w:tc>
        <w:tc>
          <w:tcPr>
            <w:tcW w:w="100" w:type="dxa"/>
            <w:vAlign w:val="bottom"/>
          </w:tcPr>
          <w:p>
            <w:pPr>
              <w:spacing w:after="0"/>
              <w:rPr>
                <w:sz w:val="19"/>
                <w:szCs w:val="19"/>
                <w:color w:val="auto"/>
              </w:rPr>
            </w:pPr>
          </w:p>
        </w:tc>
        <w:tc>
          <w:tcPr>
            <w:tcW w:w="96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 (51,645)</w:t>
            </w:r>
          </w:p>
        </w:tc>
        <w:tc>
          <w:tcPr>
            <w:tcW w:w="100" w:type="dxa"/>
            <w:vAlign w:val="bottom"/>
          </w:tcPr>
          <w:p>
            <w:pPr>
              <w:spacing w:after="0"/>
              <w:rPr>
                <w:sz w:val="19"/>
                <w:szCs w:val="19"/>
                <w:color w:val="auto"/>
              </w:rPr>
            </w:pPr>
          </w:p>
        </w:tc>
        <w:tc>
          <w:tcPr>
            <w:tcW w:w="240" w:type="dxa"/>
            <w:vAlign w:val="bottom"/>
          </w:tcPr>
          <w:p>
            <w:pPr>
              <w:jc w:val="right"/>
              <w:ind w:right="19"/>
              <w:spacing w:after="0" w:line="229" w:lineRule="exact"/>
              <w:rPr>
                <w:sz w:val="20"/>
                <w:szCs w:val="20"/>
                <w:color w:val="auto"/>
              </w:rPr>
            </w:pPr>
            <w:r>
              <w:rPr>
                <w:rFonts w:ascii="Times New Roman" w:cs="Times New Roman" w:eastAsia="Times New Roman" w:hAnsi="Times New Roman"/>
                <w:sz w:val="20"/>
                <w:szCs w:val="20"/>
                <w:color w:val="auto"/>
                <w:w w:val="99"/>
              </w:rPr>
              <w:t>$</w:t>
            </w:r>
          </w:p>
        </w:tc>
        <w:tc>
          <w:tcPr>
            <w:tcW w:w="86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(69,047)</w:t>
            </w:r>
          </w:p>
        </w:tc>
        <w:tc>
          <w:tcPr>
            <w:tcW w:w="100" w:type="dxa"/>
            <w:vAlign w:val="bottom"/>
          </w:tcPr>
          <w:p>
            <w:pPr>
              <w:spacing w:after="0"/>
              <w:rPr>
                <w:sz w:val="19"/>
                <w:szCs w:val="19"/>
                <w:color w:val="auto"/>
              </w:rPr>
            </w:pPr>
          </w:p>
        </w:tc>
        <w:tc>
          <w:tcPr>
            <w:tcW w:w="80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134%</w:t>
            </w:r>
          </w:p>
        </w:tc>
      </w:tr>
      <w:tr>
        <w:trPr>
          <w:trHeight w:val="20"/>
        </w:trPr>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253"/>
        </w:trPr>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219</w:t>
            </w: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(2,377)</w:t>
            </w: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6,537</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16,243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(9,706)</w:t>
            </w: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w:t>
            </w:r>
          </w:p>
        </w:tc>
      </w:tr>
      <w:tr>
        <w:trPr>
          <w:trHeight w:val="354"/>
        </w:trPr>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24"/>
                <w:szCs w:val="24"/>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gridSpan w:val="3"/>
          </w:tcPr>
          <w:p>
            <w:pPr>
              <w:jc w:val="right"/>
              <w:ind w:right="300"/>
              <w:spacing w:after="0"/>
              <w:rPr>
                <w:sz w:val="20"/>
                <w:szCs w:val="20"/>
                <w:color w:val="auto"/>
              </w:rPr>
            </w:pPr>
            <w:r>
              <w:rPr>
                <w:rFonts w:ascii="Times New Roman" w:cs="Times New Roman" w:eastAsia="Times New Roman" w:hAnsi="Times New Roman"/>
                <w:sz w:val="20"/>
                <w:szCs w:val="20"/>
                <w:color w:val="auto"/>
              </w:rPr>
              <w:t>NM</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16,333</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(16,333)</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w:t>
            </w:r>
          </w:p>
        </w:tc>
      </w:tr>
      <w:tr>
        <w:trPr>
          <w:trHeight w:val="480"/>
        </w:trPr>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(325)</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325</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25,630</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(25,630)</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74295</wp:posOffset>
            </wp:positionV>
            <wp:extent cx="540829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408295" cy="8255"/>
                    </a:xfrm>
                    <a:prstGeom prst="rect">
                      <a:avLst/>
                    </a:prstGeom>
                    <a:noFill/>
                  </pic:spPr>
                </pic:pic>
              </a:graphicData>
            </a:graphic>
          </wp:anchor>
        </w:drawing>
      </w:r>
    </w:p>
    <w:p>
      <w:pPr>
        <w:spacing w:after="0" w:line="117" w:lineRule="exact"/>
        <w:rPr>
          <w:sz w:val="20"/>
          <w:szCs w:val="20"/>
          <w:color w:val="auto"/>
        </w:rPr>
      </w:pPr>
    </w:p>
    <w:p>
      <w:pPr>
        <w:sectPr>
          <w:pgSz w:w="11900" w:h="16838" w:orient="portrait"/>
          <w:cols w:equalWidth="0" w:num="2">
            <w:col w:w="2600" w:space="140"/>
            <w:col w:w="8500"/>
          </w:cols>
          <w:pgMar w:left="320" w:top="114" w:right="339" w:bottom="1440" w:gutter="0" w:footer="0" w:header="0"/>
          <w:type w:val="continuous"/>
        </w:sectPr>
      </w:pPr>
    </w:p>
    <w:p>
      <w:pPr>
        <w:ind w:left="20"/>
        <w:spacing w:after="0"/>
        <w:tabs>
          <w:tab w:leader="none" w:pos="2720" w:val="left"/>
          <w:tab w:leader="none" w:pos="3080" w:val="left"/>
          <w:tab w:leader="none" w:pos="4880" w:val="left"/>
          <w:tab w:leader="none" w:pos="5240" w:val="left"/>
          <w:tab w:leader="none" w:pos="6240" w:val="left"/>
          <w:tab w:leader="none" w:pos="7260" w:val="left"/>
          <w:tab w:leader="none" w:pos="8560" w:val="left"/>
          <w:tab w:leader="none" w:pos="9240" w:val="left"/>
          <w:tab w:leader="none" w:pos="9500" w:val="left"/>
          <w:tab w:leader="none" w:pos="10460" w:val="left"/>
        </w:tabs>
        <w:rPr>
          <w:sz w:val="20"/>
          <w:szCs w:val="20"/>
          <w:color w:val="auto"/>
        </w:rPr>
      </w:pPr>
      <w:r>
        <w:rPr>
          <w:rFonts w:ascii="Times New Roman" w:cs="Times New Roman" w:eastAsia="Times New Roman" w:hAnsi="Times New Roman"/>
          <w:sz w:val="20"/>
          <w:szCs w:val="20"/>
          <w:color w:val="auto"/>
        </w:rPr>
        <w:t>Adjusted free cash flow</w:t>
      </w:r>
      <w:r>
        <w:rPr>
          <w:sz w:val="20"/>
          <w:szCs w:val="20"/>
          <w:color w:val="auto"/>
        </w:rPr>
        <w:tab/>
      </w:r>
      <w:r>
        <w:rPr>
          <w:rFonts w:ascii="Times New Roman" w:cs="Times New Roman" w:eastAsia="Times New Roman" w:hAnsi="Times New Roman"/>
          <w:sz w:val="20"/>
          <w:szCs w:val="20"/>
          <w:u w:val="single" w:color="auto"/>
          <w:color w:val="auto"/>
        </w:rPr>
        <w:t>$</w:t>
        <w:tab/>
        <w:t>(12,928)  $ 30,611</w:t>
        <w:tab/>
        <w:t>$</w:t>
        <w:tab/>
        <w:t>(43,539)</w:t>
      </w:r>
      <w:r>
        <w:rPr>
          <w:sz w:val="20"/>
          <w:szCs w:val="20"/>
          <w:color w:val="auto"/>
        </w:rPr>
        <w:tab/>
      </w:r>
      <w:r>
        <w:rPr>
          <w:rFonts w:ascii="Times New Roman" w:cs="Times New Roman" w:eastAsia="Times New Roman" w:hAnsi="Times New Roman"/>
          <w:sz w:val="20"/>
          <w:szCs w:val="20"/>
          <w:color w:val="auto"/>
        </w:rPr>
        <w:t xml:space="preserve">(142)% </w:t>
      </w:r>
      <w:r>
        <w:rPr>
          <w:rFonts w:ascii="Times New Roman" w:cs="Times New Roman" w:eastAsia="Times New Roman" w:hAnsi="Times New Roman"/>
          <w:sz w:val="20"/>
          <w:szCs w:val="20"/>
          <w:u w:val="single" w:color="auto"/>
          <w:color w:val="auto"/>
        </w:rPr>
        <w:t>$</w:t>
      </w:r>
      <w:r>
        <w:rPr>
          <w:sz w:val="20"/>
          <w:szCs w:val="20"/>
          <w:color w:val="auto"/>
        </w:rPr>
        <w:tab/>
      </w:r>
      <w:r>
        <w:rPr>
          <w:rFonts w:ascii="Times New Roman" w:cs="Times New Roman" w:eastAsia="Times New Roman" w:hAnsi="Times New Roman"/>
          <w:sz w:val="20"/>
          <w:szCs w:val="20"/>
          <w:u w:val="single" w:color="auto"/>
          <w:color w:val="auto"/>
        </w:rPr>
        <w:t>(114,155)  $</w:t>
        <w:tab/>
        <w:t>6,561</w:t>
        <w:tab/>
        <w:t>$</w:t>
        <w:tab/>
        <w:t>(120,716)</w:t>
        <w:tab/>
        <w:t>(1,840)%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1733550</wp:posOffset>
            </wp:positionH>
            <wp:positionV relativeFrom="paragraph">
              <wp:posOffset>22225</wp:posOffset>
            </wp:positionV>
            <wp:extent cx="5408295" cy="323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408295" cy="32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528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Other Financial Information: Key Operating Metrics</w:t>
            </w:r>
          </w:p>
        </w:tc>
        <w:tc>
          <w:tcPr>
            <w:tcW w:w="300" w:type="dxa"/>
            <w:vAlign w:val="bottom"/>
          </w:tcPr>
          <w:p>
            <w:pPr>
              <w:spacing w:after="0"/>
              <w:rPr>
                <w:sz w:val="23"/>
                <w:szCs w:val="23"/>
                <w:color w:val="auto"/>
              </w:rPr>
            </w:pPr>
          </w:p>
        </w:tc>
        <w:tc>
          <w:tcPr>
            <w:tcW w:w="2740" w:type="dxa"/>
            <w:vAlign w:val="bottom"/>
            <w:gridSpan w:val="5"/>
            <w:vMerge w:val="restart"/>
          </w:tcPr>
          <w:p>
            <w:pPr>
              <w:jc w:val="center"/>
              <w:ind w:right="400"/>
              <w:spacing w:after="0"/>
              <w:rPr>
                <w:sz w:val="20"/>
                <w:szCs w:val="20"/>
                <w:color w:val="auto"/>
              </w:rPr>
            </w:pPr>
            <w:r>
              <w:rPr>
                <w:rFonts w:ascii="Times New Roman" w:cs="Times New Roman" w:eastAsia="Times New Roman" w:hAnsi="Times New Roman"/>
                <w:sz w:val="20"/>
                <w:szCs w:val="20"/>
                <w:b w:val="1"/>
                <w:bCs w:val="1"/>
                <w:color w:val="auto"/>
              </w:rPr>
              <w:t>For the three months</w:t>
            </w:r>
          </w:p>
        </w:tc>
        <w:tc>
          <w:tcPr>
            <w:tcW w:w="280" w:type="dxa"/>
            <w:vAlign w:val="bottom"/>
          </w:tcPr>
          <w:p>
            <w:pPr>
              <w:spacing w:after="0"/>
              <w:rPr>
                <w:sz w:val="23"/>
                <w:szCs w:val="23"/>
                <w:color w:val="auto"/>
              </w:rPr>
            </w:pPr>
          </w:p>
        </w:tc>
        <w:tc>
          <w:tcPr>
            <w:tcW w:w="1700" w:type="dxa"/>
            <w:vAlign w:val="bottom"/>
            <w:gridSpan w:val="3"/>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For the year</w:t>
            </w: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5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40" w:type="dxa"/>
            <w:vAlign w:val="bottom"/>
            <w:gridSpan w:val="5"/>
            <w:vMerge w:val="continue"/>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gridSpan w:val="3"/>
            <w:vMerge w:val="continue"/>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5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740" w:type="dxa"/>
            <w:vAlign w:val="bottom"/>
            <w:gridSpan w:val="5"/>
          </w:tcPr>
          <w:p>
            <w:pPr>
              <w:jc w:val="center"/>
              <w:ind w:right="400"/>
              <w:spacing w:after="0"/>
              <w:rPr>
                <w:sz w:val="20"/>
                <w:szCs w:val="20"/>
                <w:color w:val="auto"/>
              </w:rPr>
            </w:pPr>
            <w:r>
              <w:rPr>
                <w:rFonts w:ascii="Times New Roman" w:cs="Times New Roman" w:eastAsia="Times New Roman" w:hAnsi="Times New Roman"/>
                <w:sz w:val="20"/>
                <w:szCs w:val="20"/>
                <w:b w:val="1"/>
                <w:bCs w:val="1"/>
                <w:color w:val="auto"/>
                <w:w w:val="99"/>
              </w:rPr>
              <w:t>ended, May 31,</w:t>
            </w:r>
          </w:p>
        </w:tc>
        <w:tc>
          <w:tcPr>
            <w:tcW w:w="280" w:type="dxa"/>
            <w:vAlign w:val="bottom"/>
          </w:tcPr>
          <w:p>
            <w:pPr>
              <w:spacing w:after="0"/>
              <w:rPr>
                <w:sz w:val="21"/>
                <w:szCs w:val="21"/>
                <w:color w:val="auto"/>
              </w:rPr>
            </w:pPr>
          </w:p>
        </w:tc>
        <w:tc>
          <w:tcPr>
            <w:tcW w:w="2640" w:type="dxa"/>
            <w:vAlign w:val="bottom"/>
            <w:gridSpan w:val="4"/>
          </w:tcPr>
          <w:p>
            <w:pPr>
              <w:jc w:val="right"/>
              <w:ind w:right="719"/>
              <w:spacing w:after="0"/>
              <w:rPr>
                <w:sz w:val="20"/>
                <w:szCs w:val="20"/>
                <w:color w:val="auto"/>
              </w:rPr>
            </w:pPr>
            <w:r>
              <w:rPr>
                <w:rFonts w:ascii="Times New Roman" w:cs="Times New Roman" w:eastAsia="Times New Roman" w:hAnsi="Times New Roman"/>
                <w:sz w:val="20"/>
                <w:szCs w:val="20"/>
                <w:b w:val="1"/>
                <w:bCs w:val="1"/>
                <w:color w:val="auto"/>
              </w:rPr>
              <w:t>ended May 31,</w:t>
            </w:r>
          </w:p>
        </w:tc>
        <w:tc>
          <w:tcPr>
            <w:tcW w:w="0" w:type="dxa"/>
            <w:vAlign w:val="bottom"/>
          </w:tcPr>
          <w:p>
            <w:pPr>
              <w:spacing w:after="0"/>
              <w:rPr>
                <w:sz w:val="1"/>
                <w:szCs w:val="1"/>
                <w:color w:val="auto"/>
              </w:rPr>
            </w:pPr>
          </w:p>
        </w:tc>
      </w:tr>
      <w:tr>
        <w:trPr>
          <w:trHeight w:val="266"/>
        </w:trPr>
        <w:tc>
          <w:tcPr>
            <w:tcW w:w="528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(in thousands of U.S. dollars)</w:t>
            </w:r>
          </w:p>
        </w:tc>
        <w:tc>
          <w:tcPr>
            <w:tcW w:w="30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20"/>
                <w:szCs w:val="20"/>
                <w:b w:val="1"/>
                <w:bCs w:val="1"/>
                <w:color w:val="auto"/>
              </w:rPr>
              <w:t>2025</w:t>
            </w:r>
          </w:p>
        </w:tc>
        <w:tc>
          <w:tcPr>
            <w:tcW w:w="1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20"/>
                <w:szCs w:val="20"/>
                <w:b w:val="1"/>
                <w:bCs w:val="1"/>
                <w:color w:val="auto"/>
              </w:rPr>
              <w:t>2024</w:t>
            </w:r>
          </w:p>
        </w:tc>
        <w:tc>
          <w:tcPr>
            <w:tcW w:w="1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20"/>
                <w:szCs w:val="20"/>
                <w:b w:val="1"/>
                <w:bCs w:val="1"/>
                <w:color w:val="auto"/>
              </w:rPr>
              <w:t>2025</w:t>
            </w:r>
          </w:p>
        </w:tc>
        <w:tc>
          <w:tcPr>
            <w:tcW w:w="100" w:type="dxa"/>
            <w:vAlign w:val="bottom"/>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20"/>
                <w:szCs w:val="20"/>
                <w:b w:val="1"/>
                <w:bCs w:val="1"/>
                <w:color w:val="auto"/>
                <w:w w:val="94"/>
              </w:rPr>
              <w:t>2024</w:t>
            </w:r>
          </w:p>
        </w:tc>
        <w:tc>
          <w:tcPr>
            <w:tcW w:w="0" w:type="dxa"/>
            <w:vAlign w:val="bottom"/>
          </w:tcPr>
          <w:p>
            <w:pPr>
              <w:spacing w:after="0"/>
              <w:rPr>
                <w:sz w:val="1"/>
                <w:szCs w:val="1"/>
                <w:color w:val="auto"/>
              </w:rPr>
            </w:pPr>
          </w:p>
        </w:tc>
      </w:tr>
      <w:tr>
        <w:trPr>
          <w:trHeight w:val="236"/>
        </w:trPr>
        <w:tc>
          <w:tcPr>
            <w:tcW w:w="52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Net beverage revenue</w:t>
            </w:r>
          </w:p>
        </w:tc>
        <w:tc>
          <w:tcPr>
            <w:tcW w:w="300" w:type="dxa"/>
            <w:vAlign w:val="bottom"/>
          </w:tcPr>
          <w:p>
            <w:pPr>
              <w:jc w:val="right"/>
              <w:ind w:right="79"/>
              <w:spacing w:after="0"/>
              <w:rPr>
                <w:sz w:val="20"/>
                <w:szCs w:val="20"/>
                <w:color w:val="auto"/>
              </w:rPr>
            </w:pPr>
            <w:r>
              <w:rPr>
                <w:rFonts w:ascii="Times New Roman" w:cs="Times New Roman" w:eastAsia="Times New Roman" w:hAnsi="Times New Roman"/>
                <w:sz w:val="20"/>
                <w:szCs w:val="20"/>
                <w:color w:val="auto"/>
                <w:w w:val="99"/>
              </w:rPr>
              <w:t>$</w:t>
            </w:r>
          </w:p>
        </w:tc>
        <w:tc>
          <w:tcPr>
            <w:tcW w:w="1120" w:type="dxa"/>
            <w:vAlign w:val="bottom"/>
          </w:tcPr>
          <w:p>
            <w:pPr>
              <w:jc w:val="right"/>
              <w:ind w:right="99"/>
              <w:spacing w:after="0"/>
              <w:rPr>
                <w:sz w:val="20"/>
                <w:szCs w:val="20"/>
                <w:color w:val="auto"/>
              </w:rPr>
            </w:pPr>
            <w:r>
              <w:rPr>
                <w:rFonts w:ascii="Times New Roman" w:cs="Times New Roman" w:eastAsia="Times New Roman" w:hAnsi="Times New Roman"/>
                <w:sz w:val="20"/>
                <w:szCs w:val="20"/>
                <w:color w:val="auto"/>
              </w:rPr>
              <w:t>65,621</w:t>
            </w:r>
          </w:p>
        </w:tc>
        <w:tc>
          <w:tcPr>
            <w:tcW w:w="100" w:type="dxa"/>
            <w:vAlign w:val="bottom"/>
          </w:tcPr>
          <w:p>
            <w:pPr>
              <w:spacing w:after="0"/>
              <w:rPr>
                <w:sz w:val="20"/>
                <w:szCs w:val="20"/>
                <w:color w:val="auto"/>
              </w:rPr>
            </w:pPr>
          </w:p>
        </w:tc>
        <w:tc>
          <w:tcPr>
            <w:tcW w:w="280" w:type="dxa"/>
            <w:vAlign w:val="bottom"/>
          </w:tcPr>
          <w:p>
            <w:pPr>
              <w:jc w:val="right"/>
              <w:ind w:right="59"/>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tcPr>
          <w:p>
            <w:pPr>
              <w:jc w:val="right"/>
              <w:ind w:right="99"/>
              <w:spacing w:after="0"/>
              <w:rPr>
                <w:sz w:val="20"/>
                <w:szCs w:val="20"/>
                <w:color w:val="auto"/>
              </w:rPr>
            </w:pPr>
            <w:r>
              <w:rPr>
                <w:rFonts w:ascii="Times New Roman" w:cs="Times New Roman" w:eastAsia="Times New Roman" w:hAnsi="Times New Roman"/>
                <w:sz w:val="20"/>
                <w:szCs w:val="20"/>
                <w:color w:val="auto"/>
              </w:rPr>
              <w:t>76,739</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Pr>
          <w:p>
            <w:pPr>
              <w:jc w:val="right"/>
              <w:ind w:right="99"/>
              <w:spacing w:after="0"/>
              <w:rPr>
                <w:sz w:val="20"/>
                <w:szCs w:val="20"/>
                <w:color w:val="auto"/>
              </w:rPr>
            </w:pPr>
            <w:r>
              <w:rPr>
                <w:rFonts w:ascii="Times New Roman" w:cs="Times New Roman" w:eastAsia="Times New Roman" w:hAnsi="Times New Roman"/>
                <w:sz w:val="20"/>
                <w:szCs w:val="20"/>
                <w:color w:val="auto"/>
              </w:rPr>
              <w:t>240,595</w:t>
            </w:r>
          </w:p>
        </w:tc>
        <w:tc>
          <w:tcPr>
            <w:tcW w:w="100" w:type="dxa"/>
            <w:vAlign w:val="bottom"/>
          </w:tcPr>
          <w:p>
            <w:pPr>
              <w:spacing w:after="0"/>
              <w:rPr>
                <w:sz w:val="20"/>
                <w:szCs w:val="20"/>
                <w:color w:val="auto"/>
              </w:rPr>
            </w:pPr>
          </w:p>
        </w:tc>
        <w:tc>
          <w:tcPr>
            <w:tcW w:w="460" w:type="dxa"/>
            <w:vAlign w:val="bottom"/>
          </w:tcPr>
          <w:p>
            <w:pPr>
              <w:jc w:val="right"/>
              <w:ind w:right="259"/>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20"/>
                <w:szCs w:val="20"/>
                <w:color w:val="auto"/>
              </w:rPr>
              <w:t>202,094</w:t>
            </w:r>
          </w:p>
        </w:tc>
        <w:tc>
          <w:tcPr>
            <w:tcW w:w="0" w:type="dxa"/>
            <w:vAlign w:val="bottom"/>
          </w:tcPr>
          <w:p>
            <w:pPr>
              <w:spacing w:after="0"/>
              <w:rPr>
                <w:sz w:val="1"/>
                <w:szCs w:val="1"/>
                <w:color w:val="auto"/>
              </w:rPr>
            </w:pPr>
          </w:p>
        </w:tc>
      </w:tr>
      <w:tr>
        <w:trPr>
          <w:trHeight w:val="253"/>
        </w:trPr>
        <w:tc>
          <w:tcPr>
            <w:tcW w:w="52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Net cannabis revenue</w:t>
            </w:r>
          </w:p>
        </w:tc>
        <w:tc>
          <w:tcPr>
            <w:tcW w:w="300" w:type="dxa"/>
            <w:vAlign w:val="bottom"/>
          </w:tcPr>
          <w:p>
            <w:pPr>
              <w:spacing w:after="0"/>
              <w:rPr>
                <w:sz w:val="21"/>
                <w:szCs w:val="21"/>
                <w:color w:val="auto"/>
              </w:rPr>
            </w:pPr>
          </w:p>
        </w:tc>
        <w:tc>
          <w:tcPr>
            <w:tcW w:w="1120" w:type="dxa"/>
            <w:vAlign w:val="bottom"/>
          </w:tcPr>
          <w:p>
            <w:pPr>
              <w:jc w:val="right"/>
              <w:ind w:right="99"/>
              <w:spacing w:after="0"/>
              <w:rPr>
                <w:sz w:val="20"/>
                <w:szCs w:val="20"/>
                <w:color w:val="auto"/>
              </w:rPr>
            </w:pPr>
            <w:r>
              <w:rPr>
                <w:rFonts w:ascii="Times New Roman" w:cs="Times New Roman" w:eastAsia="Times New Roman" w:hAnsi="Times New Roman"/>
                <w:sz w:val="20"/>
                <w:szCs w:val="20"/>
                <w:color w:val="auto"/>
              </w:rPr>
              <w:t>67,826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99"/>
              <w:spacing w:after="0"/>
              <w:rPr>
                <w:sz w:val="20"/>
                <w:szCs w:val="20"/>
                <w:color w:val="auto"/>
              </w:rPr>
            </w:pPr>
            <w:r>
              <w:rPr>
                <w:rFonts w:ascii="Times New Roman" w:cs="Times New Roman" w:eastAsia="Times New Roman" w:hAnsi="Times New Roman"/>
                <w:sz w:val="20"/>
                <w:szCs w:val="20"/>
                <w:color w:val="auto"/>
              </w:rPr>
              <w:t>71,919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99"/>
              <w:spacing w:after="0"/>
              <w:rPr>
                <w:sz w:val="20"/>
                <w:szCs w:val="20"/>
                <w:color w:val="auto"/>
              </w:rPr>
            </w:pPr>
            <w:r>
              <w:rPr>
                <w:rFonts w:ascii="Times New Roman" w:cs="Times New Roman" w:eastAsia="Times New Roman" w:hAnsi="Times New Roman"/>
                <w:sz w:val="20"/>
                <w:szCs w:val="20"/>
                <w:color w:val="auto"/>
              </w:rPr>
              <w:t>249,001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20"/>
                <w:szCs w:val="20"/>
                <w:color w:val="auto"/>
              </w:rPr>
              <w:t>272,798</w:t>
            </w:r>
          </w:p>
        </w:tc>
        <w:tc>
          <w:tcPr>
            <w:tcW w:w="0" w:type="dxa"/>
            <w:vAlign w:val="bottom"/>
          </w:tcPr>
          <w:p>
            <w:pPr>
              <w:spacing w:after="0"/>
              <w:rPr>
                <w:sz w:val="1"/>
                <w:szCs w:val="1"/>
                <w:color w:val="auto"/>
              </w:rPr>
            </w:pPr>
          </w:p>
        </w:tc>
      </w:tr>
      <w:tr>
        <w:trPr>
          <w:trHeight w:val="253"/>
        </w:trPr>
        <w:tc>
          <w:tcPr>
            <w:tcW w:w="52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Distribution revenue</w:t>
            </w:r>
          </w:p>
        </w:tc>
        <w:tc>
          <w:tcPr>
            <w:tcW w:w="300" w:type="dxa"/>
            <w:vAlign w:val="bottom"/>
          </w:tcPr>
          <w:p>
            <w:pPr>
              <w:spacing w:after="0"/>
              <w:rPr>
                <w:sz w:val="21"/>
                <w:szCs w:val="21"/>
                <w:color w:val="auto"/>
              </w:rPr>
            </w:pPr>
          </w:p>
        </w:tc>
        <w:tc>
          <w:tcPr>
            <w:tcW w:w="1120" w:type="dxa"/>
            <w:vAlign w:val="bottom"/>
          </w:tcPr>
          <w:p>
            <w:pPr>
              <w:jc w:val="right"/>
              <w:ind w:right="99"/>
              <w:spacing w:after="0"/>
              <w:rPr>
                <w:sz w:val="20"/>
                <w:szCs w:val="20"/>
                <w:color w:val="auto"/>
              </w:rPr>
            </w:pPr>
            <w:r>
              <w:rPr>
                <w:rFonts w:ascii="Times New Roman" w:cs="Times New Roman" w:eastAsia="Times New Roman" w:hAnsi="Times New Roman"/>
                <w:sz w:val="20"/>
                <w:szCs w:val="20"/>
                <w:color w:val="auto"/>
              </w:rPr>
              <w:t>74,053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99"/>
              <w:spacing w:after="0"/>
              <w:rPr>
                <w:sz w:val="20"/>
                <w:szCs w:val="20"/>
                <w:color w:val="auto"/>
              </w:rPr>
            </w:pPr>
            <w:r>
              <w:rPr>
                <w:rFonts w:ascii="Times New Roman" w:cs="Times New Roman" w:eastAsia="Times New Roman" w:hAnsi="Times New Roman"/>
                <w:sz w:val="20"/>
                <w:szCs w:val="20"/>
                <w:color w:val="auto"/>
              </w:rPr>
              <w:t>65,566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99"/>
              <w:spacing w:after="0"/>
              <w:rPr>
                <w:sz w:val="20"/>
                <w:szCs w:val="20"/>
                <w:color w:val="auto"/>
              </w:rPr>
            </w:pPr>
            <w:r>
              <w:rPr>
                <w:rFonts w:ascii="Times New Roman" w:cs="Times New Roman" w:eastAsia="Times New Roman" w:hAnsi="Times New Roman"/>
                <w:sz w:val="20"/>
                <w:szCs w:val="20"/>
                <w:color w:val="auto"/>
              </w:rPr>
              <w:t>271,228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20"/>
                <w:szCs w:val="20"/>
                <w:color w:val="auto"/>
              </w:rPr>
              <w:t>258,740</w:t>
            </w:r>
          </w:p>
        </w:tc>
        <w:tc>
          <w:tcPr>
            <w:tcW w:w="0" w:type="dxa"/>
            <w:vAlign w:val="bottom"/>
          </w:tcPr>
          <w:p>
            <w:pPr>
              <w:spacing w:after="0"/>
              <w:rPr>
                <w:sz w:val="1"/>
                <w:szCs w:val="1"/>
                <w:color w:val="auto"/>
              </w:rPr>
            </w:pPr>
          </w:p>
        </w:tc>
      </w:tr>
      <w:tr>
        <w:trPr>
          <w:trHeight w:val="253"/>
        </w:trPr>
        <w:tc>
          <w:tcPr>
            <w:tcW w:w="52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Wellness revenue</w:t>
            </w:r>
          </w:p>
        </w:tc>
        <w:tc>
          <w:tcPr>
            <w:tcW w:w="300" w:type="dxa"/>
            <w:vAlign w:val="bottom"/>
          </w:tcPr>
          <w:p>
            <w:pPr>
              <w:spacing w:after="0"/>
              <w:rPr>
                <w:sz w:val="21"/>
                <w:szCs w:val="21"/>
                <w:color w:val="auto"/>
              </w:rPr>
            </w:pPr>
          </w:p>
        </w:tc>
        <w:tc>
          <w:tcPr>
            <w:tcW w:w="1120" w:type="dxa"/>
            <w:vAlign w:val="bottom"/>
          </w:tcPr>
          <w:p>
            <w:pPr>
              <w:jc w:val="right"/>
              <w:ind w:right="99"/>
              <w:spacing w:after="0"/>
              <w:rPr>
                <w:sz w:val="20"/>
                <w:szCs w:val="20"/>
                <w:color w:val="auto"/>
              </w:rPr>
            </w:pPr>
            <w:r>
              <w:rPr>
                <w:rFonts w:ascii="Times New Roman" w:cs="Times New Roman" w:eastAsia="Times New Roman" w:hAnsi="Times New Roman"/>
                <w:sz w:val="20"/>
                <w:szCs w:val="20"/>
                <w:color w:val="auto"/>
              </w:rPr>
              <w:t>17,035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99"/>
              <w:spacing w:after="0"/>
              <w:rPr>
                <w:sz w:val="20"/>
                <w:szCs w:val="20"/>
                <w:color w:val="auto"/>
              </w:rPr>
            </w:pPr>
            <w:r>
              <w:rPr>
                <w:rFonts w:ascii="Times New Roman" w:cs="Times New Roman" w:eastAsia="Times New Roman" w:hAnsi="Times New Roman"/>
                <w:sz w:val="20"/>
                <w:szCs w:val="20"/>
                <w:color w:val="auto"/>
              </w:rPr>
              <w:t>15,658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99"/>
              <w:spacing w:after="0"/>
              <w:rPr>
                <w:sz w:val="20"/>
                <w:szCs w:val="20"/>
                <w:color w:val="auto"/>
              </w:rPr>
            </w:pPr>
            <w:r>
              <w:rPr>
                <w:rFonts w:ascii="Times New Roman" w:cs="Times New Roman" w:eastAsia="Times New Roman" w:hAnsi="Times New Roman"/>
                <w:sz w:val="20"/>
                <w:szCs w:val="20"/>
                <w:color w:val="auto"/>
              </w:rPr>
              <w:t>60,485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20"/>
                <w:szCs w:val="20"/>
                <w:color w:val="auto"/>
              </w:rPr>
              <w:t>55,310</w:t>
            </w:r>
          </w:p>
        </w:tc>
        <w:tc>
          <w:tcPr>
            <w:tcW w:w="0" w:type="dxa"/>
            <w:vAlign w:val="bottom"/>
          </w:tcPr>
          <w:p>
            <w:pPr>
              <w:spacing w:after="0"/>
              <w:rPr>
                <w:sz w:val="1"/>
                <w:szCs w:val="1"/>
                <w:color w:val="auto"/>
              </w:rPr>
            </w:pPr>
          </w:p>
        </w:tc>
      </w:tr>
      <w:tr>
        <w:trPr>
          <w:trHeight w:val="253"/>
        </w:trPr>
        <w:tc>
          <w:tcPr>
            <w:tcW w:w="52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Beverage costs</w:t>
            </w:r>
          </w:p>
        </w:tc>
        <w:tc>
          <w:tcPr>
            <w:tcW w:w="300" w:type="dxa"/>
            <w:vAlign w:val="bottom"/>
          </w:tcPr>
          <w:p>
            <w:pPr>
              <w:spacing w:after="0"/>
              <w:rPr>
                <w:sz w:val="21"/>
                <w:szCs w:val="21"/>
                <w:color w:val="auto"/>
              </w:rPr>
            </w:pPr>
          </w:p>
        </w:tc>
        <w:tc>
          <w:tcPr>
            <w:tcW w:w="1120" w:type="dxa"/>
            <w:vAlign w:val="bottom"/>
          </w:tcPr>
          <w:p>
            <w:pPr>
              <w:jc w:val="right"/>
              <w:ind w:right="99"/>
              <w:spacing w:after="0"/>
              <w:rPr>
                <w:sz w:val="20"/>
                <w:szCs w:val="20"/>
                <w:color w:val="auto"/>
              </w:rPr>
            </w:pPr>
            <w:r>
              <w:rPr>
                <w:rFonts w:ascii="Times New Roman" w:cs="Times New Roman" w:eastAsia="Times New Roman" w:hAnsi="Times New Roman"/>
                <w:sz w:val="20"/>
                <w:szCs w:val="20"/>
                <w:color w:val="auto"/>
              </w:rPr>
              <w:t>40,630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99"/>
              <w:spacing w:after="0"/>
              <w:rPr>
                <w:sz w:val="20"/>
                <w:szCs w:val="20"/>
                <w:color w:val="auto"/>
              </w:rPr>
            </w:pPr>
            <w:r>
              <w:rPr>
                <w:rFonts w:ascii="Times New Roman" w:cs="Times New Roman" w:eastAsia="Times New Roman" w:hAnsi="Times New Roman"/>
                <w:sz w:val="20"/>
                <w:szCs w:val="20"/>
                <w:color w:val="auto"/>
              </w:rPr>
              <w:t>35,907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99"/>
              <w:spacing w:after="0"/>
              <w:rPr>
                <w:sz w:val="20"/>
                <w:szCs w:val="20"/>
                <w:color w:val="auto"/>
              </w:rPr>
            </w:pPr>
            <w:r>
              <w:rPr>
                <w:rFonts w:ascii="Times New Roman" w:cs="Times New Roman" w:eastAsia="Times New Roman" w:hAnsi="Times New Roman"/>
                <w:sz w:val="20"/>
                <w:szCs w:val="20"/>
                <w:color w:val="auto"/>
              </w:rPr>
              <w:t>147,591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20"/>
                <w:szCs w:val="20"/>
                <w:color w:val="auto"/>
              </w:rPr>
              <w:t>113,522</w:t>
            </w:r>
          </w:p>
        </w:tc>
        <w:tc>
          <w:tcPr>
            <w:tcW w:w="0" w:type="dxa"/>
            <w:vAlign w:val="bottom"/>
          </w:tcPr>
          <w:p>
            <w:pPr>
              <w:spacing w:after="0"/>
              <w:rPr>
                <w:sz w:val="1"/>
                <w:szCs w:val="1"/>
                <w:color w:val="auto"/>
              </w:rPr>
            </w:pPr>
          </w:p>
        </w:tc>
      </w:tr>
      <w:tr>
        <w:trPr>
          <w:trHeight w:val="253"/>
        </w:trPr>
        <w:tc>
          <w:tcPr>
            <w:tcW w:w="52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Cannabis costs</w:t>
            </w:r>
          </w:p>
        </w:tc>
        <w:tc>
          <w:tcPr>
            <w:tcW w:w="300" w:type="dxa"/>
            <w:vAlign w:val="bottom"/>
          </w:tcPr>
          <w:p>
            <w:pPr>
              <w:spacing w:after="0"/>
              <w:rPr>
                <w:sz w:val="21"/>
                <w:szCs w:val="21"/>
                <w:color w:val="auto"/>
              </w:rPr>
            </w:pPr>
          </w:p>
        </w:tc>
        <w:tc>
          <w:tcPr>
            <w:tcW w:w="1120" w:type="dxa"/>
            <w:vAlign w:val="bottom"/>
          </w:tcPr>
          <w:p>
            <w:pPr>
              <w:jc w:val="right"/>
              <w:ind w:right="99"/>
              <w:spacing w:after="0"/>
              <w:rPr>
                <w:sz w:val="20"/>
                <w:szCs w:val="20"/>
                <w:color w:val="auto"/>
              </w:rPr>
            </w:pPr>
            <w:r>
              <w:rPr>
                <w:rFonts w:ascii="Times New Roman" w:cs="Times New Roman" w:eastAsia="Times New Roman" w:hAnsi="Times New Roman"/>
                <w:sz w:val="20"/>
                <w:szCs w:val="20"/>
                <w:color w:val="auto"/>
              </w:rPr>
              <w:t>38,201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99"/>
              <w:spacing w:after="0"/>
              <w:rPr>
                <w:sz w:val="20"/>
                <w:szCs w:val="20"/>
                <w:color w:val="auto"/>
              </w:rPr>
            </w:pPr>
            <w:r>
              <w:rPr>
                <w:rFonts w:ascii="Times New Roman" w:cs="Times New Roman" w:eastAsia="Times New Roman" w:hAnsi="Times New Roman"/>
                <w:sz w:val="20"/>
                <w:szCs w:val="20"/>
                <w:color w:val="auto"/>
              </w:rPr>
              <w:t>43,087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99"/>
              <w:spacing w:after="0"/>
              <w:rPr>
                <w:sz w:val="20"/>
                <w:szCs w:val="20"/>
                <w:color w:val="auto"/>
              </w:rPr>
            </w:pPr>
            <w:r>
              <w:rPr>
                <w:rFonts w:ascii="Times New Roman" w:cs="Times New Roman" w:eastAsia="Times New Roman" w:hAnsi="Times New Roman"/>
                <w:sz w:val="20"/>
                <w:szCs w:val="20"/>
                <w:color w:val="auto"/>
              </w:rPr>
              <w:t>150,005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20"/>
                <w:szCs w:val="20"/>
                <w:color w:val="auto"/>
              </w:rPr>
              <w:t>182,594</w:t>
            </w:r>
          </w:p>
        </w:tc>
        <w:tc>
          <w:tcPr>
            <w:tcW w:w="0" w:type="dxa"/>
            <w:vAlign w:val="bottom"/>
          </w:tcPr>
          <w:p>
            <w:pPr>
              <w:spacing w:after="0"/>
              <w:rPr>
                <w:sz w:val="1"/>
                <w:szCs w:val="1"/>
                <w:color w:val="auto"/>
              </w:rPr>
            </w:pPr>
          </w:p>
        </w:tc>
      </w:tr>
      <w:tr>
        <w:trPr>
          <w:trHeight w:val="253"/>
        </w:trPr>
        <w:tc>
          <w:tcPr>
            <w:tcW w:w="52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Distribution costs</w:t>
            </w:r>
          </w:p>
        </w:tc>
        <w:tc>
          <w:tcPr>
            <w:tcW w:w="300" w:type="dxa"/>
            <w:vAlign w:val="bottom"/>
          </w:tcPr>
          <w:p>
            <w:pPr>
              <w:spacing w:after="0"/>
              <w:rPr>
                <w:sz w:val="21"/>
                <w:szCs w:val="21"/>
                <w:color w:val="auto"/>
              </w:rPr>
            </w:pPr>
          </w:p>
        </w:tc>
        <w:tc>
          <w:tcPr>
            <w:tcW w:w="1120" w:type="dxa"/>
            <w:vAlign w:val="bottom"/>
          </w:tcPr>
          <w:p>
            <w:pPr>
              <w:jc w:val="right"/>
              <w:ind w:right="99"/>
              <w:spacing w:after="0"/>
              <w:rPr>
                <w:sz w:val="20"/>
                <w:szCs w:val="20"/>
                <w:color w:val="auto"/>
              </w:rPr>
            </w:pPr>
            <w:r>
              <w:rPr>
                <w:rFonts w:ascii="Times New Roman" w:cs="Times New Roman" w:eastAsia="Times New Roman" w:hAnsi="Times New Roman"/>
                <w:sz w:val="20"/>
                <w:szCs w:val="20"/>
                <w:color w:val="auto"/>
              </w:rPr>
              <w:t>66,615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99"/>
              <w:spacing w:after="0"/>
              <w:rPr>
                <w:sz w:val="20"/>
                <w:szCs w:val="20"/>
                <w:color w:val="auto"/>
              </w:rPr>
            </w:pPr>
            <w:r>
              <w:rPr>
                <w:rFonts w:ascii="Times New Roman" w:cs="Times New Roman" w:eastAsia="Times New Roman" w:hAnsi="Times New Roman"/>
                <w:sz w:val="20"/>
                <w:szCs w:val="20"/>
                <w:color w:val="auto"/>
              </w:rPr>
              <w:t>57,750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99"/>
              <w:spacing w:after="0"/>
              <w:rPr>
                <w:sz w:val="20"/>
                <w:szCs w:val="20"/>
                <w:color w:val="auto"/>
              </w:rPr>
            </w:pPr>
            <w:r>
              <w:rPr>
                <w:rFonts w:ascii="Times New Roman" w:cs="Times New Roman" w:eastAsia="Times New Roman" w:hAnsi="Times New Roman"/>
                <w:sz w:val="20"/>
                <w:szCs w:val="20"/>
                <w:color w:val="auto"/>
              </w:rPr>
              <w:t>241,896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20"/>
                <w:szCs w:val="20"/>
                <w:color w:val="auto"/>
              </w:rPr>
              <w:t>230,596</w:t>
            </w:r>
          </w:p>
        </w:tc>
        <w:tc>
          <w:tcPr>
            <w:tcW w:w="0" w:type="dxa"/>
            <w:vAlign w:val="bottom"/>
          </w:tcPr>
          <w:p>
            <w:pPr>
              <w:spacing w:after="0"/>
              <w:rPr>
                <w:sz w:val="1"/>
                <w:szCs w:val="1"/>
                <w:color w:val="auto"/>
              </w:rPr>
            </w:pPr>
          </w:p>
        </w:tc>
      </w:tr>
      <w:tr>
        <w:trPr>
          <w:trHeight w:val="253"/>
        </w:trPr>
        <w:tc>
          <w:tcPr>
            <w:tcW w:w="52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Wellness costs</w:t>
            </w:r>
          </w:p>
        </w:tc>
        <w:tc>
          <w:tcPr>
            <w:tcW w:w="300" w:type="dxa"/>
            <w:vAlign w:val="bottom"/>
          </w:tcPr>
          <w:p>
            <w:pPr>
              <w:spacing w:after="0"/>
              <w:rPr>
                <w:sz w:val="21"/>
                <w:szCs w:val="21"/>
                <w:color w:val="auto"/>
              </w:rPr>
            </w:pPr>
          </w:p>
        </w:tc>
        <w:tc>
          <w:tcPr>
            <w:tcW w:w="1120" w:type="dxa"/>
            <w:vAlign w:val="bottom"/>
          </w:tcPr>
          <w:p>
            <w:pPr>
              <w:jc w:val="right"/>
              <w:ind w:right="99"/>
              <w:spacing w:after="0"/>
              <w:rPr>
                <w:sz w:val="20"/>
                <w:szCs w:val="20"/>
                <w:color w:val="auto"/>
              </w:rPr>
            </w:pPr>
            <w:r>
              <w:rPr>
                <w:rFonts w:ascii="Times New Roman" w:cs="Times New Roman" w:eastAsia="Times New Roman" w:hAnsi="Times New Roman"/>
                <w:sz w:val="20"/>
                <w:szCs w:val="20"/>
                <w:color w:val="auto"/>
              </w:rPr>
              <w:t>11,456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99"/>
              <w:spacing w:after="0"/>
              <w:rPr>
                <w:sz w:val="20"/>
                <w:szCs w:val="20"/>
                <w:color w:val="auto"/>
              </w:rPr>
            </w:pPr>
            <w:r>
              <w:rPr>
                <w:rFonts w:ascii="Times New Roman" w:cs="Times New Roman" w:eastAsia="Times New Roman" w:hAnsi="Times New Roman"/>
                <w:sz w:val="20"/>
                <w:szCs w:val="20"/>
                <w:color w:val="auto"/>
              </w:rPr>
              <w:t>10,788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99"/>
              <w:spacing w:after="0"/>
              <w:rPr>
                <w:sz w:val="20"/>
                <w:szCs w:val="20"/>
                <w:color w:val="auto"/>
              </w:rPr>
            </w:pPr>
            <w:r>
              <w:rPr>
                <w:rFonts w:ascii="Times New Roman" w:cs="Times New Roman" w:eastAsia="Times New Roman" w:hAnsi="Times New Roman"/>
                <w:sz w:val="20"/>
                <w:szCs w:val="20"/>
                <w:color w:val="auto"/>
              </w:rPr>
              <w:t>41,247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20"/>
                <w:szCs w:val="20"/>
                <w:color w:val="auto"/>
              </w:rPr>
              <w:t>38,879</w:t>
            </w:r>
          </w:p>
        </w:tc>
        <w:tc>
          <w:tcPr>
            <w:tcW w:w="0" w:type="dxa"/>
            <w:vAlign w:val="bottom"/>
          </w:tcPr>
          <w:p>
            <w:pPr>
              <w:spacing w:after="0"/>
              <w:rPr>
                <w:sz w:val="1"/>
                <w:szCs w:val="1"/>
                <w:color w:val="auto"/>
              </w:rPr>
            </w:pPr>
          </w:p>
        </w:tc>
      </w:tr>
      <w:tr>
        <w:trPr>
          <w:trHeight w:val="253"/>
        </w:trPr>
        <w:tc>
          <w:tcPr>
            <w:tcW w:w="52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Adjusted gross profit (excluding PPA step-up)</w:t>
            </w:r>
          </w:p>
        </w:tc>
        <w:tc>
          <w:tcPr>
            <w:tcW w:w="300" w:type="dxa"/>
            <w:vAlign w:val="bottom"/>
          </w:tcPr>
          <w:p>
            <w:pPr>
              <w:spacing w:after="0"/>
              <w:rPr>
                <w:sz w:val="21"/>
                <w:szCs w:val="21"/>
                <w:color w:val="auto"/>
              </w:rPr>
            </w:pPr>
          </w:p>
        </w:tc>
        <w:tc>
          <w:tcPr>
            <w:tcW w:w="1120" w:type="dxa"/>
            <w:vAlign w:val="bottom"/>
          </w:tcPr>
          <w:p>
            <w:pPr>
              <w:jc w:val="right"/>
              <w:ind w:right="99"/>
              <w:spacing w:after="0"/>
              <w:rPr>
                <w:sz w:val="20"/>
                <w:szCs w:val="20"/>
                <w:color w:val="auto"/>
              </w:rPr>
            </w:pPr>
            <w:r>
              <w:rPr>
                <w:rFonts w:ascii="Times New Roman" w:cs="Times New Roman" w:eastAsia="Times New Roman" w:hAnsi="Times New Roman"/>
                <w:sz w:val="20"/>
                <w:szCs w:val="20"/>
                <w:color w:val="auto"/>
              </w:rPr>
              <w:t>67,633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99"/>
              <w:spacing w:after="0"/>
              <w:rPr>
                <w:sz w:val="20"/>
                <w:szCs w:val="20"/>
                <w:color w:val="auto"/>
              </w:rPr>
            </w:pPr>
            <w:r>
              <w:rPr>
                <w:rFonts w:ascii="Times New Roman" w:cs="Times New Roman" w:eastAsia="Times New Roman" w:hAnsi="Times New Roman"/>
                <w:sz w:val="20"/>
                <w:szCs w:val="20"/>
                <w:color w:val="auto"/>
              </w:rPr>
              <w:t>82,526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99"/>
              <w:spacing w:after="0"/>
              <w:rPr>
                <w:sz w:val="20"/>
                <w:szCs w:val="20"/>
                <w:color w:val="auto"/>
              </w:rPr>
            </w:pPr>
            <w:r>
              <w:rPr>
                <w:rFonts w:ascii="Times New Roman" w:cs="Times New Roman" w:eastAsia="Times New Roman" w:hAnsi="Times New Roman"/>
                <w:sz w:val="20"/>
                <w:szCs w:val="20"/>
                <w:color w:val="auto"/>
              </w:rPr>
              <w:t>242,180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20"/>
                <w:szCs w:val="20"/>
                <w:color w:val="auto"/>
              </w:rPr>
              <w:t>235,581</w:t>
            </w:r>
          </w:p>
        </w:tc>
        <w:tc>
          <w:tcPr>
            <w:tcW w:w="0" w:type="dxa"/>
            <w:vAlign w:val="bottom"/>
          </w:tcPr>
          <w:p>
            <w:pPr>
              <w:spacing w:after="0"/>
              <w:rPr>
                <w:sz w:val="1"/>
                <w:szCs w:val="1"/>
                <w:color w:val="auto"/>
              </w:rPr>
            </w:pPr>
          </w:p>
        </w:tc>
      </w:tr>
      <w:tr>
        <w:trPr>
          <w:trHeight w:val="253"/>
        </w:trPr>
        <w:tc>
          <w:tcPr>
            <w:tcW w:w="52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Beverage adjusted gross margin (excluding PPA step-up)</w:t>
            </w: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w:t>
            </w:r>
          </w:p>
        </w:tc>
        <w:tc>
          <w:tcPr>
            <w:tcW w:w="0" w:type="dxa"/>
            <w:vAlign w:val="bottom"/>
          </w:tcPr>
          <w:p>
            <w:pPr>
              <w:spacing w:after="0"/>
              <w:rPr>
                <w:sz w:val="1"/>
                <w:szCs w:val="1"/>
                <w:color w:val="auto"/>
              </w:rPr>
            </w:pPr>
          </w:p>
        </w:tc>
      </w:tr>
      <w:tr>
        <w:trPr>
          <w:trHeight w:val="253"/>
        </w:trPr>
        <w:tc>
          <w:tcPr>
            <w:tcW w:w="52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Cannabis adjusted gross margin (excluding PPA step-up)</w:t>
            </w: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w:t>
            </w:r>
          </w:p>
        </w:tc>
        <w:tc>
          <w:tcPr>
            <w:tcW w:w="0" w:type="dxa"/>
            <w:vAlign w:val="bottom"/>
          </w:tcPr>
          <w:p>
            <w:pPr>
              <w:spacing w:after="0"/>
              <w:rPr>
                <w:sz w:val="1"/>
                <w:szCs w:val="1"/>
                <w:color w:val="auto"/>
              </w:rPr>
            </w:pPr>
          </w:p>
        </w:tc>
      </w:tr>
      <w:tr>
        <w:trPr>
          <w:trHeight w:val="253"/>
        </w:trPr>
        <w:tc>
          <w:tcPr>
            <w:tcW w:w="52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Distribution gross margin</w:t>
            </w: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0" w:type="dxa"/>
            <w:vAlign w:val="bottom"/>
          </w:tcPr>
          <w:p>
            <w:pPr>
              <w:spacing w:after="0"/>
              <w:rPr>
                <w:sz w:val="1"/>
                <w:szCs w:val="1"/>
                <w:color w:val="auto"/>
              </w:rPr>
            </w:pPr>
          </w:p>
        </w:tc>
      </w:tr>
      <w:tr>
        <w:trPr>
          <w:trHeight w:val="253"/>
        </w:trPr>
        <w:tc>
          <w:tcPr>
            <w:tcW w:w="52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Wellness gross margin</w:t>
            </w: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0" w:type="dxa"/>
            <w:vAlign w:val="bottom"/>
          </w:tcPr>
          <w:p>
            <w:pPr>
              <w:spacing w:after="0"/>
              <w:rPr>
                <w:sz w:val="1"/>
                <w:szCs w:val="1"/>
                <w:color w:val="auto"/>
              </w:rPr>
            </w:pPr>
          </w:p>
        </w:tc>
      </w:tr>
      <w:tr>
        <w:trPr>
          <w:trHeight w:val="253"/>
        </w:trPr>
        <w:tc>
          <w:tcPr>
            <w:tcW w:w="52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Adjusted EBITDA</w:t>
            </w:r>
          </w:p>
        </w:tc>
        <w:tc>
          <w:tcPr>
            <w:tcW w:w="300" w:type="dxa"/>
            <w:vAlign w:val="bottom"/>
          </w:tcPr>
          <w:p>
            <w:pPr>
              <w:spacing w:after="0"/>
              <w:rPr>
                <w:sz w:val="21"/>
                <w:szCs w:val="21"/>
                <w:color w:val="auto"/>
              </w:rPr>
            </w:pPr>
          </w:p>
        </w:tc>
        <w:tc>
          <w:tcPr>
            <w:tcW w:w="1120" w:type="dxa"/>
            <w:vAlign w:val="bottom"/>
          </w:tcPr>
          <w:p>
            <w:pPr>
              <w:jc w:val="right"/>
              <w:ind w:right="99"/>
              <w:spacing w:after="0"/>
              <w:rPr>
                <w:sz w:val="20"/>
                <w:szCs w:val="20"/>
                <w:color w:val="auto"/>
              </w:rPr>
            </w:pPr>
            <w:r>
              <w:rPr>
                <w:rFonts w:ascii="Times New Roman" w:cs="Times New Roman" w:eastAsia="Times New Roman" w:hAnsi="Times New Roman"/>
                <w:sz w:val="20"/>
                <w:szCs w:val="20"/>
                <w:color w:val="auto"/>
              </w:rPr>
              <w:t>27,644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99"/>
              <w:spacing w:after="0"/>
              <w:rPr>
                <w:sz w:val="20"/>
                <w:szCs w:val="20"/>
                <w:color w:val="auto"/>
              </w:rPr>
            </w:pPr>
            <w:r>
              <w:rPr>
                <w:rFonts w:ascii="Times New Roman" w:cs="Times New Roman" w:eastAsia="Times New Roman" w:hAnsi="Times New Roman"/>
                <w:sz w:val="20"/>
                <w:szCs w:val="20"/>
                <w:color w:val="auto"/>
              </w:rPr>
              <w:t>29,491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99"/>
              <w:spacing w:after="0"/>
              <w:rPr>
                <w:sz w:val="20"/>
                <w:szCs w:val="20"/>
                <w:color w:val="auto"/>
              </w:rPr>
            </w:pPr>
            <w:r>
              <w:rPr>
                <w:rFonts w:ascii="Times New Roman" w:cs="Times New Roman" w:eastAsia="Times New Roman" w:hAnsi="Times New Roman"/>
                <w:sz w:val="20"/>
                <w:szCs w:val="20"/>
                <w:color w:val="auto"/>
              </w:rPr>
              <w:t>55,035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20"/>
                <w:szCs w:val="20"/>
                <w:color w:val="auto"/>
              </w:rPr>
              <w:t>60,465</w:t>
            </w:r>
          </w:p>
        </w:tc>
        <w:tc>
          <w:tcPr>
            <w:tcW w:w="0" w:type="dxa"/>
            <w:vAlign w:val="bottom"/>
          </w:tcPr>
          <w:p>
            <w:pPr>
              <w:spacing w:after="0"/>
              <w:rPr>
                <w:sz w:val="1"/>
                <w:szCs w:val="1"/>
                <w:color w:val="auto"/>
              </w:rPr>
            </w:pPr>
          </w:p>
        </w:tc>
      </w:tr>
      <w:tr>
        <w:trPr>
          <w:trHeight w:val="253"/>
        </w:trPr>
        <w:tc>
          <w:tcPr>
            <w:tcW w:w="52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Cash and marketable securities as at the period ended:</w:t>
            </w:r>
          </w:p>
        </w:tc>
        <w:tc>
          <w:tcPr>
            <w:tcW w:w="300" w:type="dxa"/>
            <w:vAlign w:val="bottom"/>
          </w:tcPr>
          <w:p>
            <w:pPr>
              <w:spacing w:after="0"/>
              <w:rPr>
                <w:sz w:val="21"/>
                <w:szCs w:val="21"/>
                <w:color w:val="auto"/>
              </w:rPr>
            </w:pPr>
          </w:p>
        </w:tc>
        <w:tc>
          <w:tcPr>
            <w:tcW w:w="1120" w:type="dxa"/>
            <w:vAlign w:val="bottom"/>
          </w:tcPr>
          <w:p>
            <w:pPr>
              <w:jc w:val="right"/>
              <w:ind w:right="99"/>
              <w:spacing w:after="0"/>
              <w:rPr>
                <w:sz w:val="20"/>
                <w:szCs w:val="20"/>
                <w:color w:val="auto"/>
              </w:rPr>
            </w:pPr>
            <w:r>
              <w:rPr>
                <w:rFonts w:ascii="Times New Roman" w:cs="Times New Roman" w:eastAsia="Times New Roman" w:hAnsi="Times New Roman"/>
                <w:sz w:val="20"/>
                <w:szCs w:val="20"/>
                <w:color w:val="auto"/>
              </w:rPr>
              <w:t>256,363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99"/>
              <w:spacing w:after="0"/>
              <w:rPr>
                <w:sz w:val="20"/>
                <w:szCs w:val="20"/>
                <w:color w:val="auto"/>
              </w:rPr>
            </w:pPr>
            <w:r>
              <w:rPr>
                <w:rFonts w:ascii="Times New Roman" w:cs="Times New Roman" w:eastAsia="Times New Roman" w:hAnsi="Times New Roman"/>
                <w:sz w:val="20"/>
                <w:szCs w:val="20"/>
                <w:color w:val="auto"/>
              </w:rPr>
              <w:t>260,522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99"/>
              <w:spacing w:after="0"/>
              <w:rPr>
                <w:sz w:val="20"/>
                <w:szCs w:val="20"/>
                <w:color w:val="auto"/>
              </w:rPr>
            </w:pPr>
            <w:r>
              <w:rPr>
                <w:rFonts w:ascii="Times New Roman" w:cs="Times New Roman" w:eastAsia="Times New Roman" w:hAnsi="Times New Roman"/>
                <w:sz w:val="20"/>
                <w:szCs w:val="20"/>
                <w:color w:val="auto"/>
              </w:rPr>
              <w:t>256,363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20"/>
                <w:szCs w:val="20"/>
                <w:color w:val="auto"/>
              </w:rPr>
              <w:t>260,522</w:t>
            </w:r>
          </w:p>
        </w:tc>
        <w:tc>
          <w:tcPr>
            <w:tcW w:w="0" w:type="dxa"/>
            <w:vAlign w:val="bottom"/>
          </w:tcPr>
          <w:p>
            <w:pPr>
              <w:spacing w:after="0"/>
              <w:rPr>
                <w:sz w:val="1"/>
                <w:szCs w:val="1"/>
                <w:color w:val="auto"/>
              </w:rPr>
            </w:pPr>
          </w:p>
        </w:tc>
      </w:tr>
      <w:tr>
        <w:trPr>
          <w:trHeight w:val="262"/>
        </w:trPr>
        <w:tc>
          <w:tcPr>
            <w:tcW w:w="52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Working capital as at the year ended:</w:t>
            </w:r>
          </w:p>
        </w:tc>
        <w:tc>
          <w:tcPr>
            <w:tcW w:w="300" w:type="dxa"/>
            <w:vAlign w:val="bottom"/>
          </w:tcPr>
          <w:p>
            <w:pPr>
              <w:spacing w:after="0"/>
              <w:rPr>
                <w:sz w:val="22"/>
                <w:szCs w:val="22"/>
                <w:color w:val="auto"/>
              </w:rPr>
            </w:pPr>
          </w:p>
        </w:tc>
        <w:tc>
          <w:tcPr>
            <w:tcW w:w="1120" w:type="dxa"/>
            <w:vAlign w:val="bottom"/>
          </w:tcPr>
          <w:p>
            <w:pPr>
              <w:jc w:val="right"/>
              <w:ind w:right="99"/>
              <w:spacing w:after="0"/>
              <w:rPr>
                <w:sz w:val="20"/>
                <w:szCs w:val="20"/>
                <w:color w:val="auto"/>
              </w:rPr>
            </w:pPr>
            <w:r>
              <w:rPr>
                <w:rFonts w:ascii="Times New Roman" w:cs="Times New Roman" w:eastAsia="Times New Roman" w:hAnsi="Times New Roman"/>
                <w:sz w:val="20"/>
                <w:szCs w:val="20"/>
                <w:color w:val="auto"/>
              </w:rPr>
              <w:t>408,323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jc w:val="right"/>
              <w:ind w:right="99"/>
              <w:spacing w:after="0"/>
              <w:rPr>
                <w:sz w:val="20"/>
                <w:szCs w:val="20"/>
                <w:color w:val="auto"/>
              </w:rPr>
            </w:pPr>
            <w:r>
              <w:rPr>
                <w:rFonts w:ascii="Times New Roman" w:cs="Times New Roman" w:eastAsia="Times New Roman" w:hAnsi="Times New Roman"/>
                <w:sz w:val="20"/>
                <w:szCs w:val="20"/>
                <w:color w:val="auto"/>
              </w:rPr>
              <w:t>378,540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jc w:val="right"/>
              <w:ind w:right="99"/>
              <w:spacing w:after="0"/>
              <w:rPr>
                <w:sz w:val="20"/>
                <w:szCs w:val="20"/>
                <w:color w:val="auto"/>
              </w:rPr>
            </w:pPr>
            <w:r>
              <w:rPr>
                <w:rFonts w:ascii="Times New Roman" w:cs="Times New Roman" w:eastAsia="Times New Roman" w:hAnsi="Times New Roman"/>
                <w:sz w:val="20"/>
                <w:szCs w:val="20"/>
                <w:color w:val="auto"/>
              </w:rPr>
              <w:t>408,323</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20"/>
                <w:szCs w:val="20"/>
                <w:color w:val="auto"/>
              </w:rPr>
              <w:t>378,540</w:t>
            </w:r>
          </w:p>
        </w:tc>
        <w:tc>
          <w:tcPr>
            <w:tcW w:w="0" w:type="dxa"/>
            <w:vAlign w:val="bottom"/>
          </w:tcPr>
          <w:p>
            <w:pPr>
              <w:spacing w:after="0"/>
              <w:rPr>
                <w:sz w:val="1"/>
                <w:szCs w:val="1"/>
                <w:color w:val="auto"/>
              </w:rPr>
            </w:pPr>
          </w:p>
        </w:tc>
      </w:tr>
      <w:tr>
        <w:trPr>
          <w:trHeight w:val="1120"/>
        </w:trPr>
        <w:tc>
          <w:tcPr>
            <w:tcW w:w="52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7120890</wp:posOffset>
            </wp:positionH>
            <wp:positionV relativeFrom="paragraph">
              <wp:posOffset>-27940</wp:posOffset>
            </wp:positionV>
            <wp:extent cx="33655" cy="412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-27940</wp:posOffset>
            </wp:positionV>
            <wp:extent cx="33655" cy="412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sectPr>
      <w:pgSz w:w="11900" w:h="16838" w:orient="portrait"/>
      <w:cols w:equalWidth="0" w:num="1">
        <w:col w:w="11240"/>
      </w:cols>
      <w:pgMar w:left="320" w:top="114"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2025-07-28T15:45:46Z</dcterms:created>
  <dcterms:modified xsi:type="dcterms:W3CDTF">2025-07-28T15:45:46Z</dcterms:modified>
</cp:coreProperties>
</file>