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472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72122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Hopkinson David G.</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1040"/>
        <w:spacing w:after="0" w:line="316" w:lineRule="auto"/>
        <w:rPr>
          <w:sz w:val="20"/>
          <w:szCs w:val="20"/>
          <w:color w:val="auto"/>
        </w:rPr>
      </w:pPr>
      <w:r>
        <w:rPr>
          <w:rFonts w:ascii="Times New Roman" w:cs="Times New Roman" w:eastAsia="Times New Roman" w:hAnsi="Times New Roman"/>
          <w:sz w:val="16"/>
          <w:szCs w:val="16"/>
          <w:color w:val="0000FF"/>
        </w:rPr>
        <w:t>C/O TILRAY BRANDS, INC. 265 TALBOT STREET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Tilray Brands,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TLRY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07/29/2025</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96"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720" w:type="dxa"/>
            <w:vAlign w:val="bottom"/>
            <w:gridSpan w:val="7"/>
          </w:tcPr>
          <w:p>
            <w:pPr>
              <w:jc w:val="center"/>
              <w:ind w:right="217"/>
              <w:spacing w:after="0" w:line="106"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line="106"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LEAMINGTON  A6</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N8H 4H3</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gridSpan w:val="2"/>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07/30/2025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1"/>
              </w:rPr>
              <w:t>124,378</w:t>
            </w:r>
            <w:r>
              <w:rPr>
                <w:rFonts w:ascii="Times New Roman" w:cs="Times New Roman" w:eastAsia="Times New Roman" w:hAnsi="Times New Roman"/>
                <w:sz w:val="20"/>
                <w:szCs w:val="20"/>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335,563</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124,378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00" w:type="dxa"/>
            <w:vAlign w:val="bottom"/>
          </w:tcPr>
          <w:p>
            <w:pPr>
              <w:jc w:val="right"/>
              <w:ind w:right="121"/>
              <w:spacing w:after="0" w:line="125" w:lineRule="exact"/>
              <w:rPr>
                <w:sz w:val="20"/>
                <w:szCs w:val="20"/>
                <w:color w:val="auto"/>
              </w:rPr>
            </w:pPr>
            <w:r>
              <w:rPr>
                <w:rFonts w:ascii="Times New Roman" w:cs="Times New Roman" w:eastAsia="Times New Roman" w:hAnsi="Times New Roman"/>
                <w:sz w:val="12"/>
                <w:szCs w:val="12"/>
                <w:color w:val="0000FF"/>
              </w:rPr>
              <w:t>07/30/2025</w:t>
            </w:r>
          </w:p>
        </w:tc>
        <w:tc>
          <w:tcPr>
            <w:tcW w:w="1100" w:type="dxa"/>
            <w:vAlign w:val="bottom"/>
          </w:tcPr>
          <w:p>
            <w:pPr>
              <w:spacing w:after="0"/>
              <w:rPr>
                <w:sz w:val="10"/>
                <w:szCs w:val="10"/>
                <w:color w:val="auto"/>
              </w:rPr>
            </w:pPr>
          </w:p>
        </w:tc>
        <w:tc>
          <w:tcPr>
            <w:tcW w:w="80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124,378</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57"/>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431,034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vMerge w:val="restart"/>
          </w:tcPr>
          <w:p>
            <w:pPr>
              <w:jc w:val="center"/>
              <w:ind w:right="84"/>
              <w:spacing w:after="0"/>
              <w:rPr>
                <w:sz w:val="20"/>
                <w:szCs w:val="20"/>
                <w:color w:val="auto"/>
              </w:rPr>
            </w:pPr>
            <w:r>
              <w:rPr>
                <w:rFonts w:ascii="Times New Roman" w:cs="Times New Roman" w:eastAsia="Times New Roman" w:hAnsi="Times New Roman"/>
                <w:sz w:val="12"/>
                <w:szCs w:val="12"/>
                <w:color w:val="0000FF"/>
              </w:rPr>
              <w:t>431,034</w:t>
            </w:r>
            <w:r>
              <w:rPr>
                <w:rFonts w:ascii="Times New Roman" w:cs="Times New Roman" w:eastAsia="Times New Roman" w:hAnsi="Times New Roman"/>
                <w:sz w:val="20"/>
                <w:szCs w:val="20"/>
                <w:color w:val="008000"/>
                <w:vertAlign w:val="superscript"/>
              </w:rPr>
              <w:t>(5)</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2"/>
                <w:szCs w:val="12"/>
                <w:color w:val="0000FF"/>
              </w:rPr>
              <w:t>07/29/2025</w:t>
            </w:r>
          </w:p>
        </w:tc>
        <w:tc>
          <w:tcPr>
            <w:tcW w:w="110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431,034</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continue"/>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57"/>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30, 2025, a total of 124,378 RSUs vested. Each RSU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Common Stock beneficially owned by the reporting person, but excludes other unvested RSUs.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40" w:right="42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the total amount of unvested RSUs and underlying shares of Tilray Common Stock.</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Carl A. Merton, as Attorney-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07/31/2025</w:t>
            </w:r>
          </w:p>
        </w:tc>
        <w:tc>
          <w:tcPr>
            <w:tcW w:w="0" w:type="dxa"/>
            <w:vAlign w:val="bottom"/>
          </w:tcPr>
          <w:p>
            <w:pPr>
              <w:spacing w:after="0"/>
              <w:rPr>
                <w:sz w:val="1"/>
                <w:szCs w:val="1"/>
                <w:color w:val="auto"/>
              </w:rPr>
            </w:pPr>
          </w:p>
        </w:tc>
      </w:tr>
      <w:tr>
        <w:trPr>
          <w:trHeight w:val="80"/>
        </w:trPr>
        <w:tc>
          <w:tcPr>
            <w:tcW w:w="208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in-Fact for Hopkinson, David G</w:t>
            </w: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8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0606"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2025-07-31T17:24:26Z</dcterms:created>
  <dcterms:modified xsi:type="dcterms:W3CDTF">2025-07-31T17:24:26Z</dcterms:modified>
</cp:coreProperties>
</file>