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Merton Carl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00"/>
        <w:spacing w:after="0" w:line="320" w:lineRule="auto"/>
        <w:rPr>
          <w:sz w:val="20"/>
          <w:szCs w:val="20"/>
          <w:color w:val="auto"/>
        </w:rPr>
      </w:pPr>
      <w:r>
        <w:rPr>
          <w:rFonts w:ascii="Times New Roman" w:cs="Times New Roman" w:eastAsia="Times New Roman" w:hAnsi="Times New Roman"/>
          <w:sz w:val="17"/>
          <w:szCs w:val="17"/>
          <w:color w:val="0000FF"/>
        </w:rPr>
        <w:t>C/O TILRAY BRANDS, INC. 265 TALBOT STREET WEST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Tilray Brands,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TLRY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11/15/2024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3760" w:type="dxa"/>
            <w:vAlign w:val="bottom"/>
          </w:tcPr>
          <w:p>
            <w:pPr>
              <w:ind w:left="16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80" w:type="dxa"/>
            <w:vAlign w:val="bottom"/>
            <w:gridSpan w:val="2"/>
            <w:vMerge w:val="continue"/>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LEAMINGTON A6</w:t>
            </w:r>
          </w:p>
        </w:tc>
        <w:tc>
          <w:tcPr>
            <w:tcW w:w="54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N8H 4H3</w:t>
            </w: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5460" w:type="dxa"/>
            <w:vAlign w:val="bottom"/>
            <w:gridSpan w:val="2"/>
            <w:vMerge w:val="continue"/>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4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660,055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11/15/2024</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26,000</w:t>
            </w:r>
            <w:r>
              <w:rPr>
                <w:rFonts w:ascii="Times New Roman" w:cs="Times New Roman" w:eastAsia="Times New Roman" w:hAnsi="Times New Roman"/>
                <w:sz w:val="22"/>
                <w:szCs w:val="22"/>
                <w:color w:val="008000"/>
                <w:w w:val="93"/>
                <w:vertAlign w:val="superscript"/>
              </w:rPr>
              <w:t>(1)</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1.36</w:t>
            </w:r>
          </w:p>
        </w:tc>
        <w:tc>
          <w:tcPr>
            <w:tcW w:w="12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26,000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15, 2024, the reporting person's spouse purchased 26,000 shares of common stock of Tilray Brands, Inc. on the open market at a per share price of $1.36. Such purchased shares are held by the spouse of the reporting person.</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Amount includes shares of Common Stock beneficially owned by the reporting person but excludes other unvested PSUs Amount also includes 20,000 shares of Common Stock held by the spouse of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Carl A. Merton</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11/18/2024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0546" TargetMode="External"/><Relationship Id="rId14" Type="http://schemas.openxmlformats.org/officeDocument/2006/relationships/hyperlink" Target="http://www.sec.gov/cgi-bin/browse-edgar?action=getcompany&amp;CIK=00017313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2024-11-18T10:33:15Z</dcterms:created>
  <dcterms:modified xsi:type="dcterms:W3CDTF">2024-11-18T10:33:15Z</dcterms:modified>
</cp:coreProperties>
</file>