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700" w:right="1760" w:hanging="3692"/>
        <w:spacing w:after="0" w:line="391"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February 28, 2025</w:t>
      </w:r>
    </w:p>
    <w:p>
      <w:pPr>
        <w:spacing w:after="0" w:line="280" w:lineRule="exact"/>
        <w:rPr>
          <w:sz w:val="24"/>
          <w:szCs w:val="24"/>
          <w:color w:val="auto"/>
        </w:rPr>
      </w:pPr>
    </w:p>
    <w:p>
      <w:pPr>
        <w:ind w:left="4360" w:right="1740" w:hanging="4352"/>
        <w:spacing w:after="0" w:line="375" w:lineRule="auto"/>
        <w:tabs>
          <w:tab w:leader="none" w:pos="32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57"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149"/>
        </w:trPr>
        <w:tc>
          <w:tcPr>
            <w:tcW w:w="432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4320" w:type="dxa"/>
            <w:vAlign w:val="bottom"/>
          </w:tcPr>
          <w:p>
            <w:pPr>
              <w:jc w:val="center"/>
              <w:ind w:right="1859"/>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265 Talbot Street West,</w:t>
            </w:r>
          </w:p>
        </w:tc>
        <w:tc>
          <w:tcPr>
            <w:tcW w:w="3040" w:type="dxa"/>
            <w:vAlign w:val="bottom"/>
          </w:tcPr>
          <w:p>
            <w:pPr>
              <w:spacing w:after="0"/>
              <w:rPr>
                <w:sz w:val="18"/>
                <w:szCs w:val="18"/>
                <w:color w:val="auto"/>
              </w:rPr>
            </w:pPr>
          </w:p>
        </w:tc>
      </w:t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Leamington, ON</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39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2"/>
        </w:trPr>
        <w:tc>
          <w:tcPr>
            <w:tcW w:w="45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TLRY</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00" w:lineRule="exact"/>
        <w:rPr>
          <w:sz w:val="24"/>
          <w:szCs w:val="24"/>
          <w:color w:val="auto"/>
        </w:rPr>
      </w:pPr>
    </w:p>
    <w:p>
      <w:pPr>
        <w:jc w:val="both"/>
        <w:ind w:firstLine="45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2" w:lineRule="exact"/>
        <w:rPr>
          <w:sz w:val="24"/>
          <w:szCs w:val="24"/>
          <w:color w:val="auto"/>
        </w:rPr>
      </w:pPr>
    </w:p>
    <w:p>
      <w:pPr>
        <w:jc w:val="both"/>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 w:name="page2"/>
    <w:bookmarkEnd w:id="1"/>
    <w:p>
      <w:pPr>
        <w:jc w:val="both"/>
        <w:ind w:firstLine="45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25" w:lineRule="exact"/>
        <w:rPr>
          <w:sz w:val="20"/>
          <w:szCs w:val="20"/>
          <w:color w:val="auto"/>
        </w:rPr>
      </w:pPr>
    </w:p>
    <w:p>
      <w:pPr>
        <w:ind w:right="20"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0"/>
          <w:szCs w:val="20"/>
          <w:color w:val="auto"/>
        </w:rPr>
      </w:pPr>
    </w:p>
    <w:p>
      <w:pPr>
        <w:ind w:left="460"/>
        <w:spacing w:after="0" w:line="184" w:lineRule="exact"/>
        <w:tabs>
          <w:tab w:leader="none" w:pos="8000" w:val="left"/>
          <w:tab w:leader="none" w:pos="86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0"/>
          <w:szCs w:val="20"/>
          <w:color w:val="auto"/>
        </w:rPr>
      </w:pPr>
    </w:p>
    <w:p>
      <w:pPr>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April 4, 2025, the registrant had 1,006,495,926 shares of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8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40" w:type="dxa"/>
            <w:vAlign w:val="bottom"/>
            <w:gridSpan w:val="3"/>
            <w:vMerge w:val="restart"/>
          </w:tcPr>
          <w:p>
            <w:pPr>
              <w:spacing w:after="0"/>
              <w:rPr>
                <w:sz w:val="24"/>
                <w:szCs w:val="24"/>
                <w:color w:val="auto"/>
              </w:rPr>
            </w:pPr>
          </w:p>
        </w:tc>
        <w:tc>
          <w:tcPr>
            <w:tcW w:w="2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720" w:type="dxa"/>
            <w:vAlign w:val="bottom"/>
            <w:gridSpan w:val="10"/>
            <w:vMerge w:val="restart"/>
          </w:tcPr>
          <w:p>
            <w:pPr>
              <w:spacing w:after="0"/>
              <w:rPr>
                <w:sz w:val="24"/>
                <w:szCs w:val="24"/>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640" w:type="dxa"/>
            <w:vAlign w:val="bottom"/>
            <w:gridSpan w:val="2"/>
            <w:vMerge w:val="continue"/>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7720" w:type="dxa"/>
            <w:vAlign w:val="bottom"/>
            <w:gridSpan w:val="10"/>
            <w:vMerge w:val="continue"/>
          </w:tcPr>
          <w:p>
            <w:pPr>
              <w:spacing w:after="0"/>
              <w:rPr>
                <w:sz w:val="14"/>
                <w:szCs w:val="14"/>
                <w:color w:val="auto"/>
              </w:rPr>
            </w:pPr>
          </w:p>
        </w:tc>
        <w:tc>
          <w:tcPr>
            <w:tcW w:w="38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and Comprehensive Loss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(Unaudited)</w:t>
            </w:r>
          </w:p>
        </w:tc>
        <w:tc>
          <w:tcPr>
            <w:tcW w:w="4840" w:type="dxa"/>
            <w:vAlign w:val="bottom"/>
            <w:gridSpan w:val="3"/>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w:t>
            </w:r>
          </w:p>
        </w:tc>
        <w:tc>
          <w:tcPr>
            <w:tcW w:w="5540" w:type="dxa"/>
            <w:vAlign w:val="bottom"/>
            <w:gridSpan w:val="4"/>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Interim Consolidated 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44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020" w:type="dxa"/>
            <w:vAlign w:val="bottom"/>
            <w:tcBorders>
              <w:top w:val="single" w:sz="8" w:color="0000EE"/>
            </w:tcBorders>
            <w:gridSpan w:val="3"/>
          </w:tcPr>
          <w:p>
            <w:pPr>
              <w:spacing w:after="0"/>
              <w:rPr>
                <w:sz w:val="17"/>
                <w:szCs w:val="17"/>
                <w:color w:val="auto"/>
              </w:rPr>
            </w:pPr>
          </w:p>
        </w:tc>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8200" w:type="dxa"/>
            <w:vAlign w:val="bottom"/>
            <w:gridSpan w:val="12"/>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2"/>
          </w:tcPr>
          <w:p>
            <w:pPr>
              <w:spacing w:after="0"/>
              <w:rPr>
                <w:sz w:val="17"/>
                <w:szCs w:val="17"/>
                <w:color w:val="auto"/>
              </w:rPr>
            </w:pPr>
          </w:p>
        </w:tc>
        <w:tc>
          <w:tcPr>
            <w:tcW w:w="810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62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3"/>
          </w:tcPr>
          <w:p>
            <w:pPr>
              <w:spacing w:after="0"/>
              <w:rPr>
                <w:sz w:val="17"/>
                <w:szCs w:val="17"/>
                <w:color w:val="auto"/>
              </w:rPr>
            </w:pPr>
          </w:p>
        </w:tc>
        <w:tc>
          <w:tcPr>
            <w:tcW w:w="76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360" w:type="dxa"/>
            <w:vAlign w:val="bottom"/>
            <w:gridSpan w:val="4"/>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66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5"/>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for the quarter ended February 28, 2025 (the “Form 10-Q”) contains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Such statements involve risks, uncertainties and assumptions. If the risks or uncertainties ever materialize or the assumptions prove incorrect, our results may differ materially from those expressed or implied by such forward-looking statements under the Canadian securities laws and within the meaning of Section 27A of the Securities Act of 1933, as amended, and Section 21E of the Securities Exchange Act of 1934, as amended, that are intended to be subject to the “safe harbor” created</w:t>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by those sections and other applicable laws. The words “anticipate,” “believe,” “continue,” “could,” “estimate,” “expect,” “intend,” “may,” “might,” “plan,” “project,” “will,” “would,” “seek,” or “should,” or the negative or plural of these words or similar expressions or variations are intended to identify such forward-looking statements. Forward-looking statements include, among other things, our beliefs or expectations relating to our future performance, results of operations and financial condition and liquidity; our intentions or expectations regarding our cost savings initiatives; our strategic initiatives, business strategy, supply chain, brand portfolio, product performance and expansion efforts; our intentions regarding the use of net proceeds from our ATM Program; our intentions regarding our capital structure and TLRY 27 Notes; current or future macroeconomic trends; our expectations and potential impacts of regulatory or industry developments; our expectations for our positioning and cannabis market share in Europe and other markets; our statements regarding the consolidation of the Canadian cannabis industry; our expectations regarding any future tax developments, tariffs or other trade restrictions; our expectations regarding our ability to regain compliance with Nasdaq listing standards; future corporate acquisitions and strategic transactions; and our synergies, cash savings and efficiencies anticipated from the integration of our completed acquisitions and strategic transactions.</w:t>
      </w:r>
    </w:p>
    <w:p>
      <w:pPr>
        <w:spacing w:after="0" w:line="200" w:lineRule="exact"/>
        <w:rPr>
          <w:sz w:val="20"/>
          <w:szCs w:val="20"/>
          <w:color w:val="auto"/>
        </w:rPr>
      </w:pPr>
    </w:p>
    <w:p>
      <w:pPr>
        <w:spacing w:after="0" w:line="20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Risks and uncertainties that may cause actual results to differ materially from forward-looking statements include, but are not limited to, those identified in this Form 10-Q and other risks and matters described in our most recent Annual Report on Form 10-K for the fiscal year ended May 31, 2024 as well as our other filings made from time to time with the U.S. Securities and Exchange Commission and in our Canadian securities filings.</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forward-looking statements to reflect actual results or changes in assumptions or circumstances,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TILRAY BRANDS, INC.</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Financial Position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of United States dollars, 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199,956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228,340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32,182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101,695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252,087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31,332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677,710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558,247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915,469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2,008,884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3,403,146</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4,221,665</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indebtedness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241,957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convertible debentures payable</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299,170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60,422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158,352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129,583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130,870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778,487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(refer to Note 19)</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1,416,000,000 common shares authorized; 983,372,617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831,925,373 common shares issued and outstanding, respectively)</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shares ($0.0001 par value; 10,000,000 preferred shares authorized; nil and nil preferred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(9,619,421 and nil treasury shares issued and outstanding, respectively)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6,357,039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6,146,810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(52,935)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(43,499)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(3,574,431)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(2,660,488)</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Tilray Brands, Inc.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2,729,772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3,442,906</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2,702,103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3,443,178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3,403,146</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4,221,665</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and per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February</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16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185,780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188,340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596,774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559,060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133,769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138,944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423,837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418,059</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52,011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172,937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141,001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39,246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39,940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129,356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123,769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41,757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24,437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23,182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21,558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65,700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6,793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28,934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(16,790)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699,235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699,235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than temporary change in fair value of convertible notes receivable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42,681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42,681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6,133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17,249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13,061</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811,942</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131,494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1,011,656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299,220</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(759,931)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(838,719)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(158,219)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(25,986)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(26,977)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(24,022)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(20,820)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(792,331)</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(107,854)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(909,336)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(206,016)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(recovery),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(793,534)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(104,983)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(913,461)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(207,029)</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net (loss) income attributable to:</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(789,436)</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(92,701)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(913,943)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(213,234)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3,716</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gain (loss), net of tax</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(10,195)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3,716</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(798,923)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(109,679)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(923,656)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(203,313)</w:t>
            </w: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Total comprehensive (loss) income attributable to:</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(794,414)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(97,521)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(923,379)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(209,811)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(4,509)</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(12,158)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6,498</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908,342,792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754,439,331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860,793,723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725,346,952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908,342,792</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754,439,331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860,793,723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725,346,952</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(0.29)</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data,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0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2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2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May 31, 2023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656,655,455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66</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$ 5,777,743</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(46,610)</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(2,415,507)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14,251</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$ 3,329,943</w:t>
            </w:r>
          </w:p>
        </w:tc>
        <w:tc>
          <w:tcPr>
            <w:tcW w:w="0" w:type="dxa"/>
            <w:vAlign w:val="bottom"/>
          </w:tcPr>
          <w:p>
            <w:pPr>
              <w:spacing w:after="0"/>
              <w:rPr>
                <w:sz w:val="1"/>
                <w:szCs w:val="1"/>
                <w:color w:val="auto"/>
              </w:rPr>
            </w:pPr>
          </w:p>
        </w:tc>
      </w:tr>
      <w:tr>
        <w:trPr>
          <w:trHeight w:val="169"/>
        </w:trPr>
        <w:tc>
          <w:tcPr>
            <w:tcW w:w="2000" w:type="dxa"/>
            <w:vAlign w:val="bottom"/>
            <w:tcBorders>
              <w:top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Share issuance - HEXO</w:t>
            </w:r>
          </w:p>
        </w:tc>
        <w:tc>
          <w:tcPr>
            <w:tcW w:w="9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acquisition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39,705,962</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65,158</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65,162</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settlement</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contractual change of</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 severance incurred</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from HEXO acquisition</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865,426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Double</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Diamond Holdings dividend</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settlement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5,004,735</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8,146</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8,146</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HTI</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17,148,541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49,998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3,912,481</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effectively</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repurchased for employee</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(4,860)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(4,860)</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Equity component related to</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convertible debt,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net of issuance costs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3,953</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3,953</w:t>
            </w: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8,257</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8,257</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to non-</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controlling interests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(7,891)</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(7,891)</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140" w:type="dxa"/>
            <w:vAlign w:val="bottom"/>
            <w:shd w:val="clear" w:color="auto" w:fill="CCEEFF"/>
          </w:tcPr>
          <w:p>
            <w:pPr>
              <w:spacing w:after="0"/>
              <w:rPr>
                <w:sz w:val="16"/>
                <w:szCs w:val="16"/>
                <w:color w:val="auto"/>
              </w:rPr>
            </w:pPr>
          </w:p>
        </w:tc>
        <w:tc>
          <w:tcPr>
            <w:tcW w:w="12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(71,525)</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15,822</w:t>
            </w:r>
          </w:p>
        </w:tc>
        <w:tc>
          <w:tcPr>
            <w:tcW w:w="140" w:type="dxa"/>
            <w:vAlign w:val="bottom"/>
            <w:shd w:val="clear" w:color="auto" w:fill="CCEEFF"/>
          </w:tcPr>
          <w:p>
            <w:pPr>
              <w:spacing w:after="0"/>
              <w:rPr>
                <w:sz w:val="16"/>
                <w:szCs w:val="16"/>
                <w:color w:val="auto"/>
              </w:rPr>
            </w:pPr>
          </w:p>
        </w:tc>
        <w:tc>
          <w:tcPr>
            <w:tcW w:w="9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(52,654)</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Balance at August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723,292,600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5,909,895</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(43,561)</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(2,487,032)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22,182</w:t>
            </w:r>
          </w:p>
        </w:tc>
        <w:tc>
          <w:tcPr>
            <w:tcW w:w="1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3,401,556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Share issuance - HTI</w:t>
            </w: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1,032,616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2,313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2,313</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Settlement</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of litigation claims from</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MediPharm Labs Inc</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1,573,152</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3,477</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3,477</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Repurchase</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TLRY 23 convertible note</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7,000,000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20,457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20,458</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Settlement</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of equity component of</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TLRY 23 convertible note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(1,672)</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(1,672)</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9,184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8,201</w:t>
            </w:r>
          </w:p>
        </w:tc>
        <w:tc>
          <w:tcPr>
            <w:tcW w:w="2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8,201</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140" w:type="dxa"/>
            <w:vAlign w:val="bottom"/>
            <w:shd w:val="clear" w:color="auto" w:fill="CCEEFF"/>
          </w:tcPr>
          <w:p>
            <w:pPr>
              <w:spacing w:after="0"/>
              <w:rPr>
                <w:sz w:val="16"/>
                <w:szCs w:val="16"/>
                <w:color w:val="auto"/>
              </w:rPr>
            </w:pPr>
          </w:p>
        </w:tc>
        <w:tc>
          <w:tcPr>
            <w:tcW w:w="12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(49,008)</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140" w:type="dxa"/>
            <w:vAlign w:val="bottom"/>
            <w:shd w:val="clear" w:color="auto" w:fill="CCEEFF"/>
          </w:tcPr>
          <w:p>
            <w:pPr>
              <w:spacing w:after="0"/>
              <w:rPr>
                <w:sz w:val="16"/>
                <w:szCs w:val="16"/>
                <w:color w:val="auto"/>
              </w:rPr>
            </w:pPr>
          </w:p>
        </w:tc>
        <w:tc>
          <w:tcPr>
            <w:tcW w:w="9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(40,980)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Balance at November 30,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732,907,552</w:t>
            </w:r>
          </w:p>
        </w:tc>
        <w:tc>
          <w:tcPr>
            <w:tcW w:w="1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73</w:t>
            </w:r>
          </w:p>
        </w:tc>
        <w:tc>
          <w:tcPr>
            <w:tcW w:w="78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5,942,671</w:t>
            </w:r>
          </w:p>
        </w:tc>
        <w:tc>
          <w:tcPr>
            <w:tcW w:w="200" w:type="dxa"/>
            <w:vAlign w:val="bottom"/>
          </w:tcPr>
          <w:p>
            <w:pPr>
              <w:spacing w:after="0"/>
              <w:rPr>
                <w:sz w:val="15"/>
                <w:szCs w:val="15"/>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(38,367)</w:t>
            </w:r>
          </w:p>
        </w:tc>
        <w:tc>
          <w:tcPr>
            <w:tcW w:w="12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(2,536,040)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25,016</w:t>
            </w:r>
          </w:p>
        </w:tc>
        <w:tc>
          <w:tcPr>
            <w:tcW w:w="140" w:type="dxa"/>
            <w:vAlign w:val="bottom"/>
          </w:tcPr>
          <w:p>
            <w:pPr>
              <w:spacing w:after="0"/>
              <w:rPr>
                <w:sz w:val="15"/>
                <w:szCs w:val="15"/>
                <w:color w:val="auto"/>
              </w:rPr>
            </w:pP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3,393,353</w:t>
            </w:r>
          </w:p>
        </w:tc>
        <w:tc>
          <w:tcPr>
            <w:tcW w:w="0" w:type="dxa"/>
            <w:vAlign w:val="bottom"/>
          </w:tcPr>
          <w:p>
            <w:pPr>
              <w:spacing w:after="0"/>
              <w:rPr>
                <w:sz w:val="1"/>
                <w:szCs w:val="1"/>
                <w:color w:val="auto"/>
              </w:rPr>
            </w:pPr>
          </w:p>
        </w:tc>
      </w:tr>
      <w:tr>
        <w:trPr>
          <w:trHeight w:val="176"/>
        </w:trPr>
        <w:tc>
          <w:tcPr>
            <w:tcW w:w="2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2023</w:t>
            </w:r>
          </w:p>
        </w:tc>
        <w:tc>
          <w:tcPr>
            <w:tcW w:w="9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Share issuance - Repurchase</w:t>
            </w: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APHA 24 convertible</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27,228,252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51,380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51,383</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-Double</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Diamond Holdings dividend</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settlement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13,627,391</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28,599</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(26,217)</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2,383</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260,567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options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4,291</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8,059</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8,059</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to non-</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controlling interests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(2,458)</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(2,458)</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(4,820)</w:t>
            </w:r>
          </w:p>
        </w:tc>
        <w:tc>
          <w:tcPr>
            <w:tcW w:w="12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(92,701)</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(12,158)</w:t>
            </w:r>
          </w:p>
        </w:tc>
        <w:tc>
          <w:tcPr>
            <w:tcW w:w="9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(109,679)</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Balance at February 29,</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774,028,053</w:t>
            </w:r>
          </w:p>
        </w:tc>
        <w:tc>
          <w:tcPr>
            <w:tcW w:w="1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77</w:t>
            </w:r>
          </w:p>
        </w:tc>
        <w:tc>
          <w:tcPr>
            <w:tcW w:w="78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6,030,709</w:t>
            </w:r>
          </w:p>
        </w:tc>
        <w:tc>
          <w:tcPr>
            <w:tcW w:w="200" w:type="dxa"/>
            <w:vAlign w:val="bottom"/>
          </w:tcPr>
          <w:p>
            <w:pPr>
              <w:spacing w:after="0"/>
              <w:rPr>
                <w:sz w:val="15"/>
                <w:szCs w:val="15"/>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(43,187)</w:t>
            </w:r>
          </w:p>
        </w:tc>
        <w:tc>
          <w:tcPr>
            <w:tcW w:w="12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(2,628,741)</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(15,817)</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3,343,041</w:t>
            </w:r>
          </w:p>
        </w:tc>
        <w:tc>
          <w:tcPr>
            <w:tcW w:w="0" w:type="dxa"/>
            <w:vAlign w:val="bottom"/>
          </w:tcPr>
          <w:p>
            <w:pPr>
              <w:spacing w:after="0"/>
              <w:rPr>
                <w:sz w:val="1"/>
                <w:szCs w:val="1"/>
                <w:color w:val="auto"/>
              </w:rPr>
            </w:pPr>
          </w:p>
        </w:tc>
      </w:tr>
      <w:tr>
        <w:trPr>
          <w:trHeight w:val="176"/>
        </w:trPr>
        <w:tc>
          <w:tcPr>
            <w:tcW w:w="2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2024</w:t>
            </w:r>
          </w:p>
        </w:tc>
        <w:tc>
          <w:tcPr>
            <w:tcW w:w="9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May 31, 2024</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831,925,373</w:t>
            </w: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83</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6,146,810</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(43,499)</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(2,660,488)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3,443,178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Share issuance - At-the-</w:t>
            </w: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(“ATM”) program</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36,693,307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66,468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66,472</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6,823,140</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options</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3,008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Shares effectively</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(2,661)</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(2,661)</w:t>
            </w:r>
          </w:p>
        </w:tc>
        <w:tc>
          <w:tcPr>
            <w:tcW w:w="0" w:type="dxa"/>
            <w:vAlign w:val="bottom"/>
          </w:tcPr>
          <w:p>
            <w:pPr>
              <w:spacing w:after="0"/>
              <w:rPr>
                <w:sz w:val="1"/>
                <w:szCs w:val="1"/>
                <w:color w:val="auto"/>
              </w:rPr>
            </w:pPr>
          </w:p>
        </w:tc>
      </w:tr>
    </w:tbl>
    <w:p>
      <w:pPr>
        <w:sectPr>
          <w:pgSz w:w="11900" w:h="16845" w:orient="portrait"/>
          <w:cols w:equalWidth="0" w:num="1">
            <w:col w:w="11240"/>
          </w:cols>
          <w:pgMar w:left="320" w:top="819"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repurchased for employee</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6,917</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6,917</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(39,165)</w:t>
            </w:r>
          </w:p>
        </w:tc>
        <w:tc>
          <w:tcPr>
            <w:tcW w:w="18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140" w:type="dxa"/>
            <w:vAlign w:val="bottom"/>
          </w:tcPr>
          <w:p>
            <w:pPr>
              <w:spacing w:after="0"/>
              <w:rPr>
                <w:sz w:val="16"/>
                <w:szCs w:val="16"/>
                <w:color w:val="auto"/>
              </w:rPr>
            </w:pPr>
          </w:p>
        </w:tc>
        <w:tc>
          <w:tcPr>
            <w:tcW w:w="9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(30,492)</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August 31,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875,444,828</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88</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6,217,533</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(39,877)</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(2,699,653)</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5,323</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$ 3,483,414</w:t>
            </w:r>
          </w:p>
        </w:tc>
        <w:tc>
          <w:tcPr>
            <w:tcW w:w="0" w:type="dxa"/>
            <w:vAlign w:val="bottom"/>
          </w:tcPr>
          <w:p>
            <w:pPr>
              <w:spacing w:after="0"/>
              <w:rPr>
                <w:sz w:val="1"/>
                <w:szCs w:val="1"/>
                <w:color w:val="auto"/>
              </w:rPr>
            </w:pPr>
          </w:p>
        </w:tc>
      </w:tr>
      <w:tr>
        <w:trPr>
          <w:trHeight w:val="169"/>
        </w:trPr>
        <w:tc>
          <w:tcPr>
            <w:tcW w:w="2000" w:type="dxa"/>
            <w:vAlign w:val="bottom"/>
            <w:tcBorders>
              <w:top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Share issuance - At-the-</w:t>
            </w:r>
          </w:p>
        </w:tc>
        <w:tc>
          <w:tcPr>
            <w:tcW w:w="9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Market (“ATM”) program</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30,517,557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45,041</w:t>
            </w: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45,044</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Repurchase</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TLRY 27 convertible note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10,034,635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(3,682,609)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17,084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17,085</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Settlement</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of equity component of</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TLRY 27 convertible note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(4,931)</w:t>
            </w: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(4,931)</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Double</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Diamond Holdings dividend</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13,217,588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23,823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(23,824)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35,983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options</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7,237</w:t>
            </w:r>
          </w:p>
        </w:tc>
        <w:tc>
          <w:tcPr>
            <w:tcW w:w="3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7,237</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(8,080)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(85,342)</w:t>
            </w:r>
          </w:p>
        </w:tc>
        <w:tc>
          <w:tcPr>
            <w:tcW w:w="18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(819)</w:t>
            </w:r>
          </w:p>
        </w:tc>
        <w:tc>
          <w:tcPr>
            <w:tcW w:w="9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(94,241)</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Balance at November 30,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929,257,945</w:t>
            </w:r>
          </w:p>
        </w:tc>
        <w:tc>
          <w:tcPr>
            <w:tcW w:w="180" w:type="dxa"/>
            <w:vAlign w:val="bottom"/>
          </w:tcPr>
          <w:p>
            <w:pPr>
              <w:spacing w:after="0"/>
              <w:rPr>
                <w:sz w:val="15"/>
                <w:szCs w:val="15"/>
                <w:color w:val="auto"/>
              </w:rPr>
            </w:pPr>
          </w:p>
        </w:tc>
        <w:tc>
          <w:tcPr>
            <w:tcW w:w="3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93</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(3,682,609)</w:t>
            </w:r>
          </w:p>
        </w:tc>
        <w:tc>
          <w:tcPr>
            <w:tcW w:w="4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$ 6,305,787</w:t>
            </w:r>
          </w:p>
        </w:tc>
        <w:tc>
          <w:tcPr>
            <w:tcW w:w="3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(47,957)</w:t>
            </w: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(2,784,995)</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(19,320)</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$ 3,453,608</w:t>
            </w:r>
          </w:p>
        </w:tc>
        <w:tc>
          <w:tcPr>
            <w:tcW w:w="0" w:type="dxa"/>
            <w:vAlign w:val="bottom"/>
          </w:tcPr>
          <w:p>
            <w:pPr>
              <w:spacing w:after="0"/>
              <w:rPr>
                <w:sz w:val="1"/>
                <w:szCs w:val="1"/>
                <w:color w:val="auto"/>
              </w:rPr>
            </w:pPr>
          </w:p>
        </w:tc>
      </w:tr>
      <w:tr>
        <w:trPr>
          <w:trHeight w:val="176"/>
        </w:trPr>
        <w:tc>
          <w:tcPr>
            <w:tcW w:w="2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2024</w:t>
            </w: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Share issuance - At-the-</w:t>
            </w: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(“ATM”) program</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26,399,937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28,219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28,222</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Repurchase</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of TLRY 27 convertible note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27,136,770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(5,936,812)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26,440</w:t>
            </w: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26,443</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Settlement</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equity component of</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TLRY 27 convertible note</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(7,442)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(7,442)</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577,965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4,035</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4,035</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Disposal of SH Acquisition</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(3,840)</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(3,840)</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(4,978)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(789,436)</w:t>
            </w:r>
          </w:p>
        </w:tc>
        <w:tc>
          <w:tcPr>
            <w:tcW w:w="18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(4,509)</w:t>
            </w:r>
          </w:p>
        </w:tc>
        <w:tc>
          <w:tcPr>
            <w:tcW w:w="9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(798,923)</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Balance at February 28,</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983,372,617</w:t>
            </w:r>
          </w:p>
        </w:tc>
        <w:tc>
          <w:tcPr>
            <w:tcW w:w="180" w:type="dxa"/>
            <w:vAlign w:val="bottom"/>
          </w:tcPr>
          <w:p>
            <w:pPr>
              <w:spacing w:after="0"/>
              <w:rPr>
                <w:sz w:val="15"/>
                <w:szCs w:val="15"/>
                <w:color w:val="auto"/>
              </w:rPr>
            </w:pPr>
          </w:p>
        </w:tc>
        <w:tc>
          <w:tcPr>
            <w:tcW w:w="3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99</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(9,619,421)</w:t>
            </w:r>
          </w:p>
        </w:tc>
        <w:tc>
          <w:tcPr>
            <w:tcW w:w="4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$ 6,357,039</w:t>
            </w:r>
          </w:p>
        </w:tc>
        <w:tc>
          <w:tcPr>
            <w:tcW w:w="3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(52,935)</w:t>
            </w: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(3,574,431)</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(27,669)</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$ 2,702,103</w:t>
            </w:r>
          </w:p>
        </w:tc>
        <w:tc>
          <w:tcPr>
            <w:tcW w:w="0" w:type="dxa"/>
            <w:vAlign w:val="bottom"/>
          </w:tcPr>
          <w:p>
            <w:pPr>
              <w:spacing w:after="0"/>
              <w:rPr>
                <w:sz w:val="1"/>
                <w:szCs w:val="1"/>
                <w:color w:val="auto"/>
              </w:rPr>
            </w:pPr>
          </w:p>
        </w:tc>
      </w:tr>
      <w:tr>
        <w:trPr>
          <w:trHeight w:val="176"/>
        </w:trPr>
        <w:tc>
          <w:tcPr>
            <w:tcW w:w="2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2025</w:t>
            </w: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February 29,</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(913,461)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(207,029)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expense (recovery),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loss (gain)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99,410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95,183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convertible debt discount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699,235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than temporary change in fair value of convertible notes receivable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42,681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non-cash items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24,517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long-term investments &amp; equity investments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13,717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(16,790)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non-cash working capital: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(30,982)</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(81,792)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(61,612)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capital and intangible assets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(19,539)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capital and intangible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disposal of marketable securities, net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162,292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(60,626)</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(60,239)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83,293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capital issued, net of cash issuance costs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139,738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32,621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(17,978)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convertible debt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(107,330)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bank indebtedness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(8,352)</w:t>
            </w: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(82,257)</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foreign exchange on cash and cash equivalents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(60,379)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206,632</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199,956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reflect the accounts of the Company for the quarterly period ended February 28, 2025 (the “Financial Statements”). The Financial Statements were prepared in accordance with generally accepted accounting principles in the United States of America (“U.S. GAAP”) for interim financial information and pursuant to the rules and regulations of the United States Securities and Exchange Commission (“SEC”) for interim financial information. Accordingly, they do not include all of the information and notes required by U.S. GAAP and should be read in conjunction with the audited consolidated financial statements (the “Annual Financial Statements”) included in the Company’s Annual Report on Form 10-K for the fiscal year ended May 31, 2024 (the “Annual Report”). These Financial Statements reflect all adjustments, which, in the opinion of management, are necessary for a fair presentation of the results for the interim periods presented. Interim results are not necessarily indicative of results for a full fiscal year.</w:t>
      </w:r>
    </w:p>
    <w:p>
      <w:pPr>
        <w:spacing w:after="0" w:line="19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These Financial Statements have been prepared on a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All amounts in the Financial Statements, notes and tables have been rounded to the nearest thousand, except par values and per share amounts, and unless otherwise indicated.</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Certain items of the comparative figures have been changed to conform to the presentation adopted in the current period. In limited cases, certain line items that were previously aggregated have been disaggregated within the Consolidated Statements of Cash Flows for the periods presented.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Subsidiaries are entities controlled by the Company. Control exists when the Company either has a controlling voting interest or is the primary beneficiary of a variable interest entity. The financial statements of all subsidiaries are included in the Financial Statements from the date that control commences until the date that control ceases. All intercompany balances and transactions have been eliminated on consolidation. A complete list of our subsidiaries that existed as of our most recent fiscal year end is included in the Annual Report.</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Impairment of goodwill and indefinite-lived intangible assets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or more frequently when events or circumstances indicate that impairment may have occurred. As part of the impairment evaluation, we may elect to perform an assessment of qualitative factors. If this qualitative assessment indicates that it is more likely than not that the fair value of the indefinite-lived intangible asset or the reporting unit (for goodwill) is less than its carrying value, a quantitative impairment test to compare the fair value to the carrying value is performed. An impairment charge is recorded if the carrying value exceeds the fair value. The assessment of whether an indication of impairment exists is performed at the end of each reporting period and requires the application of judgment, historical experience, and external and internal sources of information. We make estimates in determining the future cash flows and discount rates in the quantitative impairment test to compare the fair value to the carrying value.</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period ended February 28, 2025, the Company identified an indicator of impairment with respect to its reporting units and performed an interim impairment test, and determined that the fair value of certain reporting units was not greater than their carrying amounts, resulting in an impairment expense of $699,235, see Note 6 (Goodwill).</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notes receivable</w:t>
      </w:r>
    </w:p>
    <w:p>
      <w:pPr>
        <w:spacing w:after="0" w:line="22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Convertible notes receivable includes various investments in which the Company has the right, or potential right to convert the indenture into Common Stock of the investee and are classified as available-for-sale and are recorded at fair value. Unrealized gains and losses during the year, net of the related tax effect, are excluded from income and reflected in other comprehensive income (loss), and the cumulative effect is reported as a separate component of shareholders' equity until realized. We use judgement to assess convertible notes receivables for impairment at each measurement date. Convertible notes receivables are impaired when a decline in fair value is determined to be other-than-temporary, an impairment charge is recorded in the consolidated statements of loss and comprehensive loss and a new cost basis for the investment is established. We also evaluate whether there is a plan to sell the security, or it is more likely than not that we will be required to sell the security before recovery. If neither of the conditions exist, then only the portion of the impairment loss attributable to credit loss is recorded in the statements of loss and the remaining amount is recorded in other comprehensive income (loss).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left="500"/>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Basic earnings (loss) per share is computed by dividing reported net income (loss) attributable to stockholders of Tilray Brands, Inc. by the weighted average number of common shares outstanding during the year. Diluted earnings (loss) per share is computed by dividing reported net income (loss) attributable to stockholders of Tilray Brands, Inc.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and similar instruments. Shares of Common Stock outstanding under the share lending arrangement entered into in conjunction with the TLRY 27 Notes, see Note 13 (Convertible debentures payable) are excluded from the calculation of basic and diluted earnings per share because the borrower of the shares is required under the share lending arrangement to refund any dividends paid on the shares lent.</w:t>
      </w:r>
    </w:p>
    <w:p>
      <w:pPr>
        <w:spacing w:after="0" w:line="19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 computing diluted earnings (loss) per share, common share equivalents are not considered in periods in which a net loss is reported, as the inclusion of the common share equivalents would be anti-dilutive. For the three and nine months ended February 28, 2025 and February 29, 2024, the dilutive potential common share equivalents outstanding consisted of the following: 21,896,120 and 20,652,315 common shares from RSUs, 3,032,559 and 5,744,302 common shares from share options, 6,209,000 and 6,209,000 common shares for warrants and 48,738,225 and 72,653,364 common shares for convertible debentures, respectively.</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 August 2023, the Financial Accounting Standards Board ("FASB") issued Accounting Standards Update ("ASU") 2023-05, </w:t>
      </w:r>
      <w:r>
        <w:rPr>
          <w:rFonts w:ascii="Times New Roman" w:cs="Times New Roman" w:eastAsia="Times New Roman" w:hAnsi="Times New Roman"/>
          <w:sz w:val="18"/>
          <w:szCs w:val="18"/>
          <w:i w:val="1"/>
          <w:iCs w:val="1"/>
          <w:color w:val="auto"/>
        </w:rPr>
        <w:t>Business Combination</w:t>
      </w:r>
    </w:p>
    <w:p>
      <w:pPr>
        <w:spacing w:after="0" w:line="29" w:lineRule="exact"/>
        <w:rPr>
          <w:sz w:val="20"/>
          <w:szCs w:val="20"/>
          <w:color w:val="auto"/>
        </w:rPr>
      </w:pPr>
    </w:p>
    <w:p>
      <w:pPr>
        <w:jc w:val="both"/>
        <w:ind w:firstLine="8"/>
        <w:spacing w:after="0" w:line="255" w:lineRule="auto"/>
        <w:tabs>
          <w:tab w:leader="none" w:pos="12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Joint Venture Formations </w:t>
      </w:r>
      <w:r>
        <w:rPr>
          <w:rFonts w:ascii="Times New Roman" w:cs="Times New Roman" w:eastAsia="Times New Roman" w:hAnsi="Times New Roman"/>
          <w:sz w:val="18"/>
          <w:szCs w:val="18"/>
          <w:color w:val="auto"/>
        </w:rPr>
        <w:t>(Subtopic 805-60) Recognition and Initial Measurement (“ASU 2023-05”), which is intended to address the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made to a joint venture. ASU 2023-05 is effective for the Company beginning June 1, 2026. This update will be applied prospectively and the Company is currently evaluating the effect of adopting this ASU.</w:t>
      </w:r>
    </w:p>
    <w:p>
      <w:pPr>
        <w:spacing w:after="0" w:line="184"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Simplification Initiative, </w:t>
      </w:r>
      <w:r>
        <w:rPr>
          <w:rFonts w:ascii="Times New Roman" w:cs="Times New Roman" w:eastAsia="Times New Roman" w:hAnsi="Times New Roman"/>
          <w:sz w:val="18"/>
          <w:szCs w:val="18"/>
          <w:color w:val="auto"/>
        </w:rPr>
        <w:t>which amends the disclosure or presentation requirements related to various subtopics in the FASB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Codification (the “Codification”). 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Codification and will not become effective for any entity. The Company is currently evaluating the effect of adopting this ASU.</w:t>
      </w:r>
    </w:p>
    <w:p>
      <w:pPr>
        <w:spacing w:after="0" w:line="182" w:lineRule="exact"/>
        <w:rPr>
          <w:sz w:val="20"/>
          <w:szCs w:val="20"/>
          <w:color w:val="auto"/>
        </w:rPr>
      </w:pPr>
    </w:p>
    <w:p>
      <w:pPr>
        <w:ind w:right="3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public entities to disclose information about their reportable segments, including segments' significant expenses on an interim and annual basis. ASU 2023-07 is effective for the Company beginning with its fiscal year ended May 31, 2025 and will be disclosed retrospectively in the Annual Report on Form 10-K filed with the SEC for such period. The Company is in the process of evaluating the impact of the financial statement disclosure requirements.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to disclose specific categories in the rate reconciliation and provide additional information for reconciling items that meet a quantitative threshold on an annual basis. ASU 2023-09 is effective for the Company beginning June 1, 2025. The Company is currently evaluating the effect of adopting this ASU.</w:t>
      </w:r>
    </w:p>
    <w:p>
      <w:pPr>
        <w:spacing w:after="0" w:line="180"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which requires disaggregated disclosure of income statement expenses for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entities. ASU 2024-03 is effective for the Company beginning June 1, 2026. The Company is currently evaluating the effect of adopting this ASU.</w:t>
      </w:r>
    </w:p>
    <w:p>
      <w:pPr>
        <w:spacing w:after="0" w:line="17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which seeks to clarify the requirements for determining whether certain settlements of convertible debt instruments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accounted for as an induced conversion. ASU 2024-04 is effective for the Company beginning June 1, 2025. The Company is currently evaluating the effect of adopting this ASU.</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Inventory</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inventory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52,831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Cannabis plants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13,828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Dried cannabis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Cannabis derivatives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vapes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Packaging and other inventory items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22,115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inventory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Wellness inventory</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263,398</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252,087</w:t>
            </w:r>
          </w:p>
        </w:tc>
      </w:tr>
      <w:tr>
        <w:trPr>
          <w:trHeight w:val="656"/>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3. Capital assets</w:t>
            </w: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 assets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43,599</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45,577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369,630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258,532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43,993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754,821</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747,822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(217,021)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(189,575)</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Assets held for sale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24,682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32,074</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Beginning in the fiscal year ended May 31, 2024, the Company classified the following assets from its Cannabis reporting segment as held for sale, including its Quebec cultivation facility, the Fort Collins, CO partially vacant warehouse facility, and the Broken Coast former cultivation facility located in Duncan, B.C. Following an assessment of facility capacity utilization, it was determined that these facilities would be exited and held for sale. It is expected that the sale of these assets will be completed within twelve months from the period in which they were classified as held for sale. Assets held for sale are measured at the lower of carrying amount and their fair value less costs to sell and are no longer depreciated. Disposition of assets held for sale are recorded in the consolidated statement of loss and comprehensive loss, within the line, “Non-operating income (expense), net”.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Note 4. Leases</w:t>
            </w:r>
          </w:p>
        </w:tc>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balance sheet.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Classification on Balance Sheet</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Capital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40,691</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43,993</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0" w:type="dxa"/>
            <w:vAlign w:val="bottom"/>
            <w:tcBorders>
              <w:bottom w:val="single" w:sz="8" w:color="CCEEFF"/>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right-of-use assets</w:t>
            </w:r>
          </w:p>
        </w:tc>
        <w:tc>
          <w:tcPr>
            <w:tcW w:w="36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57,685</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60,094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360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Current portion of lease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Current portion of lease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Lease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43,948</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0" w:type="dxa"/>
            <w:vAlign w:val="bottom"/>
            <w:tcBorders>
              <w:bottom w:val="single" w:sz="8" w:color="CCEEFF"/>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Lease liabilities</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future undiscounted payments associated with lease liabilities as of February 28, 2025: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leases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three months)</w:t>
            </w:r>
          </w:p>
        </w:tc>
        <w:tc>
          <w:tcPr>
            <w:tcW w:w="36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4,511</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25,595</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85,462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(39,320)</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Obligations recognized</w:t>
            </w:r>
          </w:p>
        </w:tc>
        <w:tc>
          <w:tcPr>
            <w:tcW w:w="3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Intangible Assets</w:t>
            </w: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00" w:type="dxa"/>
            <w:vAlign w:val="bottom"/>
            <w:vMerge w:val="continue"/>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consisted of the following items:</w:t>
            </w: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&amp; distribution channels</w:t>
            </w:r>
          </w:p>
        </w:tc>
        <w:tc>
          <w:tcPr>
            <w:tcW w:w="36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589,595</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603,939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Licenses, permits &amp; applications</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368,057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trademarks, knowhow &amp; brands</w:t>
            </w:r>
          </w:p>
        </w:tc>
        <w:tc>
          <w:tcPr>
            <w:tcW w:w="3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1,570,010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1,593,071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(306,951)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(261,758)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impairments</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(415,844)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(415,844)</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847,215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915,469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Included in licenses, permits &amp; applications are multi-period sponsorship rights of $15,047 and indefinite-lived intangible assets of $173,707 as of February 28, 2025, compared to $nil and $182,851 as of May 31, 2024,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as of February 28,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three months)</w:t>
            </w:r>
          </w:p>
        </w:tc>
        <w:tc>
          <w:tcPr>
            <w:tcW w:w="5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17,880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71,520</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71,520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71,520</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71,520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358,533</w:t>
            </w:r>
          </w:p>
        </w:tc>
        <w:tc>
          <w:tcPr>
            <w:tcW w:w="100" w:type="dxa"/>
            <w:vAlign w:val="bottom"/>
          </w:tcPr>
          <w:p>
            <w:pPr>
              <w:spacing w:after="0"/>
              <w:rPr>
                <w:sz w:val="18"/>
                <w:szCs w:val="18"/>
                <w:color w:val="auto"/>
              </w:rPr>
            </w:pPr>
          </w:p>
        </w:tc>
      </w:tr>
      <w:tr>
        <w:trPr>
          <w:trHeight w:val="24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662,493</w:t>
            </w:r>
          </w:p>
        </w:tc>
      </w:tr>
      <w:tr>
        <w:trPr>
          <w:trHeight w:val="412"/>
        </w:trPr>
        <w:tc>
          <w:tcPr>
            <w:tcW w:w="3920" w:type="dxa"/>
            <w:vAlign w:val="bottom"/>
            <w:tcBorders>
              <w:top w:val="single" w:sz="8" w:color="CCEEFF"/>
            </w:tcBorders>
          </w:tcPr>
          <w:p>
            <w:pPr>
              <w:spacing w:after="0"/>
              <w:rPr>
                <w:sz w:val="24"/>
                <w:szCs w:val="24"/>
                <w:color w:val="auto"/>
              </w:rPr>
            </w:pPr>
          </w:p>
        </w:tc>
        <w:tc>
          <w:tcPr>
            <w:tcW w:w="5760" w:type="dxa"/>
            <w:vAlign w:val="bottom"/>
            <w:tcBorders>
              <w:top w:val="single" w:sz="8" w:color="CCEEFF"/>
            </w:tcBorders>
          </w:tcPr>
          <w:p>
            <w:pPr>
              <w:jc w:val="right"/>
              <w:ind w:right="39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5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Goodwill</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16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The following table shows the carrying amount of goodwill by reporting units: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Reporting Unit</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Beverage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Cannabis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Wellness</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2,640,669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77,470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2,843,399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(1,397,431)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(40,000)</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(4,235)</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(1,541,666)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(10,841)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(1,952)</w:t>
            </w:r>
          </w:p>
        </w:tc>
      </w:tr>
      <w:tr>
        <w:trPr>
          <w:trHeight w:val="20"/>
        </w:trPr>
        <w:tc>
          <w:tcPr>
            <w:tcW w:w="4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1,252,350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26,629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1,299,781</w:t>
            </w: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Reporting Unit</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Beverage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Cannabis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Wellness</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2,640,669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77,470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2,843,399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(827,431)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(842,431)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(7,847)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7,916</w:t>
            </w:r>
          </w:p>
        </w:tc>
      </w:tr>
      <w:tr>
        <w:trPr>
          <w:trHeight w:val="20"/>
        </w:trPr>
        <w:tc>
          <w:tcPr>
            <w:tcW w:w="4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120,802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1,829,061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54,623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2,008,884</w:t>
            </w: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Based upon a combination of factors including a sustained decline in the Company’s market capitalization stemming from the uncertainty resulting from certain changes in U.S. global economic policy, including slower than anticipated progress in global cannabis legalization and overall declines in the craft beer industry sector, the Company concluded that it is more likely than not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fair value of our reporting units were less than their carrying amounts as of February 28,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the Company utilized the income approach, which uses future discounted cash flows, to determine the fair value of each reporting unit. As a result, the Company recorded non-cash impairment charges of $570,000 of cannabis goodwill, $100,000 of beverage goodwill, $25,000 of wellness goodwill and $4,235 of distribution goodwill for the three and nine months ended February 28,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non-cash charge had no impact on the Company’s compliance with debt covenants at February 28, 2025, its cash flows or available liquidity.</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Company's cannabis goodwill assessment, the Company used a discount rate of 12.00%, a terminal growth rate of 5%, and an average revenue growth rate of 34% over 5 years, based on an 88% and 40% average probability of anticipated EU and U.S. cannabis legalization, respectively and/or changes in drug policy in various countries within the next 5 years. A 1% increase in the discount rate would result in an additional $285,000 in impairment, a 1% decrease in the terminal growth rate would result in an additional $210,000 in impairment, a 5% decrease in the average growth rate would result in an additional $170,000 in impairment, a 5% decrease in the probability of EU cannabis legalization would result in an additional $80,000 in impairment and a 5% decrease in the probability of US cannabis legalization would result in an additional $7,000 in impairment. Changes to those probabilities resulting in continued delays in or cessation of legalization of cannabis within the United States and internationally, or adverse regulatory changes to existing legislation, could have an unfavorable impact on the estimated future cash flows, and ultimately, the fair value of the cannabis reporting unit, which may result in a material impairment expense recognized in future reporting periods.</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Company's beverage goodwill assessment, the Company used a discount rate of 9.25%, a terminal growth rate of 2%, and an average revenue growth rate of 12% over 5 years. A 1% increase in the discount rate would result in an additional $70,000 in impairment, a 1% decrease in the terminal growth rate would result in an additional $50,000 in impairment and a 1% decrease in the average growth rate would result in an additional $40,000 in impairment.</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Company's wellness goodwill assessment, the Company used a discount rate of 10.50%, a terminal growth rate of 2%, and an average revenue growth rate of 7% over 5 years. A 1% increase in the discount rate would result in an additional $5,000 in impairment, a 1% decrease in the terminal growth rate would result in an additional $3,000 in impairment and a 1% decrease in the average growth rate would result in an additional $2,000 in impairment.</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Company's distribution goodwill assessment, the Company recorded $4,235 of impairments which brought the remaining distribution goodwill balance to $nil.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 w:name="page15"/>
    <w:bookmarkEnd w:id="1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Business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Craft Beverage Business Portfolio</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September 29, 2023, Tilray acquired a portfolio of beverage brands, assets and businesses comprising eight craft beer and beverage brands from Anheuser-Busch Companies, LLC, (“AB”) including breweries and brewpubs associated with them (the “Craft Acquisition”). The acquired businesses/brands include Shock Top, Breckenridge Brewery, Blue Point Brewing Company, 10 Barrel Brewing Company, Redhook Brewery, Widmer Brothers Brewing, Square Mile Cider Company, and HiBall Energy. The Company paid a total purchase price of $83,658 in cash, net of a working capital</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adjustment at closing of $1,342.</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table below summarizes the fair value of the assets acquired and liabilities assumed at the acquisition date:</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6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20,993</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82,913</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42,497</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r>
      <w:tr>
        <w:trPr>
          <w:trHeight w:val="209"/>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154,838</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18,006</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Long - term liabilities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44,465</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00" w:type="dxa"/>
            <w:vAlign w:val="bottom"/>
          </w:tcPr>
          <w:p>
            <w:pPr>
              <w:spacing w:after="0"/>
              <w:rPr>
                <w:sz w:val="18"/>
                <w:szCs w:val="18"/>
                <w:color w:val="auto"/>
              </w:rPr>
            </w:pPr>
          </w:p>
        </w:tc>
      </w:tr>
      <w:tr>
        <w:trPr>
          <w:trHeight w:val="210"/>
        </w:trPr>
        <w:tc>
          <w:tcPr>
            <w:tcW w:w="9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100" w:type="dxa"/>
            <w:vAlign w:val="bottom"/>
          </w:tcPr>
          <w:p>
            <w:pPr>
              <w:spacing w:after="0"/>
              <w:rPr>
                <w:sz w:val="18"/>
                <w:szCs w:val="18"/>
                <w:color w:val="auto"/>
              </w:rPr>
            </w:pPr>
          </w:p>
        </w:tc>
      </w:tr>
      <w:tr>
        <w:trPr>
          <w:trHeight w:val="20"/>
        </w:trPr>
        <w:tc>
          <w:tcPr>
            <w:tcW w:w="9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event that the Craft Acquisition had occurred on June 1, 2023, the Company would have had, on an unaudited proforma basis, additional net revenue of approximately $nil and $55,000 for the three and nine months ended February 29, 2024, respectively, and its consolidated net loss and comprehensive net loss would have increased by approximately $nil and $5,000 for the three and nine months ended February 29, 2024, respectively. This unaudited pro forma financial information does not reflect the realization of any expected ongoing synergies relating to the integration of the Craft Acquisition.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Craft Beverage Business Portfolio II</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Effective September 1, 2024, the Company acquired four craft beer brands and breweries from Molson Coors Beverage Company (“Molson”) including Atwater Brewery, Hop Valley Brewing Company, Terrapin Beer Co., and Revolver Brewing (the “Craft Acquisition II”). The purpose of the acquisition was to continue broadening Tilray's beverage brand strategy. In consideration for the acquisition, the Company paid a total purchase price of $23,079 in cash, which is subject to certain customary post-closing working capital adjustments.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assessing the fair value of the net assets acquired and, as a result, the fair value may be subject to adjustments pending completion of final valuations and post-closing adjustments. The table below summarizes the preliminary estimated fair value of the assets acquired and the liabilities assumed for the Craft Acquisition II at the effective acquisition date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23,079</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4,869</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1,993</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17,366</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18"/>
                <w:szCs w:val="18"/>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35,510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8,678</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7"/>
        </w:trPr>
        <w:tc>
          <w:tcPr>
            <w:tcW w:w="6420" w:type="dxa"/>
            <w:vAlign w:val="bottom"/>
            <w:shd w:val="clear" w:color="auto" w:fill="CCEEFF"/>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ectPr>
          <w:pgSz w:w="11900" w:h="16900" w:orient="portrait"/>
          <w:cols w:equalWidth="0" w:num="1">
            <w:col w:w="11240"/>
          </w:cols>
          <w:pgMar w:left="320" w:top="846" w:right="3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8"/>
                <w:szCs w:val="18"/>
                <w:color w:val="auto"/>
              </w:rPr>
            </w:pPr>
          </w:p>
        </w:tc>
      </w:tr>
      <w:tr>
        <w:trPr>
          <w:trHeight w:val="209"/>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event that the Craft Acquisition II had occurred on June 1, 2023, the Company would have had, on an unaudited proforma basis, additional net revenue of approximately $nil and $13,700 for the three and nine months ended February 28, 2025 and approximately $11,000 and $42,000 for the three and nine months ended February 29, 2024, respectively, and its consolidated net loss and comprehensive net loss would have increased by approximately $nil and $4,000 for the three and nine months ended February 28, 2025 and approximately $6,600 and $16,200 for the three and nine months ended February 29, 2024, respectively. This unaudited pro forma financial information does not reflect the realization of any expected ongoing synergies relating to the integration of the Craft Acquisition II.</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Convertible notes receivable</w:t>
            </w:r>
          </w:p>
        </w:tc>
        <w:tc>
          <w:tcPr>
            <w:tcW w:w="2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Convertible notes receivable is comprised of the following:</w:t>
            </w:r>
          </w:p>
        </w:tc>
        <w:tc>
          <w:tcPr>
            <w:tcW w:w="2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5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MedMen Convertible Note</w:t>
            </w:r>
          </w:p>
        </w:tc>
        <w:tc>
          <w:tcPr>
            <w:tcW w:w="2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28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notes receivable, non current portion</w:t>
            </w:r>
          </w:p>
        </w:tc>
        <w:tc>
          <w:tcPr>
            <w:tcW w:w="412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r>
      <w:tr>
        <w:trPr>
          <w:trHeight w:val="413"/>
        </w:trPr>
        <w:tc>
          <w:tcPr>
            <w:tcW w:w="5140" w:type="dxa"/>
            <w:vAlign w:val="bottom"/>
            <w:tcBorders>
              <w:top w:val="single" w:sz="8" w:color="CCEEFF"/>
            </w:tcBorders>
          </w:tcPr>
          <w:p>
            <w:pPr>
              <w:spacing w:after="0"/>
              <w:rPr>
                <w:sz w:val="24"/>
                <w:szCs w:val="24"/>
                <w:color w:val="auto"/>
              </w:rPr>
            </w:pPr>
          </w:p>
        </w:tc>
        <w:tc>
          <w:tcPr>
            <w:tcW w:w="286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514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MedMen Convertible Note</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On August 31, 2021, the Company issued 9,817,061 shares valued at $117,804 to acquire a 68% interest in Superhero Acquisition L.P. (“SH Acquisition”), which purchased a senior secured convertible note issued by MedMen (the “MedMen Convertible Note”), together with certain associated warrants to acquire Class B subordinate voting shares of MedMen, in the principal amount of $165,799. The MedMen Convertible Note bears interest at the Secured Overnight Financing Rate (“SOFR”) plus 6%, with a SOFR floor of 2.5% with any accrued interest being added to the outstanding principal amount. The outstanding principal amount, together with accrued interest is to be paid on August 17, 2028, the maturity date of the MedMen Convertible Note. SH Acquisition was also granted “top-up” rights enabling it (and its limited partners) to maintain its percentage ownership (on an “as-converted” basis) in the event that MedMen issues equity securities. SH Acquisition’s ability to convert the MedMen Convertible Note and exercise the Warrants is dependent upon U.S. federal legalization of cannabis or Tilray’s waiver of such requirement as well as any additional regulatory approvals.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February 28, 2025, the company recognized an other-than-temporary change in fair value, which resulted in a non-cash expense of $20,000 compared to $42,681 for the three and nine months ended February 29, 2024. The MedMen Convertible Note was valued based upon the fair value of the collateral assets net of disposal costs and has been reduced to reflect recent developments in restructuring efforts.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previously disclosed, MedMen and certain of its subsidiaries commenced insolvency actions in April 2024. On January 16, 2025, MedMen exited receivership and substantially all of its remaining assets were transferred to a new entity owned by MedMen’s secured creditors, including SH Acquisition. In connection with the foregoing, the Company disposed of its MedMen Convertible Note in exchange for an option to acquire a 68% membership interest in SH Acquisition for $1.00 upon U.S. federal cannabis legalization. See Note 9 (Long-term investments). As a result, the Company no longer controls SH Acquisition and thus no longer consolidates this entity for accounting purposes. See Note 17 (Non-controlling interests).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did not derive any revenue or cash from MedMen's operations, and fully complies with all limitations imposed by applicable U.S. law and regulations in connection with its ownership of the MedMen Convertible Note and/or its option to acquire SH Acquisition. In addition, since the fiscal year ended May 31, 2024, the Company has not recognized any interest income on the MedMen Convertible Note, nor did the Company recognize any interest income for the three and nine months ended February 28, 2025, which would have increased its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Long term investments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 term investments consisted of the following:</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2,359</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under measurement alternative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r>
      <w:tr>
        <w:trPr>
          <w:trHeight w:val="25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February 28, 2025, included within equity investment under measurement alternative is an option to acquire a 68% membership interest in SH Acquisition for $1.00 upon U.S. federal cannabis legalization valued at $8,160. See Note 25 (Fair value measurements).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10. Bank indebtedness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Aphria Inc., a subsidiary of the Company, has an operating line of credit in the amount of C$1,000, which bears interest at the lender’s prime rate plus 75 basis points. As of February 28, 2025, the Company has not drawn on the line of credit. The operating line of credit is secured by a security interest on certain real property located at 265 Talbot St. West, Leamington, Ontario.</w:t>
      </w:r>
    </w:p>
    <w:p>
      <w:pPr>
        <w:spacing w:after="0" w:line="176" w:lineRule="exact"/>
        <w:rPr>
          <w:sz w:val="20"/>
          <w:szCs w:val="20"/>
          <w:color w:val="auto"/>
        </w:rPr>
      </w:pPr>
    </w:p>
    <w:p>
      <w:pPr>
        <w:jc w:val="both"/>
        <w:ind w:firstLine="494"/>
        <w:spacing w:after="0" w:line="258" w:lineRule="auto"/>
        <w:tabs>
          <w:tab w:leader="none" w:pos="7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 GmbH, a subsidiary of the Company, has two operating lines of credit in the amounts of €7,000 and €500. These lines bear interest at Euro Short-Term Rate (“ESTR”) plus 2.50% and Euro Interbank Offered Rate (“EURIBOR”) plus 4.00%, respectively. As of February 28, 2025, a total of €7,442 ($7,740) was drawn down from the total available credit of €7,500. The operating line of credit for €7,000 is secured by an interest in the inventory of CC Pharma GmbH as well as the Densborn, Germany production facility and underlying real property. The operating line of credit for €500 is unsecured.</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American Beverage Crafts Group Inc. (“ABC Group”), a subsidiary of the Company, has a revolving credit facility of $30,000, which bears interest at SOFR plus an applicable margin. As of February 28, 2025, the Company had drawn down $3,000 on the revolving line of credit. The revolving credit facility is secured by ABC Group's assets and includes a corporate guarantee by a subsidiary of the Company.</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Accounts payable and accrued liabilities</w:t>
            </w: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w:t>
            </w:r>
          </w:p>
        </w:tc>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98,914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105,392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92,424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accruals</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employment related taxes</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2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216,567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241,957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9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Long-term debt</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long-term debt instruments: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Term loan - C$53,000 - Canadian prime plus an applicable margin, 3-year term, with a 10-year amortization,</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repayable in equal quarterly payments due in February 2028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36,570</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39,420</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C$181 including interest, due in July 2033</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10,212</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C$196 including interest, due in July 2033</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12,422</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C$1,250 - Canadian prime plus 1.50%, 5-year term, with a 10-year amortization, repayable in</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equal monthly installments of C$12 including interest, due in August 2026</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C$3,750 - Canadian prime plus 1.50%, 5-year term, with a 20-year amortization,</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repayable in equal monthly installments of C$23 including interest, due in August 2026</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2.00%,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quarterly installments of €94 plus interest, due in</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April 2025</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4.59%,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monthly installments of €52 plus interest, due in</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2028</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$22,635 - EURIBOR rate plus 1.5%, 10-year term, repayable in monthly installments of</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$57 to $69, due in October 2030</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20,066</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$90,000 - SOFR plus an applicable margin, 5-year term, repayable in quarterly installments of</w:t>
            </w:r>
          </w:p>
        </w:tc>
        <w:tc>
          <w:tcPr>
            <w:tcW w:w="16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86,626</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$875 to $2,250 due in June 2028</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of long-term debt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174,666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financing fees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162,305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173,858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principal portion included in current liabilities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(15,506)</w:t>
            </w: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portion of 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149,401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entered into a secured credit agreement on November 28, 2022, for a credit facility through its 51% owned subsidiary Aphria Diamond Inc. (“Aphria Diamond”). The principal amount of loans outstanding is secured by the property at 620 Country Road 14, Leamington, Ontario, owned by Aphria Diamond and a guarantee from Aphria Inc. During the period ended February 28, 2025, the Company refinanced this debt by entering into a new Credit Agreement. The Credit Agreement provides for a term loan equal to CAD $53,000 with a maturity date of February 21, 2028. The Company used CAD $48,171 of the proceeds from the Credit Agreement to repay in full all outstanding obligations under the prior credit facility.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9" w:name="page20"/>
    <w:bookmarkEnd w:id="1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Convertible debentures payable</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the convertible debentures payable:</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 Convertible Notes ("TLRY 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104,071</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129,583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5.25% Convertible Notes ("APHA 24")</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r>
      <w:tr>
        <w:trPr>
          <w:trHeight w:val="209"/>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r>
      <w:tr>
        <w:trPr>
          <w:trHeight w:val="2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debentures payable, non current portion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104,071</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129,583</w:t>
            </w:r>
          </w:p>
        </w:tc>
      </w:tr>
      <w:tr>
        <w:trPr>
          <w:trHeight w:val="413"/>
        </w:trPr>
        <w:tc>
          <w:tcPr>
            <w:tcW w:w="8020" w:type="dxa"/>
            <w:vAlign w:val="bottom"/>
            <w:tcBorders>
              <w:top w:val="single" w:sz="8" w:color="CCEEFF"/>
            </w:tcBorders>
          </w:tcPr>
          <w:p>
            <w:pPr>
              <w:ind w:left="460"/>
              <w:spacing w:after="0"/>
              <w:rPr>
                <w:sz w:val="20"/>
                <w:szCs w:val="20"/>
                <w:color w:val="auto"/>
              </w:rPr>
            </w:pPr>
            <w:r>
              <w:rPr>
                <w:rFonts w:ascii="Times New Roman" w:cs="Times New Roman" w:eastAsia="Times New Roman" w:hAnsi="Times New Roman"/>
                <w:sz w:val="18"/>
                <w:szCs w:val="18"/>
                <w:i w:val="1"/>
                <w:iCs w:val="1"/>
                <w:color w:val="auto"/>
              </w:rPr>
              <w:t>TLRY 27 Notes</w:t>
            </w: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 Contractual debenture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Debt settlement</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(42,917)</w:t>
            </w: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129,583</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TLRY 27 convertible debentures were issued on May 30, 2023 and on June 9, 2023 by way of overallotment, in the principal amount of $172,500 (the “TLRY 27 Notes”). The TLRY 27 Notes bear interest at a rate of 5.20% per annum, payable semi-annually in arrears on June 15 and December 15 of each year, and mature on June 15, 2027, unless earlier converted. The TLRY 27 Notes are Tilray’s general unsecured obligations and rank senior in right of payment to all of Tilray’s indebtedness that is expressly subordinated in right of payment to the notes; equal in right of payment with any of Tilray’s unsecured indebtedness that is not so subordinated,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 Noteholders have the right to convert their TLRY 27 Notes into shares of Tilray’s Common Stock at their option, at any time, until the close of business on the second scheduled trading day immediately before June 15, 2027. The initial conversion rate is 376.6478 shares per $1,000 principal amount of TLRY 27 Notes, which represents a conversion price of approximately $2.66 per share. The conversion rate and conversion price will be subject to adjustment upon the occurrence of certain events.</w:t>
      </w:r>
    </w:p>
    <w:p>
      <w:pPr>
        <w:spacing w:after="0" w:line="19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TLRY 27 Notes will be redeemable, in whole and not in part, at Tilray’s option at any time on or after June 20, 2025 at a cash redemption price equal to the principal amount of the notes to be redeemed, plus accrued and unpaid interest, if any, to, but excluding, the redemption date, but only if the last reported sale price of Tilray’s Common Stock exceeds 130% of the conversion price for a specified period of time. If certain corporate events that constitute a fundamental change occur, then, subject to a limited exception, noteholders may require Tilray to repurchase their TLRY 27 Notes for cash. The repurchase price will be equal to the principal amount of the notes to be repurchased, plus accrued and unpaid interest, if any, to, but excluding, the applicable repurchase date. In connection with the Company’s offering of the TLRY 27 Notes, the Company entered into a share lending agreement with an affiliate of Jefferies LLC (the “Share Borrower”), pursuant to which it lent to the Share Borrower 38,500,000 shares of the Company’s Common Stock (the “Borrowed Shares”). The Borrowed Shares were newly-issued shares, will be held as treasury shares until the expiration or early termination of the share lending agreement and may be used by purchasers of the TLRY 27 Notes to sell up to 38,500,000 shares of the Company’s Common Stock. The fair value of the share lending agreement has been recorded as part of the unamortized discount on the debenture. The Company expects that the selling stockholders will use their position created by such sales to establish their initial hedge with respect to their investments in the TLRY 27 Notes. The Company did not receive any proceeds from the sale of the Borrowed Shares.</w:t>
      </w:r>
    </w:p>
    <w:p>
      <w:pPr>
        <w:spacing w:after="0" w:line="188"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On September 12, 2024 and November 4,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exchanged $7,500 and $9,000 of its TLRY 27 Notes for cancellation, respectively, by issuing 10,034,635 shares of Common Stock and paying $290 in cash to settle both principal and accrued interest. Upon exchanging the TLRY 27 Notes, a portion of the settlement consideration was allocated to the equity component of the instrument and was recognized as a $4,931 reduction of additional paid-in capital in the Consolidated Statements of Stockholders’ Equity. Additionally, this repurchase resulted in a gain of $679 which was recorded in other non-operating (losses) gains, net as shown in Note 24 (Non-operating income (expense)). Following consummation of the exchange, the number of outstanding Borrowed Shares of Common Stock was reduced by 3,682,609 shares which were then returned as Treasury Stock.</w:t>
      </w:r>
    </w:p>
    <w:p>
      <w:pPr>
        <w:spacing w:after="0" w:line="1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three months ended February 28, 2025, the Company exchanged an aggregate $26,600 of its TLRY 27 Notes for cancellation, by issuing 27,136,770 shares of Common Stock and paying $212 in cash to settle both principal and accrued interest. Upon exchanging the TLRY 27 Notes, a portion of the settlement consideration was allocated to the equity component of the instrument and was recognized as a $7,442 reduction of additional paid-in capital in the Consolidated Statements of Stockholders’ Equity. Additionally, this repurchase resulted in a gain of $2,432 which was recorded in other non-operating (losses) gains, net as shown in Note 24 (Non-operating income (expense)). Following consummation of the exchange, the number of outstanding Borrowed Shares of Common Stock was reduced by 5,936,812 shares which were then returned as Treasury Stock. As of February 28, 2025 and May 31, 2024, a total of 28,880,580 and 38,500,000 shares remained outstanding under the share lending arrangement, respectively.</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February 28, 2025, the Company recognized interest expense of $1,957 and $6,332 and accretion of amortized discount interest of $2,766 and $8,751, respectively. During the three and nine months ended February 29, 2024, the Company recognized interest expense of $2,243 and $6,728 and accretion of amortized discount interest of $2,896 and $8,520, respectively.</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at February 28, 2025, there was $129,400 principal outstanding compared to $172,500 principal outstanding as at May 31, 2024 under the TLRY 27 Notes.</w:t>
      </w:r>
    </w:p>
    <w:p>
      <w:pPr>
        <w:spacing w:after="0" w:line="3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APHA 24 Notes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94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97"/>
        </w:trPr>
        <w:tc>
          <w:tcPr>
            <w:tcW w:w="8020" w:type="dxa"/>
            <w:vAlign w:val="bottom"/>
            <w:shd w:val="clear" w:color="auto" w:fill="CCEEFF"/>
          </w:tcPr>
          <w:p>
            <w:pPr>
              <w:spacing w:after="0"/>
              <w:rPr>
                <w:sz w:val="8"/>
                <w:szCs w:val="8"/>
                <w:color w:val="auto"/>
              </w:rPr>
            </w:pPr>
          </w:p>
        </w:tc>
        <w:tc>
          <w:tcPr>
            <w:tcW w:w="146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6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bl>
    <w:p>
      <w:pPr>
        <w:sectPr>
          <w:pgSz w:w="11900" w:h="16900" w:orient="portrait"/>
          <w:cols w:equalWidth="0" w:num="1">
            <w:col w:w="11240"/>
          </w:cols>
          <w:pgMar w:left="320" w:top="846" w:right="3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5.25% Contractual debenture</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Debt settlement</w:t>
            </w:r>
          </w:p>
        </w:tc>
        <w:tc>
          <w:tcPr>
            <w:tcW w:w="68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(349,670)</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6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8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APHA 24 convertible debentures, were entered into in April 2019, in the principal amount of $350,000, bore interest at a rate of 5.25% per annum, and were payable semi-annually in arrears on June 1 and December 1 of each year, and matured on June 1, 2024 (the "APHA 24 Notes"). On June 1, 2024, the Company repaid the remaining principal of the APHA 24 Notes in cash upon maturity.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14. Warrant liability</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February 28, 2025 and May 31, 2024, there were 6,209,000 warrants outstanding, with an original exercise price of $5.95 per warrant, expiring September 17, 2025. Each warrant is exercisable for one share of Common Stock of the Company.</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warrants contain anti-dilution price protection features, which adjust the exercise price of the warrants if the Company subsequently issues Common Stock at a price lower than the exercise price of the warrants. In the event additional warrants or convertible debt are issued with a lower and/or variable exercise price, the exercise price of the warrants will be adjusted accordingly. During the nine months ended February 28, 2025, the Company issued shares of its Common Stock which triggered the anti-dilution price protection feature and, accordingly, lowered the exercise price of each warrant to $0.90. These warrants are classified as liabilities as they are to be settled in registered shares, and the registration statement is required to be active, unless such shares may be subject to an applicable exemption from registration requirements. The holders, at their sole discretion, may elect to affect a cashless exercise, and be issued exempt securities in accordance with Section 3(a)(9) of the Securities Act of 1933, as amended. In the event the Company does not maintain an effective registration statement, the Company may be required to pay a daily cash penalty equal to 1% of the number of shares of Common Stock due to be issued multiplied by any trading price of the Common Stock between the exercise date and the share delivery date, as selected by the holder. Alternatively, the Company may deliver registered Common Stock purchased by the Company in the open market. The Company may also be required to pay cash if it does not have sufficient authorized shares to deliver to the holders upon exercise.</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Using the Black Scholes pricing model (Level 3), the Company has estimated the fair value of the warrants outstanding as of February 28, 2025 to be $0.06 per warrant. In applying the Black Scholes pricing model (Level 3), the Company utilized the following assumptions: a risk-free interest rate of 2.55%, an expected volatility of 50%, an expected term of 0.55 years, strike price of $0.90 and fair value of Common Stock of $0.74.</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expected volatility assumption utilized in the Black Scholes pricing model (Level 3) was calculated using both the historical and implied volatility of the Company’s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Issued and outstanding</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Pursuant to its Fifth Amended and Restated Certificate of Incorporation, the total number of shares that the Company is authorized to issue is 1,426,000,000 shares, of which 1,416,000,000 shares are Common Stock (the “Common Stock”), and 10,000,000 shares of which are Preferred Stock (the “Preferred Stock”). As of February 28, 2025, the Company had issued and outstanding 983,372,617 shares of Common Stock, 9,619,421 shares of Treasury Stock (the “Treasury Stock”) and no Preferred Stock. Historically, the Company has issued shares of its Common Stock in consideration for acquisitions and other strategic transactions, settlement of convertible notes, settlement of litigation claims, in connection with public offerings and as payment of dividends to non-controlling interests for profit distributions.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nine months ended February 28, 2025, the Company issued the following shares of Common Stock:</w:t>
      </w:r>
    </w:p>
    <w:p>
      <w:pPr>
        <w:spacing w:after="0" w:line="225" w:lineRule="exact"/>
        <w:rPr>
          <w:sz w:val="20"/>
          <w:szCs w:val="20"/>
          <w:color w:val="auto"/>
        </w:rPr>
      </w:pPr>
    </w:p>
    <w:p>
      <w:pPr>
        <w:ind w:left="980" w:hanging="486"/>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93,610,801 shares of Common Stock pursuant to its At-the-Market (“ATM”) program, which generated gross proceeds of $143,466 and net proceeds of $139,738, after deducting $3,728 in commissions and other fees associated with these issuances.</w:t>
      </w:r>
    </w:p>
    <w:p>
      <w:pPr>
        <w:jc w:val="both"/>
        <w:ind w:left="980" w:hanging="486"/>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37,171,405 shares of Common Stock in the amount of $43,528 to exchange the aggregate principal of $43,100 of its TLRY 27 Notes for cancellation. Upon exchanging the TLRY 27 Notes, a portion of the settlement consideration was allocated to the equity component of the instrument and was recognized as a $12,373 reduction of additional paid-in capital. Following consummation of the exchange, the number of outstanding Borrowed Shares of Common Stock was reduced by approximately 9,619,421 shares which were then returned as Treasury Stock, see Note 13 (Convertible debentures payable).</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13,217,588 shares of Common Stock to settle dividends payable to the non-controlling shareholders of Aphria Diamond in the amount of $23,824.</w:t>
      </w: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7,447,450 shares of Common Stock in connection with the exercise of previously awarded stock-based compensation awards.</w:t>
      </w:r>
    </w:p>
    <w:p>
      <w:pPr>
        <w:spacing w:after="0" w:line="20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nine months ended February 28, 2025, the Company granted 13,505,127 time-based Restricted Stock Units (“RSUs”), and no performance-based RSUs. During the nine months ended February 29, 2024, the Company granted 11,665,159 time-based RSUs and 7,566,146 performance-based RSUs. In connection with the 7,566,146 performance-based RSUs that were issued, the performance conditions associated with such awards will not be determined and adopted until a future date and, therefore, the grant date has not been met for accounting purposes and no amounts have been recorded within the Consolidated Statement of Loss. The Company's total stock-based compensation expense from RSUs incurred for the three and nine months ended February 28, 2025 was $4,035 and $18,189, respectively, compared to $8,059 and $24,517 for the three and nine months ended February 29, 2024,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16. Accumulated other comprehensive income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 (loss) is comprised of foreign currency translation gain (loss) as follows: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9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r>
      <w:tr>
        <w:trPr>
          <w:trHeight w:val="209"/>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2023</w:t>
            </w: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(46,610)</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Pr>
          <w:p>
            <w:pPr>
              <w:spacing w:after="0"/>
              <w:rPr>
                <w:sz w:val="18"/>
                <w:szCs w:val="18"/>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2023</w:t>
            </w: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(43,561)</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18"/>
                <w:szCs w:val="18"/>
                <w:color w:val="auto"/>
              </w:rPr>
            </w:pPr>
          </w:p>
        </w:tc>
      </w:tr>
      <w:tr>
        <w:trPr>
          <w:trHeight w:val="209"/>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November 30, 2023</w:t>
            </w: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(38,367)</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(4,820)</w:t>
            </w:r>
          </w:p>
        </w:tc>
      </w:tr>
      <w:tr>
        <w:trPr>
          <w:trHeight w:val="20"/>
        </w:trPr>
        <w:tc>
          <w:tcPr>
            <w:tcW w:w="9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February 29, 2024</w:t>
            </w: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(43,187)</w:t>
            </w:r>
          </w:p>
        </w:tc>
      </w:tr>
      <w:tr>
        <w:trPr>
          <w:trHeight w:val="196"/>
        </w:trPr>
        <w:tc>
          <w:tcPr>
            <w:tcW w:w="92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(43,499)</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18"/>
                <w:szCs w:val="18"/>
                <w:color w:val="auto"/>
              </w:rPr>
            </w:pPr>
          </w:p>
        </w:tc>
      </w:tr>
      <w:tr>
        <w:trPr>
          <w:trHeight w:val="209"/>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2024</w:t>
            </w: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(39,877)</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(8,080)</w:t>
            </w:r>
          </w:p>
        </w:tc>
      </w:tr>
      <w:tr>
        <w:trPr>
          <w:trHeight w:val="20"/>
        </w:trPr>
        <w:tc>
          <w:tcPr>
            <w:tcW w:w="9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November 30, 2024</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(47,957)</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(4,978)</w:t>
            </w:r>
          </w:p>
        </w:tc>
      </w:tr>
      <w:tr>
        <w:trPr>
          <w:trHeight w:val="20"/>
        </w:trPr>
        <w:tc>
          <w:tcPr>
            <w:tcW w:w="9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February 28, 2025</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(52,935)</w:t>
            </w:r>
          </w:p>
        </w:tc>
      </w:tr>
      <w:tr>
        <w:trPr>
          <w:trHeight w:val="20"/>
        </w:trPr>
        <w:tc>
          <w:tcPr>
            <w:tcW w:w="9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Non-controlling interests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are majority-owned subsidiaries of the Company and the percentage of ownership interest maintained by the Company is set forth in the parenthetical: Aphria Diamond (51%), and Colcanna S.A.S. (90%).</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January 7, 2025, the Company dissolved its 75% ownership interest in CC Pharma Nordic ApS., and as a result, the Company no longer controls CC Pharma Nordic ApS. and thus no longer consolidates this entity.</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January 16, 2025, MedMen exited receivership and substantially all of its remaining assets were transferred to a new entity owned by MedMen’s secured creditors, including SH Acquisition. In connection with this restructuring, the Company disposed of its MedMen Convertible Note in exchange for on option to acquire a 68% membership interest in SH Acquisition for $1.00 upon U.S. federal cannabis legalization. See Note 8 (Convertible notes receivable). As a result, the Company no longer controls SH Acquisition and thus no longer consolidates this entity.</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balance sheet information before intercompany eliminations relating to the above referenced majority-owned subsidiaries of the Company in which there was a non-controlling interest as of February 28,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Aphria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Diamond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67,340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67,356</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110,634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113,984</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(117,229)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(123,803)</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(32,806)</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29,391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24,731</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balance sheet information before intercompany eliminations relating to the above referenced majority-owned subsidiaries of the Company in which there was a non-controlling interest as of May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Aphria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Diamond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95,720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95,735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124,675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160,312</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(130,945)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(137,867)</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(25,934)</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64,968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(4,725)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92,246</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3" w:name="page24"/>
    <w:bookmarkEnd w:id="23"/>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income statement information before intercompany eliminations relating to the above referenced majority-owned subsidiaries of the Company in which there was a non-controlling interest for the nine months ended February 28,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CC Pharma</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53,608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53,608</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39,557</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59,625</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14,051</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(6,017)</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(1,568)</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(1,438)</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(7,455)</w:t>
            </w:r>
          </w:p>
        </w:tc>
      </w:tr>
      <w:tr>
        <w:trPr>
          <w:trHeight w:val="20"/>
        </w:trPr>
        <w:tc>
          <w:tcPr>
            <w:tcW w:w="4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6,117</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4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income statement information before intercompany eliminations relating to the above referenced majority-owned subsidiaries of the Company in which there was a non-controlling interest for the nine months ended February 29,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CC Pharma</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r>
      <w:tr>
        <w:trPr>
          <w:trHeight w:val="238"/>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76,541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76,541</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42,681</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(1,078)</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47,541</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88,550</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(42,681)</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1,078</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29,000</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(12,009)</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29,646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(11,706)</w:t>
            </w:r>
          </w:p>
        </w:tc>
      </w:tr>
      <w:tr>
        <w:trPr>
          <w:trHeight w:val="20"/>
        </w:trPr>
        <w:tc>
          <w:tcPr>
            <w:tcW w:w="4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(13,658)</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14,527</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income attributable to NCI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5,336</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5,336</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6,498</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determination of the Company’s overall effective tax rate requires significant judgment, the use of estimates, and the interpretation and application of complex tax laws. The effective tax rate reflects the income earned and taxed in various United States federal, state, and foreign jurisdictions. Tax law changes, increases, and decreases in temporary and permanent differences between book and tax items, valuation allowances against the deferred tax assets, stock compensation, and the Company’s change in income in each jurisdiction all affect the overall effective tax rate. It is the Company’s practice to recognize interest and penalties related to uncertain tax positions in income tax expense.</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reported income tax expense of $1,203 and $4,125 for the three and nine months ended February 28, 2025, and income tax (recovery) expense of $(2,871) and $1,013 for the three and nine months ended February 29, 2024. The income tax benefit in the current period varies from the US statutory income tax rate and prior period primarily due to the geographical mix of earnings and losses with no tax benefit resulting from valuation allowances in certain jurisdictions.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19. Commitments and contingencies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Purchase and other commitments</w:t>
      </w:r>
    </w:p>
    <w:p>
      <w:pPr>
        <w:spacing w:after="0" w:line="22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 has financial commitments on long-term debt, refer to Note 12 (Long-term debt), convertible notes, refer to Note 13 (Convertible debentures payable), material purchase commitments inclusive of multi-period sponsorship rights and construction commitments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20"/>
                <w:szCs w:val="20"/>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repayment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163,220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12,904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16,275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30,595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129,400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129,400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purchase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29,830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commitments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364,975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43,569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51,927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153,686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30,595</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legal proceedings since our Annual Report on Form 10-K for the fiscal year ended May 31, 2024 or subsequent Quarterly Reports on Form 10-Q, except with respect to the legal proceedings disclosed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Aphria Securities Class Action (Canada)</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2019, a putative securities class action was commenced in the Ontario Superior Court of Justice against Tilray’s wholly-owned subsidiary, Aphria, Inc. (“Aphria”), and certain of its former officers and directors (the “Aphria Canadian Class Action”). The Aphria Canadian Class Action was subsequently amended in September 2022 to proceed only against Aphria and two of its former officers and directors as named defendants.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class plaintiff sought damages in the amount of CAD $875,000 pursuant to Ontario securities legislation on behalf of all class members who acquired Aphria’s common shares between January 29, 2018 and December 3, 2018. The Aphria Canadian Class Action stemmed from Aphria’s acquisition of Nuuvera Inc. and LATAM Holdings Inc. in March and September 2018, respectively, alleging that the value of the acquired assets was misrepresented as being significantly higher than their actual worth, and that insiders at Aphria personally benefitted from the acquisitions at the expense of investors. Aphria and the individual defendants denied the allegations made in the Aphria Canadian Class Action and vigorously defended against them. Trial was scheduled to begin in January 2025.</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February 5, 2025, Aphria and the individual defendants successfully reached an agreement with the class plaintiff to settle the Aphria Canadian Class Action. The settlement agreement provides for the complete dismissal of the Aphria Canadian Class Action, with prejudice, in exchange for an aggregate payment from all defendants equal to CAD $30,000, or approximately US $21,000, (the “Settlement Amount”). The settlement agreement also provides for the dismissal, with prejudice, of the four individual Canadian lawsuits pursuing the same allegations of wrongdoing against Aphria and former and current officers and directors. The settlement does not constitute an admission of liability or wrongdoing by Aphria or the other defendants.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Settlement Amount will be primarily funded by the outstanding balance under Aphria’s D&amp;O Insurance Policy and by the individual defendants. Aphria will fund the remaining unpaid portion of the Settlement Amount, currently estimated to equal approximately CAD $8,300 (or approximately US $5,800). The settlement agreement was approved by the Court on March 27,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litigation accruals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described in Note 11 (Accounts payable and accrued liabilities), the total estimated litigation expense accrual included in accrued liabilities as of February 28, 2025 and May 31, 2024 was $14,787 and $24,378, respectively. This estimated accrual is intended to cover various ongoing litigation matters with probable losses that can be reasonably estimated.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20. Net revenue</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 Company reports Net revenue in four reporting segments: beverage, cannabis, distribution, and wellness. Net revenue for the three and nine months ended February 28, 2025 and February 29, 2024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29,</w:t>
            </w: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Beverage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58,009</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184,033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133,237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Beverage excise taxes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(3,559)</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(9,059)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(7,882)</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beverage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55,921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54,688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174,974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125,355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Cannabis revenue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72,982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85,236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241,384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276,676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Cannabis excise taxes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(21,804)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(75,797)</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54,274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63,432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181,175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200,879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61,493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197,175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193,174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14,092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39,652</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185,780</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188,340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596,774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559,060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Cost of goods sold</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reports Cost of goods sold in four reporting segments: beverage, cannabis, distribution, and wellness. Cost of goods sold for the three and nine months ended February 28, 2025 and February 29, 2024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29,</w:t>
            </w: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35,986</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77,615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32,275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42,518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139,507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55,936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51,231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175,281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172,846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9,572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28,091</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133,769</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138,944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423,837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418,059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General and administrative expenses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General and administrative expenses for the three and nine months ended February 28, 2025 and February 29,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16"/>
        </w:trPr>
        <w:tc>
          <w:tcPr>
            <w:tcW w:w="4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29,</w:t>
            </w:r>
          </w:p>
        </w:tc>
      </w:tr>
      <w:tr>
        <w:trPr>
          <w:trHeight w:val="238"/>
        </w:trPr>
        <w:tc>
          <w:tcPr>
            <w:tcW w:w="4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57,067</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7,385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20,423</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24,517</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2,942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9,917</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4,658</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capital assets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3,727</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3,457</w:t>
            </w:r>
          </w:p>
        </w:tc>
      </w:tr>
      <w:tr>
        <w:trPr>
          <w:trHeight w:val="20"/>
        </w:trPr>
        <w:tc>
          <w:tcPr>
            <w:tcW w:w="4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39,246</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129,356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123,769</w:t>
            </w:r>
          </w:p>
        </w:tc>
      </w:tr>
      <w:tr>
        <w:trPr>
          <w:trHeight w:val="412"/>
        </w:trPr>
        <w:tc>
          <w:tcPr>
            <w:tcW w:w="404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23. Restructuring charges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our acquisition strategy and strategic transactions, the Company has incurred restructuring and exit costs associated with the integration efforts of these transactions. In connection with these efforts, the Company recognized $6,133 and $17,249 of restructuring charges for the three and nine months ended February 28, 2025 compared to $5,178 and $8,748 for the prior year period. All restructuring plans are approved at the executive level, and their associated expenses are recognized in the period in which the plan is committed. All amounts incurred as of February 28, 2025 have been paid.</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Within the Cannabis segment, our restructuring costs predominantly related to the HEXO acquisition, which are expected to be completed within 24 months from the original acquisition, which occurred June 2023. In the nine months ended February 28, 2025, we recognized $7,872 of expenses related to employee termination severance and benefits and other costs related to the conversion of the HEXO Quebec cultivation facility from cannabis to produce (which is currently held for sale), the optimization of our Redecan facilities, and $771 of restructuring charges related to the remaining costs of exiting the Truss Beverage Co. (“Truss”) facility following its sale to a third party in the fiscal year ended May 31, 2024. Additionally, the Company recognized $1,133 of cost associated with the winding down of our Avanti facility, the closure of which was announced during the quarter ended November 30, 2024. Lastly, the Company recognized $351 of restructuring charges related to our decision to exit the New Zealand medical cannabis market announced during the quarter ended February 28, 2025.</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Within the Beverage segment, the Company recognized $1,089 of expenses related to employee termination severance and benefits and $2,765 of costs associated with the consolidation of production sites through the integration of the Craft Acquisition and the Craft Acquisition II. Additionally, the Company recognized $800 of restructuring charges related to terminating a legacy storage agreement from the Craft Acquisition. We expect to transition to a new storage facility in the fourth quarter of our fiscal year ending May 31, 2025.</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Within the Distribution segment, the Company recognized $374 of restructuring charges related to the divestiture of its retail pharmacy location in Argentina.</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Lastly, for the nine months ended February 28, 2025, the Company recognized $2,094 of costs associated with the investment held in Superhero Acquisition Corp. as a result of MedMen’s ongoing restructuring and liquidation undertakings.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Non-operating income (expense), net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Non-operating income (expense), net for the three and nine months ended February 28, 2025 and February 29,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29,</w:t>
            </w: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debenture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long-term investments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(5,474)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(losses) gains,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(9,427)</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(24,022)</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(20,820)</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other non-operating (losses) gains, net for the three and nine months ended February 28, 2025, were gains of $2,404 and $2,219, respectively, and were mainly comprised of a $3,111 gain resulting from the exchange transaction of the TLRY 27 Note. Included in other non-operating (losses) gains, net for the three and nine months ended February 29, 2024, are losses of $(8,245) and $(9,427) which is comprised of $2,313 from the downside protection share issuance relating to the HTI note, $2,458 of amounts to settle outstanding notes with non-controlling interest shareholders, and $4,638 for a decrease in value of equity investee, Cannfections.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Company's classification of its financial instruments is described in Note 3 (Significant accounting policies) in the Notes to our Annual Financial Statements.</w:t>
      </w:r>
    </w:p>
    <w:p>
      <w:pPr>
        <w:spacing w:after="0" w:line="162"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carrying values of marketable securities, accounts receivable, bank indebtedness and accounts payable and accrued liabilities approximate their fair values due to their short periods to maturity.</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On February 28, 2025 and May 31, 2024, the Company had long-term debt of $2,621 and $3,568, respectively, and the principal portion of convertible debentures payable of $129,400 and $172,830, respectively, subject to fixed interest rates. The Company’s long-term debt is valued based on discounting the future cash outflows associated with the long-term debt. The discount rate is based on the incremental premium above market rates for the U.S. Department of the Treasury securities of similar duration. In each period thereafter, the incremental premium is held constant while the U.S. Department of the Treasury security is based on the then current market value to derive the discount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839" w:gutter="0" w:footer="0" w:header="0"/>
        </w:sectPr>
      </w:pPr>
    </w:p>
    <w:bookmarkStart w:id="27" w:name="page28"/>
    <w:bookmarkEnd w:id="27"/>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as of February 28, 2025 and May 31, 2024 and indicates the fair value hierarchy of the valuation techniques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199,956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199,956</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48,458</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249,336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(7,197)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243,092</w:t>
            </w:r>
          </w:p>
        </w:tc>
      </w:tr>
      <w:tr>
        <w:trPr>
          <w:trHeight w:val="20"/>
        </w:trPr>
        <w:tc>
          <w:tcPr>
            <w:tcW w:w="5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228,340</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228,340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32,182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5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261,441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18,917</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281,798</w:t>
            </w:r>
          </w:p>
        </w:tc>
      </w:tr>
      <w:tr>
        <w:trPr>
          <w:trHeight w:val="20"/>
        </w:trPr>
        <w:tc>
          <w:tcPr>
            <w:tcW w:w="5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required to be measured on a recurring basis are its convertible notes receivable, equity investments measured at fair value, convertible debentures measured at fair value, acquisition-related contingent consideration, and warrant liability.</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Convertible notes receivable and long-term investments are recorded at fair value. The estimated fair value is determined by assessing the collateral entitlement from the asset and is classified as Level 3. During the nine months ended February 28, 2025, an impairment to convertible notes receivable of $20,000 was recognized, compared to an impairment of $42,681 in the period ended February 29, 2024. Subsequent to which in January 2025, MedMen exited receivership and substantially all of its remaining assets were transferred to a new entity owned by MedMen’s secured creditors, including SH Acquisition. In connection with the foregoing, the Company disposed of its MedMen Convertible Note in exchange for on option to acquire a 68% membership interest in SH Acquisition for $1.00 upon U.S. federal cannabis legalization. See Note 9 (Long-term investments). This option was recorded as a Level 3 equity investment measured at fair value of $8,160 by assessing the discounted cash flows of SH Acquisition.</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Convertible debentures payable are recorded at fair value when elected or required under US GAAP. Specifically, the APHA 24 instrument's estimated fair value was determined using the Black-Scholes option pricing model and was classified as Level 3.</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equity investments recorded at fair value have quoted prices in active markets for identical assets and are classified as Level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classified securities with observable inputs as Level 2 and without a quoted market price as Level 3.</w:t>
      </w:r>
    </w:p>
    <w:p>
      <w:pPr>
        <w:spacing w:after="0" w:line="2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warrants associated with the warrant liability are classified as Level 3 derivatives. Consequently, the estimated fair value of the warrant liability is determined using the Black-Scholes pricing model. Until the warrants are exercised, expire, or other facts and circumstances lead the warrant liability to be reclassified to stockholders’ equity, the warrant liability (which relates to warrants to purchase shares of Common Stock) is marked-to-market each reporting period with the change in fair value recorded as the change in fair value of warrant liability within the consolidated statements of loss and comprehensive loss. Any significant adjustments to the unobservable inputs disclosed in the table below would have a direct impact on the fair value of the warrant liability.</w:t>
      </w:r>
    </w:p>
    <w:p>
      <w:pPr>
        <w:spacing w:after="0" w:line="18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 portion of the consideration to be paid in connection with the Company’s acquisition of Montauk Brewing Company (“Montauk”) is contingent upon the achievement of certain financial measures as of December 2025. If achieved, such contingent consideration is payable in cash. The contingent consideration amount was estimated by applying a probability of achievement of 100% on the $15,000 sales earn-out component and 0% on the remaining criteria, which is not expected to be achieved. The unobservable inputs into the future expected cash outflows result in a fair value measurement classified as Level 3.</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nine months ended February 28, 2025, a decrease in fair value of $nil was recognized compared to a decrease of fair value of $13,493 in the period ended February 29, 2024, inclusive of changes in foreign exchange. The decrease was comprised of a decrease of fair value of $16,218 for the contingent consideration from the Sweetwater Brewing Company acquisition as a result of not achieving the incentive targets and the settlement of $4,181 of contingent consideration liability from the Truss acquisition in cash for $760 (CAD $1,041), which was offset by an increase in fair value of $3,111 for the contingent consideration from the Montauk acquisition as a result of a higher probability of achieving the incentive targets.</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balances of assets and liabilities categorized within Level 3 of the fair value hierarchy measured at fair value on a recurring basis are reconciled, as follows for the period ended February 28,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636"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APHA 24</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receivable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Debt</w:t>
            </w: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Additions/(disposals)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8,160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fair value</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February 28,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balances of assets and liabilities categorized within Level 3 of the fair value hierarchy measured at fair value on a recurring basis are reconciled, as follows for the period ended February 29,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APHA 24</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receivable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Debt</w:t>
            </w: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(120,568)</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Additions/(Repayments)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50,710</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fair value</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16,528</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(13,493)</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(42,681)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February 29,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(83,351)</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unrealized gain (loss) on fair value for the convertible debenture, the warrant liability, contingent consideration, and debt securities classified under available-for-sale method is recognized in the consolidated statements of loss and comprehensive loss using the following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 / financial liability</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20"/>
                <w:szCs w:val="20"/>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Black-Scholes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expected life (in years)</w:t>
            </w:r>
          </w:p>
        </w:tc>
        <w:tc>
          <w:tcPr>
            <w:tcW w:w="1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Discount rate,</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100% and 0%</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70%</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Items measured at fair value on a non-recurring basis</w:t>
      </w:r>
    </w:p>
    <w:p>
      <w:pPr>
        <w:spacing w:after="0" w:line="22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Company's prepaids and other current assets, long lived assets, including property and equipment, goodwill and intangible assets are measured at fair value when there is an indicator of impairment and are recorded at fair value only when an impairment charge is recognized.</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Management reviews its capital management approach on an ongoing basis and believes that this approach, given the relative size of the Company, is reasonable. There have been no changes to the Company’s capital management approach in the period. The Company considers its cash and cash equivalents and marketable securities as capital.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Segment reporting</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Information reported to the Chief Operating Decision Maker (“CODM”) for the purpose of resource allocation and assessment of segment performance focuses on the nature of the operations. The Company operates in four reportable segments: (1) beverage operations, which encompasses the production, marketing and sale of beverage and beverage products, (2) cannabis operations, which encompasses the cultivation, production, distribution, sale, co-manufacturing and advisory services of both medical and adult-use cannabis, (3) distribution operations, which encompasses the purchase and resale/distribution of pharmaceuticals products to wholesale and pharmacy customers, and (4) wellness products, which encompasses hemp foods and hemp-derived consumer products. This structure is in line with how our CODM assesses our performance and allocates resources.</w:t>
      </w:r>
    </w:p>
    <w:p>
      <w:pPr>
        <w:spacing w:after="0" w:line="18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Operating segments have not been aggregated and asset information by segment is not disclosed because such information is not reported to or used by the Company’s CODM for the purposes of assessing segment performance or allocating resources.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Segment gross profit from external customers: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24"/>
                <w:szCs w:val="24"/>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Beverage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beverage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55,921</w:t>
            </w:r>
          </w:p>
        </w:tc>
        <w:tc>
          <w:tcPr>
            <w:tcW w:w="26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174,974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125,355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costs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77,615</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Beverage gross profit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18,852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47,740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Cannabis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63,432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181,175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200,879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111,804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139,507</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Cannabis gross profit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20,914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61,372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Distribution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56,794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197,175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193,174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51,231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175,281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172,846</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gross profit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20,328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Wellness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39,652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28,091</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6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11,561</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Channels of Cannabis revenue were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24"/>
                <w:szCs w:val="24"/>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18,793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165,627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205,350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40,185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excise taxes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(21,804)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(75,797)</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26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181,175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200,879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advisory services revenue associated with the HEXO commercial transaction agreements for the three and nine months ended February 28, 2025. There were $nil and $1,500 in advisory services revenue associated with the HEXO commercial transaction agreements for the three and nine months ended February 29,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color w:val="auto"/>
        </w:rPr>
        <w:t>Geographic 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 of World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jc w:val="right"/>
        <w:ind w:right="2920"/>
        <w:spacing w:after="0"/>
        <w:rPr>
          <w:sz w:val="20"/>
          <w:szCs w:val="20"/>
          <w:color w:val="auto"/>
        </w:rPr>
      </w:pPr>
      <w:r>
        <w:rPr>
          <w:rFonts w:ascii="Times New Roman" w:cs="Times New Roman" w:eastAsia="Times New Roman" w:hAnsi="Times New Roman"/>
          <w:sz w:val="18"/>
          <w:szCs w:val="18"/>
          <w:color w:val="auto"/>
        </w:rPr>
        <w:t>Geographic capital assets: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 of World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58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3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16"/>
        </w:trPr>
        <w:tc>
          <w:tcPr>
            <w:tcW w:w="13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29,</w:t>
            </w:r>
          </w:p>
        </w:tc>
      </w:tr>
      <w:tr>
        <w:trPr>
          <w:trHeight w:val="238"/>
        </w:trPr>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191"/>
        </w:trPr>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64,420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62,384</w:t>
            </w:r>
          </w:p>
        </w:tc>
        <w:tc>
          <w:tcPr>
            <w:tcW w:w="2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w w:val="95"/>
              </w:rPr>
              <w:t>200,053</w:t>
            </w:r>
          </w:p>
        </w:tc>
        <w:tc>
          <w:tcPr>
            <w:tcW w:w="22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147,247</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45,930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55,140</w:t>
            </w:r>
          </w:p>
        </w:tc>
        <w:tc>
          <w:tcPr>
            <w:tcW w:w="14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158,555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178,417</w:t>
            </w:r>
          </w:p>
        </w:tc>
      </w:tr>
      <w:tr>
        <w:trPr>
          <w:trHeight w:val="216"/>
        </w:trPr>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72,386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67,143</w:t>
            </w:r>
          </w:p>
        </w:tc>
        <w:tc>
          <w:tcPr>
            <w:tcW w:w="14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229,312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222,139</w:t>
            </w:r>
          </w:p>
        </w:tc>
      </w:tr>
      <w:tr>
        <w:trPr>
          <w:trHeight w:val="234"/>
        </w:trPr>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3,673</w:t>
            </w:r>
          </w:p>
        </w:tc>
        <w:tc>
          <w:tcPr>
            <w:tcW w:w="140" w:type="dxa"/>
            <w:vAlign w:val="bottom"/>
          </w:tcPr>
          <w:p>
            <w:pPr>
              <w:spacing w:after="0"/>
              <w:rPr>
                <w:sz w:val="20"/>
                <w:szCs w:val="20"/>
                <w:color w:val="auto"/>
              </w:rPr>
            </w:pP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8,854</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11,257</w:t>
            </w:r>
          </w:p>
        </w:tc>
      </w:tr>
      <w:tr>
        <w:trPr>
          <w:trHeight w:val="209"/>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185,780</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188,340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5"/>
              </w:rPr>
              <w:t>596,774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559,060</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02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191"/>
        </w:trPr>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199,539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141,314</w:t>
            </w: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244,091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313,359</w:t>
            </w:r>
          </w:p>
        </w:tc>
      </w:tr>
      <w:tr>
        <w:trPr>
          <w:trHeight w:val="216"/>
        </w:trPr>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90,740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99,921</w:t>
            </w:r>
          </w:p>
        </w:tc>
      </w:tr>
      <w:tr>
        <w:trPr>
          <w:trHeight w:val="234"/>
        </w:trPr>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3,653</w:t>
            </w:r>
          </w:p>
        </w:tc>
      </w:tr>
      <w:tr>
        <w:trPr>
          <w:trHeight w:val="209"/>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537,800</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558,247</w:t>
            </w:r>
          </w:p>
        </w:tc>
        <w:tc>
          <w:tcPr>
            <w:tcW w:w="2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607" w:right="339" w:bottom="1440" w:gutter="0" w:footer="0" w:header="0"/>
        </w:sect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Major customers are defined as customers that are materially significant to the Company’s annual revenues. For the three and nine months ended February 28, 2025 and 2024, there were no major customers representing a material contribution to our quarterly revenues.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27. Subsequent Events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From March 5, 2025 to March 17, 2025, Tilray issued an aggregate of 22,802,671 shares of the Company’s common stock in exchange for $15,000 aggregate principal amount of the TLRY 27 Notes. The remaining principal outstanding as a result of these transactions was $114,400.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i w:val="1"/>
          <w:iCs w:val="1"/>
          <w:color w:val="auto"/>
        </w:rPr>
        <w:t>This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should be read in conjunction with the Unaudited Interim Consolidated Financial Statements and the related Notes thereto for the period ended February 28, 2025 contained in this Quarterly Report on Form 10-Q and the Audited Consolidated Financial Statements and the related Notes thereto contained in our Annual Report on Form 10-K for the fiscal year ended May 31, 2024, as well as in conjunction with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fiscal year ended May 31, 2024 and in the section entitled “Item 1A. Risk Factors” in this Quarterly Report on Form 10-Q. Forward looking statements in this Form 10-Q are qualified by the cautionary statement included in this Form 10-Q under the sub-heading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introduction of this Form 10-Q.</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Tilray Brands, Inc., a Delaware corporation (collectively, along with its subsidiaries, the “Company”, “Tilray”, “we”, “us” and “our”) is a leading global lifestyle consumer products company, which was incorporated on January 24, 2018 and is headquartered in Leamington and New York,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overall strategy is to leverage our brands, infrastructure, expertise and capabilities to drive revenue growth in the industries in which we compete, achieve industry-leading profitability and build sustainable, long-term shareholder value. In order to ensure the long-term sustainable growth of our Company, we continue to focus on developing strong capabilities in data analytics and consumer insights, drive category management leadership and assess opportunities for the introduction of new categories, products and entries into new geographies. In addition, we are relentlessly focused on managing our cost structure and expenses in order to maintain our strong financial position. Finally, our experienced leadership team provides a strong foundation to accelerate our growth. Our management team is complemented by experienced operators, cannabis industry experts, veteran beer and beverage industry leaders and leaders that are well-established in wellness foods, all of whom apply an innovative and consumer-centric approach to our businesses.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Beverage market trends: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Within the beverage category, we expect the following key trends to shape the near-term outlook in this segment:</w:t>
      </w:r>
    </w:p>
    <w:p>
      <w:pPr>
        <w:spacing w:after="0" w:line="223" w:lineRule="exact"/>
        <w:rPr>
          <w:sz w:val="20"/>
          <w:szCs w:val="20"/>
          <w:color w:val="auto"/>
        </w:rPr>
      </w:pPr>
    </w:p>
    <w:p>
      <w:pPr>
        <w:jc w:val="both"/>
        <w:ind w:left="820" w:hanging="272"/>
        <w:spacing w:after="0" w:line="246"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Beverage Distribution</w:t>
      </w:r>
      <w:r>
        <w:rPr>
          <w:rFonts w:ascii="Times New Roman" w:cs="Times New Roman" w:eastAsia="Times New Roman" w:hAnsi="Times New Roman"/>
          <w:sz w:val="18"/>
          <w:szCs w:val="18"/>
          <w:color w:val="auto"/>
        </w:rPr>
        <w:t>. In furtherance of our strategic vision, we remain focused on enhancing our relevance within home markets on 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items, focusing on our core brands in their core markets. Through targeted efforts, we continue to strategically adjust our portfolio mix and distribution geography through our distributor consolidation program to refine our craft beer strategy, enhancing our relevance and focusing resources on our core markets as part of our portfolio rationalization initiatives. Distributor chain spring product resets have indicated improvements of distribution for our core brands and key innovation initiatives, including Shock Top, Runner’s High Non-Alcoholic, and SweetWater’s newly launched Day Trip and Dive Beer. We expect to begin to see the impact of these gains during the fourth quarter ended May 31, 2025 and throughout fiscal year 2026.</w:t>
      </w:r>
    </w:p>
    <w:p>
      <w:pPr>
        <w:spacing w:after="0" w:line="195" w:lineRule="exact"/>
        <w:rPr>
          <w:rFonts w:ascii="Times New Roman" w:cs="Times New Roman" w:eastAsia="Times New Roman" w:hAnsi="Times New Roman"/>
          <w:sz w:val="22"/>
          <w:szCs w:val="22"/>
          <w:color w:val="auto"/>
        </w:rPr>
      </w:pPr>
    </w:p>
    <w:p>
      <w:pPr>
        <w:jc w:val="both"/>
        <w:ind w:left="820" w:hanging="272"/>
        <w:spacing w:after="0" w:line="245"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Innovation</w:t>
      </w:r>
      <w:r>
        <w:rPr>
          <w:rFonts w:ascii="Times New Roman" w:cs="Times New Roman" w:eastAsia="Times New Roman" w:hAnsi="Times New Roman"/>
          <w:sz w:val="18"/>
          <w:szCs w:val="18"/>
          <w:color w:val="auto"/>
        </w:rPr>
        <w:t>. Recognizing the evolving consumer landscape and the burgeoning demand for alternative beverage options, we have prioritized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and portfolio diversification. Our recent endeavors include launching a lineup of Hemp Derived Delta-9 (HD-D9) products, Non-Alcoholic beverages, water through our Liquid Love brand, flavored malt beverages, and Energy drinks. These strategic innovations underscore our commitment to offering high-quality options across diverse beverage categories, positioning us for sustained growth and differentiation in the competitive beverage segment.</w:t>
      </w:r>
    </w:p>
    <w:p>
      <w:pPr>
        <w:spacing w:after="0" w:line="192" w:lineRule="exact"/>
        <w:rPr>
          <w:rFonts w:ascii="Times New Roman" w:cs="Times New Roman" w:eastAsia="Times New Roman" w:hAnsi="Times New Roman"/>
          <w:sz w:val="22"/>
          <w:szCs w:val="22"/>
          <w:color w:val="auto"/>
        </w:rPr>
      </w:pPr>
    </w:p>
    <w:p>
      <w:pPr>
        <w:jc w:val="both"/>
        <w:ind w:left="820" w:hanging="272"/>
        <w:spacing w:after="0" w:line="246" w:lineRule="auto"/>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Brew Pubs</w:t>
      </w:r>
      <w:r>
        <w:rPr>
          <w:rFonts w:ascii="Times New Roman" w:cs="Times New Roman" w:eastAsia="Times New Roman" w:hAnsi="Times New Roman"/>
          <w:sz w:val="18"/>
          <w:szCs w:val="18"/>
          <w:color w:val="auto"/>
        </w:rPr>
        <w:t>. Following our recent Craft Acquisition on September 29, 2023 and the Craft Acquisition II effective September 1, 2024, we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 brew pubs including our Breckenridge Distillery restaurant in geographic regions across the U.S. that are located in close proximity to the production of our craft brands. An important part of our strategic plan for our beverage operations centers on brew pubs to promote and showcase the distinct, regional positioning of our craft beer brands and enhance brand recognition to help drive revenue growth. We believe that our brew pub strategy allows us to curate unique small batch product offerings in targeted test markets to help drive effective product innovation.</w:t>
      </w:r>
    </w:p>
    <w:p>
      <w:pPr>
        <w:spacing w:after="0" w:line="1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spirits category, Breckenridge Distillery stands out as a beacon within the bourbon industry, making notable strides in vodka and gin markets while offering a comprehensive hospitality experience through its world-class restaurant and retail location. Our primary growth objective centers on expanding market share across the United States. To fuel future expansion, we prioritize showcasing our exceptional product quality and introducing innovative new offerings. Recent accolades, including Double Gold awards at prestigious competitions such as Breckenridge Reserve Port Cask Finish being named the World’s best finished Bourbon at the 2024 World Whiskies Awards, we believe underscore our brand's growing recognition and appeal. Despite prevailing challenges within the overall spirits market, we believe our focus on whiskey—a resilient segment— positions us for continued growth fueled by innovative product introductions and expanded market presence.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Canadian cannabis market trends: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cannabis industry in Canada continues to evolve given how nascent the industry is with federal legalization of adult-use cannabis occurring just over five years ago. Through analysis of the current market conditions, the following key trends have emerged and are anticipated to influence the near-term future in the Canadian cannabis industry:</w:t>
      </w:r>
    </w:p>
    <w:p>
      <w:pPr>
        <w:spacing w:after="0" w:line="174" w:lineRule="exact"/>
        <w:rPr>
          <w:sz w:val="20"/>
          <w:szCs w:val="20"/>
          <w:color w:val="auto"/>
        </w:rPr>
      </w:pPr>
    </w:p>
    <w:p>
      <w:pPr>
        <w:jc w:val="both"/>
        <w:ind w:left="820" w:hanging="326"/>
        <w:spacing w:after="0" w:line="257"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share</w:t>
      </w:r>
      <w:r>
        <w:rPr>
          <w:rFonts w:ascii="Times New Roman" w:cs="Times New Roman" w:eastAsia="Times New Roman" w:hAnsi="Times New Roman"/>
          <w:sz w:val="18"/>
          <w:szCs w:val="18"/>
          <w:color w:val="auto"/>
        </w:rPr>
        <w:t>. During the quarter, Tilray continued to lead the Canadian market with the highest cannabis revenue in Canada. However,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 we experienced a marginal dip in market share in Canada from 9.4% to 9.3% from the immediately preceding quarter as reported by Hifyre data for all provinces excluding Quebec where Weedcrawler was deemed more accurate. The current period decrease in market share reflects our efforts to preserve margin in specific categories experiencing the most price compression and our shift in strategy to redirect inventories to international cannabis markets which provides for higher margin sales. We intend to enhance our global supply chain and increase our cultivation footprint to support this growing demand.</w:t>
      </w:r>
    </w:p>
    <w:p>
      <w:pPr>
        <w:spacing w:after="0" w:line="182"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compression. </w:t>
      </w:r>
      <w:r>
        <w:rPr>
          <w:rFonts w:ascii="Times New Roman" w:cs="Times New Roman" w:eastAsia="Times New Roman" w:hAnsi="Times New Roman"/>
          <w:sz w:val="18"/>
          <w:szCs w:val="18"/>
          <w:color w:val="auto"/>
        </w:rPr>
        <w:t>Historical price compression in specific categories is expected to persist in the market, intensified by fierce competition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the approximately 1,000 Licensed Producers in Canada. The fixed impact of excise per gram, notwithstanding the decline in average selling prices, further compounds these challenges, and has promoted ongoing industry lobbying efforts.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cannabis trends: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global leader in the development, production, distribution, marketing and sale of pharmaceutical-grade medical cannabis products. The cannabis industry in Europe is still in its early stages of development and countries within Europe are at different stages of medical and adult-use cannabis legalization. The most meaningful progress to date has been the legalization and regulation of cannabis for medical purposes, which has now taken place in more than 15 countries representing a population of more than 350 million people (Germany, UK, Italy, Poland, Netherlands, Czech Republic, Greece, Portugal, Austria, Switzerland, Denmark, Croatia, Malta, Luxembourg, Ukraine, Ireland, and Israel). Beyond this, some countries have expressed a clear political ambition to legalize adult-use cannabis (Germany, Portugal, Luxembourg and Czech Republic), some are engaging in experiments for adult-use legalization (Germany, Netherlands and Switzerland) and some are debating regulations for cannabinoid-based medicine (France and Spain). In Europe, we believe that, despite continuing recessionary economic conditions, political uncertainty in various countries and the continuing Russian conflict with Ukraine, cannabis legalization (both medicinal and adult-use) will continue to gain traction albeit more slowly than originally expected. This is evidenced by the cannabis regulations in Germany adopted on April 1, 2024, which we believe will serve as a catalyst for continued changes in drug policy throughout Europe. Outside of Europe and North America, the cannabis industry is also in its early stages of development with Australia representing one of the larger markets.</w:t>
      </w:r>
    </w:p>
    <w:p>
      <w:pPr>
        <w:spacing w:after="0" w:line="19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continue to believe that Tilray remains uniquely positioned to maintain and gain significant market share in the markets in which we participate. We benefit from our end-to-end vertically-integrated infrastructure and well-placed investments, which are comprised of two EU-GMP cultivation facilities located in Portugal and Germany; our fully owned route-to-market encompassing sales, marketing and distribution infrastructure in Germany, Australia and Italy; a network of leading distributors who we work with in the various other countries in which we participate; and, our extensive genetics portfolio and demonstrated commitment and expertise related to the cultivation and production of high-quality, safe cannabis products. Tilray’s International business also benefits from the depth and breadth of knowledge, experience, relationships and infrastructure we have gleaned from our leading participation and investment into the Canadian medical and adult-use markets. We believe that these assets and attributes, combined with our ability to navigate complex</w:t>
      </w:r>
    </w:p>
    <w:p>
      <w:pPr>
        <w:sectPr>
          <w:pgSz w:w="11900" w:h="16838" w:orient="portrait"/>
          <w:cols w:equalWidth="0" w:num="1">
            <w:col w:w="11240"/>
          </w:cols>
          <w:pgMar w:left="320" w:top="576" w:right="339" w:bottom="0" w:gutter="0" w:footer="0" w:header="0"/>
        </w:sectPr>
      </w:pPr>
    </w:p>
    <w:bookmarkStart w:id="33" w:name="page34"/>
    <w:bookmarkEnd w:id="33"/>
    <w:p>
      <w:pPr>
        <w:jc w:val="both"/>
        <w:spacing w:after="0" w:line="275" w:lineRule="auto"/>
        <w:rPr>
          <w:sz w:val="20"/>
          <w:szCs w:val="20"/>
          <w:color w:val="auto"/>
        </w:rPr>
      </w:pPr>
      <w:r>
        <w:rPr>
          <w:rFonts w:ascii="Times New Roman" w:cs="Times New Roman" w:eastAsia="Times New Roman" w:hAnsi="Times New Roman"/>
          <w:sz w:val="18"/>
          <w:szCs w:val="18"/>
          <w:color w:val="auto"/>
        </w:rPr>
        <w:t>regulatory environments, will continue to drive our leadership in international medical markets and allow us to successfully enter new markets as they adopt medical cannabis and potentially adult-use regulations and may also serve to support a potential U.S. participation in the event of federal legalization.</w:t>
      </w:r>
    </w:p>
    <w:p>
      <w:pPr>
        <w:spacing w:after="0" w:line="3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Germany</w:t>
      </w:r>
      <w:r>
        <w:rPr>
          <w:rFonts w:ascii="Times New Roman" w:cs="Times New Roman" w:eastAsia="Times New Roman" w:hAnsi="Times New Roman"/>
          <w:sz w:val="18"/>
          <w:szCs w:val="18"/>
          <w:color w:val="auto"/>
        </w:rPr>
        <w:t>. Today, Germany remains the largest medical cannabis market in Europe.</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April 1, 2024, the Cannabis Act, consisting of two parts, the CanG and MedCanG, was signed into law by the Office of the Federal President and decriminalization and MedCanG portions of the Cannabis Act became effective. The MedCanG provides for several important medical cannabis reforms including the reclassification of medical cannabis from a narcotic to non-narcotic and the abolishment of the tender for domestic production, which has been replaced with a regular licensing scheme under the authority of the Federal Institute for Drugs and Medical Devices (the “BfArM”). Three licenses for domestic cultivation have been issued, with Tilray receiving the first one. The foreseen enhanced accessibility to medical cannabis due to non-narcotic prescriptions has had the desired effect. The prescription numbers have risen since April 1, 2024 and, accordingly, we have seen a significant increase in our business in Germany where we supply the market with a wide range of medical cannabis extracts and whole flower. In addition, the Federal Joint Committee (the “G-BA”) which issues directives for the German health insurance funds, enacted a resolution in July 2024 allowing for a significant reduction of reservation of approval. This is expected to have a positive market effect, allowing more doctors and specialists to be able to prescribe medical cannabis without receiving prior approval from statutory insurers. Tilray is well positioned to benefit from this change given our leading market share within the medical cannabis extracts segment that tends to have high levels of insurance coverage.</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continue to believe that Tilray is well-positioned in Germany, especially considering the enactment of MedCanG and given that we are one of only three manufacturers of medical cannabis in Germany since our wholly owned subsidiary, Aphria RX, was awarded the first license for the cultivation of medical cannabis in Germany by the BfArM under the liberalized regime. Said license will improve our ability to meet the needs of patients and provide cannabis of the utmost quality and enhanced availability to a broader market.</w:t>
      </w:r>
    </w:p>
    <w:p>
      <w:pPr>
        <w:spacing w:after="0" w:line="17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Poland</w:t>
      </w:r>
      <w:r>
        <w:rPr>
          <w:rFonts w:ascii="Times New Roman" w:cs="Times New Roman" w:eastAsia="Times New Roman" w:hAnsi="Times New Roman"/>
          <w:sz w:val="18"/>
          <w:szCs w:val="18"/>
          <w:color w:val="auto"/>
        </w:rPr>
        <w:t>. In Poland, cannabis was legalized for medical use in 2018 and is prescribed to patients by a physician and dispensed by pharmacies. Today,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doctors in Poland are allowed to prescribe medical cannabis and it is a self-pay market as medical cannabis is not refundable by the Polish health service. In November 2024, Poland implemented strict restrictions on telemedicine, which have significantly impacted the growth of the market with prescription numbers decreasing from 68,000 in October 2024 to 28,000 in December 2024. Tilray is a leading supplier of medical cannabis in Poland through our network of distributor partnerships. We predominantly supply the market with whole flower medical cannabis products.</w:t>
      </w:r>
    </w:p>
    <w:p>
      <w:pPr>
        <w:spacing w:after="0" w:line="18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United Kingdom</w:t>
      </w:r>
      <w:r>
        <w:rPr>
          <w:rFonts w:ascii="Times New Roman" w:cs="Times New Roman" w:eastAsia="Times New Roman" w:hAnsi="Times New Roman"/>
          <w:sz w:val="18"/>
          <w:szCs w:val="18"/>
          <w:color w:val="auto"/>
        </w:rPr>
        <w:t>. Since November 2018, doctors in the UK have been able to prescribe medical cannabis for medicinal use for patients with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that had failed to respond to first-line medications. The market today is predominantly all self-pay and prescriptions are facilitated by private clinics. Today, we supply the UK market with mainly whole flower products through our distributor partners.</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Ireland. </w:t>
      </w:r>
      <w:r>
        <w:rPr>
          <w:rFonts w:ascii="Times New Roman" w:cs="Times New Roman" w:eastAsia="Times New Roman" w:hAnsi="Times New Roman"/>
          <w:sz w:val="18"/>
          <w:szCs w:val="18"/>
          <w:color w:val="auto"/>
        </w:rPr>
        <w:t>In June 2019, the Minister for Health signed legislation allowing for the operation of the Medical Cannabis Access Programme (“MCAP”)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pilot basis for five years. The MCAP allows a medical consultant to prescribe a cannabis-based treatment for a narrow set of specified medical conditions, where the patient has failed to respond to standard treatment. Reimbursement is available for products which have received the appropriate approvals. Tilray was one of the first players to enter the Irish market and is one of a few suppliers which has received approval for its products to be prescribed and to have been granted reimbursement status. Today, we supply our approved extract product to Ireland through our distribution partner.</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Italy</w:t>
      </w:r>
      <w:r>
        <w:rPr>
          <w:rFonts w:ascii="Times New Roman" w:cs="Times New Roman" w:eastAsia="Times New Roman" w:hAnsi="Times New Roman"/>
          <w:sz w:val="18"/>
          <w:szCs w:val="18"/>
          <w:color w:val="auto"/>
        </w:rPr>
        <w:t>. In May 2023, Tilray Medical received authorization from Italy’s Ministry of Health to distribute three new medical cannabis compounds.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medical cannabis compounds are distributed by FL Group, our wholly-owned subsidiary, to pharmacies across Italy. With FL Group, we have an established broad national pharmaceutical distribution network in Italy, where medical cannabis is prescribed by doctors and reimbursed by the healthcare system to eligible patients.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Australia</w:t>
      </w:r>
      <w:r>
        <w:rPr>
          <w:rFonts w:ascii="Times New Roman" w:cs="Times New Roman" w:eastAsia="Times New Roman" w:hAnsi="Times New Roman"/>
          <w:sz w:val="18"/>
          <w:szCs w:val="18"/>
          <w:color w:val="auto"/>
        </w:rPr>
        <w:t>. In 2016, the Australian Government legalized medicinal cannabis, which is regulated by the Therapeutic Goods Administration.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cannabis is prescribed by a doctor but there is no coverage under the Pharmaceutical Benefits Scheme. Tilray Medical suppliers the market with wide portfolio of medical cannabis extracts as well as whole flower products. We see increased differentiation between the physician-led and the patient-led channels. In response, we launched the Broken Coast, Redecan and Good Supply brands and products, which provides the patient with a segmented portfolio of products while we continue to deliver on the trust, safety and consistency that has become expected from our Tilray Medical brand.</w:t>
      </w:r>
    </w:p>
    <w:p>
      <w:pPr>
        <w:spacing w:after="0" w:line="18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Wellness market trends:</w:t>
      </w:r>
    </w:p>
    <w:p>
      <w:pPr>
        <w:spacing w:after="0" w:line="229"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Tilray Wellness’s branded business continues to grow across brick-and-mortar retail as well as ecommerce, further establishing its leading market share position in better for you categories. The Company continues to focus on value-added innovation within the wellness space with the launch of branded Whole Flaxseed and Ground Flaxseed and Superseed Snack Clusters in partnership with Whole Foods Market as well as continued emphasis on The Humble Seed, a seed-forward cracker brand which was purchased earlier this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Strategic Transactions and Synergies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strive to continue to expand our business, on a consolidated basis, through a combination of organic growth and acquisition. While we continue to execute against our strategic initiatives that we believe will result in long-term, sustainable growth and value to our stockholders, we continue to evaluate potential acquisitions and other strategic transactions of businesses that we believe complement our existing portfolio, infrastructure and capabilities or provide us with the opportunity to enter attractive new geographic markets and product categories as well as expand our existing capabilities. In addition, we have exited certain businesses and continue to evaluate certain businesses within our portfolio that are dilutive to profitability and cash flow. As a result, we incur transaction costs in connection with identifying and completing acquisitions and strategic transactions, as well as ongoing integration and restructuring costs as we combine acquired companies and continue to achieve synergies, which is offset by income generated in connection with the execution of these transactions. For the nine months ended February 28, 2025, we incurred $2.6 million of transaction expenses, as discussed further below.</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Effective September 1, 2024, Tilray acquired a portfolio of four craft brands and breweries comprised of Atwater Brewery, Hop Valley Brewing Company, Terrapin Beer Co., and Revolver Brewing from Molson, see Note 7 (Business Acquisition). We expect this acquisition to further the execution of our beverage strategy, which we believe will have positive impacts on our beverage segment leading to increased revenues and whitespace penetration.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Beverage segment Project 420:</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November 2020, we entered the beverage category with the acquisition of SweetWater Brewing Company, one of the largest independent craft brewers in the U.S. by volume, with the vision of creating a larger and more diversified global lifestyle consumer products company.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initial acquisition provided us with a foundation to pursue additional acquisitions in the beverage category and scale our business on a national basis. We acquired Alpine Beer Company, Green Flash and Breckenridge Distillery in December 2021, Montauk Brewing Company in November 2022, Craft Acquisition I in October 2023 and Craft Acquisition II in September 2024.</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With Craft Acquisition I and Craft Acquisition II, we capitalized on opportunities to acquire additional beverage businesses that consisted of strong brands in decline and in need of investment in order to promote growth at a significantly reduced price. To support the growth of these acquired brands and establish a clear path to profitability, we implemented Project 420, which is a comprehensive plan covering (i) SKU rationalization; (ii) Geographic rationalization; (iii) Distributor rationalization; and (iv) synergy optimization plan through which we expect to invest in the acquired brands for growth and improve profitability:</w:t>
      </w:r>
    </w:p>
    <w:p>
      <w:pPr>
        <w:spacing w:after="0" w:line="181" w:lineRule="exact"/>
        <w:rPr>
          <w:sz w:val="20"/>
          <w:szCs w:val="20"/>
          <w:color w:val="auto"/>
        </w:rPr>
      </w:pPr>
    </w:p>
    <w:p>
      <w:pPr>
        <w:jc w:val="both"/>
        <w:ind w:left="820" w:hanging="326"/>
        <w:spacing w:after="0" w:line="258"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SKU rationalization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response to the declining growth in the craft beer industry and consolidation of distributors, we are working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in various markets to streamline our portfolio by eliminating duplicative and slower growth products, which had the immediate effect of reducing revenue. However, by eliminating these slower growing SKUs, we are able to focus our attention and resources on our higher growth SKUs and the introduction of new innovation, which we expect will accelerate our revenue growth in future quarters. Going forward, we will continue to manage SKU performance within our portfolio on a “one in and one out basis” to maximize SKU productivity.</w:t>
      </w:r>
    </w:p>
    <w:p>
      <w:pPr>
        <w:spacing w:after="0" w:line="183" w:lineRule="exact"/>
        <w:rPr>
          <w:rFonts w:ascii="Times New Roman" w:cs="Times New Roman" w:eastAsia="Times New Roman" w:hAnsi="Times New Roman"/>
          <w:sz w:val="18"/>
          <w:szCs w:val="18"/>
          <w:color w:val="auto"/>
        </w:rPr>
      </w:pPr>
    </w:p>
    <w:p>
      <w:pPr>
        <w:jc w:val="both"/>
        <w:ind w:left="820" w:hanging="326"/>
        <w:spacing w:after="0" w:line="256"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Geographic rationalization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brands generate sales in all states however, their results are significantly stronger in their home markets.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SweetWater is located in Georgia and, as a result, its revenues are stronger in Georgia, Alabama, North Carolina and Florida, while 10 Barrel, which is located in Oregon has stronger revenue in Oregon, Washington, Idaho and Wyoming. In away markets, like Oregon for SweetWater, and Georgia for 10 Barrel, the brands are not as strong in the away states. Our geographic rationalization works to concentrate our efforts in individual states with our strongest brands in those states. As we reduce the distribution of away markets brands in those states, we are working to increase the distribution and shelf space of home market brands. This initiative is consistent with our Regional Jewel strategy developed in conjunction with the Boston Consulting Group.</w:t>
      </w:r>
    </w:p>
    <w:p>
      <w:pPr>
        <w:spacing w:after="0" w:line="182"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Distributor rationalization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As a result of our various acquisitions in the last five years, we have over 750 distributors and 975 distributor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locations. As a result, we are shipping to multiple distributors in the same geography as well as splitting the allocation of local brands between multiple distributors. The goal of the distributor rationalization is to reduce our distributor footprint down to between 450 and 500 distributors concentrating those distributor’s effort on our brands and SKUs, while minimizing logistical complexities.</w:t>
      </w:r>
    </w:p>
    <w:p>
      <w:pPr>
        <w:spacing w:after="0" w:line="179"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Synergy optimization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previously announced a $25 million synergy plan focused on optimizing our production footprint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eliminating redundancies in manufacturing and warehouse assets. By integrating the newly acquired facilities into our existing footprint, we are optimizing capacities, utilization and better absorbing fixed overheads. This in turn is improving our gross margins. In the current quarter, we increased the synergy plan by $8 million to $33 million and have achieved $20.6 million of those savings to date. We expect to complete the synergy optimization plan in the third quarter of fiscal 2026.</w:t>
      </w:r>
    </w:p>
    <w:p>
      <w:pPr>
        <w:spacing w:after="0" w:line="183"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Brand and business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have been and are continuing to increase our investment in the marketing, promotion and infrastructure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recently acquired brands in order to reestablish their dominance in their core markets. Our intention is to fund this investment through the cost savings and synergies achieved through Project 420.</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the nine months ended February 28, 2025, our SKU and geographic rationalization resulted in a reduction in net sales of approximately $14.0 million. For the fiscal year ended May 31, 2025, it is anticipated that the cumulative impact of these initiatives will result in a reduction of approximately $20.0 million in net sales, which we believe will be offset by the growth of our new product innovation, including in new beverage categories, and brand extensions over the next 12 months. This revenue reduction has a corresponding decrease in our Adjusted EBITDA for the three and nine months ended February 28, 2025, of $1.0 million and $4.2 million, respectively.</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It is important to note, however, that there is a lag between the discontinuation of the SKUs and the associated reduction in revenue, which has an immediate effect, and the acceleration of the growth of our existing SKUs and the introduction of new innovation and the associated increase in revenue,</w:t>
      </w:r>
    </w:p>
    <w:p>
      <w:pPr>
        <w:sectPr>
          <w:pgSz w:w="11900" w:h="16838" w:orient="portrait"/>
          <w:cols w:equalWidth="0" w:num="1">
            <w:col w:w="11240"/>
          </w:cols>
          <w:pgMar w:left="320" w:top="576" w:right="339" w:bottom="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t>which takes time due to retailer resets. We also expect these efforts will lead to improved sales and margins, with benefits realized through lower selling costs, as well as reduced requirements for working capital through inventory reductions and an improvement in our cash conversion cycle.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Political and Economic Environment</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results of operations may be affected by economic, political, legislative, regulatory, legal actions, global volatility and general market disruption resulting from geopolitical tensions, such as Russia's continued incursion into Ukraine, the ongoing events in the Middle East and political uncertainty in certain countries in Europe. Economic conditions, such as recessionary trends, inflation, supply chain disruptions, interest and monetary exchange rates, government fiscal policies, and the recent economic uncertainties resulting from certain changes in U.S. global economic policy, including changes on global trade policies can have a significant effect on operations. More specifically, there are no expected impacts on revenue from the recently enacted U.S. tariffs and foreign enacted retaliatory tariffs (“Tariffs”). From a cost perspective, we believe the recently enacted tariffs could impact input materials such as aluminum, hops, barley, malt and vape componentry which are partially imported but will be mitigated to the extent possible.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results, in thousands except for per share data,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96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8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8"/>
                <w:szCs w:val="18"/>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tcPr>
          <w:p>
            <w:pPr>
              <w:spacing w:after="0"/>
              <w:rPr>
                <w:sz w:val="20"/>
                <w:szCs w:val="20"/>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185,780</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188,340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(2,560)</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596,774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559,060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37,714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133,769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138,944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(5,175)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423,837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418,059</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5,778</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2,615</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172,937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141,001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31,936</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39,246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129,356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123,769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5,587</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9,995</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41,757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24,437</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17,320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67,913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65,700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2,213</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11,191</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(4,398)</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28,934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contingent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(5,983)</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5,983</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(16,790)</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699,235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699,235</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699,235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699,235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than temporary change in fair value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of convertible notes receivable</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42,681</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(22,681)</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42,681</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(22,681)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8,748</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(2,860)</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(10,498)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3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811,942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131,494</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680,448</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1,011,656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299,220</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712,436</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3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(759,931)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(677,833)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(838,719)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(158,219)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(680,500)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(8,517)</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(26,977)</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 income,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(6,783)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(23,811)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3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(792,331)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(107,854)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(684,477)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(909,336)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(206,016)</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(703,320)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(recovery),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3,112</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3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(793,534)</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(104,983)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(688,551)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(913,461)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(207,029)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(706,432)</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w:t>
            </w:r>
          </w:p>
        </w:tc>
      </w:tr>
      <w:tr>
        <w:trPr>
          <w:trHeight w:val="20"/>
        </w:trPr>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in this Quarterly Report on Form 10-Q, we discuss non-GAAP financial measures, including references to:</w:t>
      </w:r>
    </w:p>
    <w:p>
      <w:pPr>
        <w:spacing w:after="0" w:line="162" w:lineRule="exact"/>
        <w:rPr>
          <w:sz w:val="20"/>
          <w:szCs w:val="20"/>
          <w:color w:val="auto"/>
        </w:rPr>
      </w:pPr>
    </w:p>
    <w:p>
      <w:pPr>
        <w:ind w:left="820" w:right="20" w:hanging="326"/>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(excluding purchase price accounting (“PPA”) fair value step up) for each reporting segment (Cannabis, Beverage, Distribution and Wellness) as applicable,</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(excluding PPA fair value step up) for each reporting segment (Beverage, Cannabis, Distribution and Wellness) as applicable,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marketable securities,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presentation of net revenue.</w:t>
      </w:r>
    </w:p>
    <w:p>
      <w:pPr>
        <w:spacing w:after="0" w:line="25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These non-GAAP financial measures should be considered in addition to, and not in lieu of, the financial measures calculated and presented in accordance with generally accepted accounting principles in the United States of America, (“GAAP”). These financial measures, which may be different than similarly titled financial measures used by other companies, are presented to help investors' overall understanding of our financial performance and should not be considered a substitute for, or superior to, the financial information prepared and presented in accordance with GAAP. Please see “Reconciliation of Non-GAAP Financial Measures to GAAP Measures” below for reconciliation of such non-GAAP financial measures to the most directly comparable GAAP financial measures, as well as a discussion of our adjusted gross margin, adjusted gross profit and adjusted EBITDA measures and the calculation of such measures.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Constant Currency Presentation</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this financial measure provides useful information to investors because it eliminates the effect that foreign currency exchange rate fluctuations may have on period-to-period comparability given the volatility in foreign currency exchange markets and therefore, provides greater transparency to the underlying performance of our consolidated net sales. To present this information for historical periods, current period net sales for entities reporting in currencies other than the U.S. Dollar are translated into U.S. Dollars at the average monthly exchange rate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and Marketable Securities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combines the Cash and cash equivalent financial statement line item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combining these two GAAP metrics.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Operating Metrics and Non-GAAP Measures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use the operating metrics and non-GAAP measures set forth in the table below to evaluate our business and operations, measure our performance, identify trends affecting our business, project our future performance, and make strategic decisions. Other companies, including companies in our industry, may calculate operating metrics and non-GAAP measures with similar names differently which may reduce their usefulness as comparative measures. Certain variances are labeled as not meaningful ("NM") throughout management's discussion and analysis.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5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16"/>
        </w:trPr>
        <w:tc>
          <w:tcPr>
            <w:tcW w:w="58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February 29,</w:t>
            </w: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beverage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55,921</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54,688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174,974</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125,355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54,274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63,432</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181,175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200,879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61,493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56,794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197,175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193,174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14,092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13,426</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43,450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39,652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35,986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35,836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106,961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77,615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32,275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42,518</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111,804</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139,507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55,936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51,231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175,281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172,846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9,572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9,359</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29,791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28,091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(excluding PPA step-up) (1)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52,070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51,643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174,547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153,055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Beverage adjusted gross margin (excluding PPA step-up) (1)</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adjusted gross margin (excluding PPA step-up) (1)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gross margin</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gross margin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9,040</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10,154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27,391</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30,974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marketable securities (1) as at the period ended: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248,414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225,858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248,414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225,858</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as at the period ended: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424,115</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302,111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424,115</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302,111</w:t>
            </w:r>
          </w:p>
        </w:tc>
      </w:tr>
    </w:tbl>
    <w:p>
      <w:pPr>
        <w:spacing w:after="0" w:line="177" w:lineRule="exact"/>
        <w:rPr>
          <w:sz w:val="20"/>
          <w:szCs w:val="20"/>
          <w:color w:val="auto"/>
        </w:rPr>
      </w:pPr>
    </w:p>
    <w:p>
      <w:pPr>
        <w:jc w:val="both"/>
        <w:ind w:firstLine="8"/>
        <w:spacing w:after="0" w:line="252" w:lineRule="auto"/>
        <w:tabs>
          <w:tab w:leader="none" w:pos="212" w:val="left"/>
        </w:tabs>
        <w:numPr>
          <w:ilvl w:val="0"/>
          <w:numId w:val="10"/>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16"/>
          <w:szCs w:val="16"/>
          <w:i w:val="1"/>
          <w:iCs w:val="1"/>
          <w:color w:val="auto"/>
        </w:rPr>
        <w:t xml:space="preserve">Adjusted EBITDA, adjusted gross profit (excluding PPA step-up) and adjusted gross margin (excluding PPA step-up) for each of our segments, and cash and marketable securities are non-GAAP financial measures. See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Use of Non-GAAP Measures” above for a discussion of these Non-GAAP measures and “Reconciliation of Non-GAAP Financial Measures to GAAP Measures” below for a reconciliation of these Non-GAAP Measures to our most comparable GAAP measure </w:t>
      </w:r>
      <w:r>
        <w:rPr>
          <w:rFonts w:ascii="Times New Roman" w:cs="Times New Roman" w:eastAsia="Times New Roman" w:hAnsi="Times New Roman"/>
          <w:sz w:val="16"/>
          <w:szCs w:val="16"/>
          <w:color w:val="auto"/>
        </w:rPr>
        <w:t>and the discussion above captioned “Cash and Marketable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reporting segments net revenue is comprised of net revenues from our beverage, cannabis, distribution, and wellness operations,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34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business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1,233</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174,974</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125,355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49,619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54,274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63,432</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(9,158)</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181,175</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200,879</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61,493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56,794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197,175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193,174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14,092</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13,426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43,450</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39,652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185,780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188,340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(2,560)</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596,774</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559,060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37,714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color w:val="auto"/>
        </w:rPr>
        <w:t>Our reporting segment net revenue on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basis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February</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3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business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1,233</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174,974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125,355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49,619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57,475</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63,432</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(5,957)</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186,120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200,879</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(14,759)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65,054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56,794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8,260</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204,861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193,174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11,687</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14,499</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13,426</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44,068</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39,652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192,949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188,340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4,609</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559,060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50,963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geographic net revenue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34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62,384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2,036</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200,053</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147,247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52,806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45,930</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55,140</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(9,210)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158,555</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178,417</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72,386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67,143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5,243</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229,312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222,139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3,673</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11,257</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185,780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188,340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596,774</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559,060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37,714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geographic net revenue on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basis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February</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11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Pr>
          <w:p>
            <w:pPr>
              <w:spacing w:after="0"/>
              <w:rPr>
                <w:sz w:val="20"/>
                <w:szCs w:val="20"/>
                <w:color w:val="auto"/>
              </w:rPr>
            </w:pPr>
          </w:p>
        </w:tc>
        <w:tc>
          <w:tcPr>
            <w:tcW w:w="112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62,384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2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147,247</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52,806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49,208</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55,140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163,695</w:t>
            </w:r>
          </w:p>
        </w:tc>
        <w:tc>
          <w:tcPr>
            <w:tcW w:w="12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178,417</w:t>
            </w:r>
          </w:p>
        </w:tc>
        <w:tc>
          <w:tcPr>
            <w:tcW w:w="112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(14,722)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75,735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67,143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22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231,706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222,139</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9,567</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3,586</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3,673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14,569</w:t>
            </w:r>
          </w:p>
        </w:tc>
        <w:tc>
          <w:tcPr>
            <w:tcW w:w="12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11,257</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3,312</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192,949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188,340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220" w:type="dxa"/>
            <w:vAlign w:val="bottom"/>
            <w:tcBorders>
              <w:left w:val="single" w:sz="8" w:color="CCEEFF"/>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559,060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50,963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Our geographic capital assets are as follows: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6"/>
              </w:rPr>
              <w:t>May 31,</w:t>
            </w:r>
          </w:p>
        </w:tc>
        <w:tc>
          <w:tcPr>
            <w:tcW w:w="1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lef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199,539</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58,225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244,091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313,359</w:t>
            </w:r>
          </w:p>
        </w:tc>
        <w:tc>
          <w:tcPr>
            <w:tcW w:w="12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(69,268)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tcBorders>
              <w:lef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90,740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99,921</w:t>
            </w:r>
          </w:p>
        </w:tc>
        <w:tc>
          <w:tcPr>
            <w:tcW w:w="1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3,430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(223)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assets</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lef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537,800</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558,247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(20,447)</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3"/>
        </w:trPr>
        <w:tc>
          <w:tcPr>
            <w:tcW w:w="2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Beverage revenue</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Revenue from our Beverage segment increased to $55.9 million and to $175.0 million for the three and nine months ended February 28, 2025, compared to revenue of $54.7 million and $125.4 million for the prior year period. The three and nine months increase in beverage revenue was primarily driven by our newly launched innovation in the HD-D9 product category and our recent Craft Acquisition II, effective September 1, 2024, which included the brands and breweries of Hop Valley Brewing Company, Terrapin Beer Company, Revolver Brewing, and Atwater Brewery. Further, the prior year period did not reflect a full period of revenue from the initial Craft Acquisition, completed on September 29, 2023. These impacts to beverage revenue were offset by the SKU rationalization implemented in connection with Project 420, which resulted in a reduction of revenue of $6.0 million and $14.0 million for the three and nine months ended February 28,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Cannabis revenue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Cannabis net revenue based on market channel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Revenue from Canadian</w:t>
            </w: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cannabis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(524)</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18,773</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Canadian</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adult-use cannabis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49,315</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62,107</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(12,792)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165,627</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205,350</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(39,723)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wholesale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3,893</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2,764</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15,993</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12,348</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3,645</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international</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13,935</w:t>
            </w:r>
          </w:p>
        </w:tc>
        <w:tc>
          <w:tcPr>
            <w:tcW w:w="200" w:type="dxa"/>
            <w:vAlign w:val="bottom"/>
          </w:tcPr>
          <w:p>
            <w:pPr>
              <w:spacing w:after="0"/>
              <w:rPr>
                <w:sz w:val="17"/>
                <w:szCs w:val="17"/>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14,002</w:t>
            </w:r>
          </w:p>
        </w:tc>
        <w:tc>
          <w:tcPr>
            <w:tcW w:w="14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40,991</w:t>
            </w:r>
          </w:p>
        </w:tc>
        <w:tc>
          <w:tcPr>
            <w:tcW w:w="200" w:type="dxa"/>
            <w:vAlign w:val="bottom"/>
          </w:tcPr>
          <w:p>
            <w:pPr>
              <w:spacing w:after="0"/>
              <w:rPr>
                <w:sz w:val="17"/>
                <w:szCs w:val="17"/>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40,185</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806</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w:t>
            </w: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72,982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85,236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(12,254)</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241,384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276,676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(35,292)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(18,708)</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(21,804)</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(60,209)</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(75,797)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15,588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54,274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(9,158)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181,175</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200,879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(19,704)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Cannabis net revenue based on market channel on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basis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5"/>
              </w:rPr>
              <w:t>February</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February</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Revenue from Canadian</w:t>
            </w: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cannabis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Canadian</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adult-use cannabis</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52,815</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62,107</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(9,292)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170,967</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205,350</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(34,383)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wholesale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2,764</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1,406</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16,525</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12,348</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4,177</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international</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14,264</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14,002</w:t>
            </w:r>
          </w:p>
        </w:tc>
        <w:tc>
          <w:tcPr>
            <w:tcW w:w="16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41,411</w:t>
            </w:r>
          </w:p>
        </w:tc>
        <w:tc>
          <w:tcPr>
            <w:tcW w:w="12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40,185</w:t>
            </w:r>
          </w:p>
        </w:tc>
        <w:tc>
          <w:tcPr>
            <w:tcW w:w="16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1,226</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w:t>
            </w: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77,508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85,236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(7,728)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248,301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276,676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(28,375)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(20,033)</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(21,804)</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1,771</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(62,181)</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(75,797)</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(5,957)</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186,120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200,879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(14,759)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820" w:hanging="434"/>
        <w:spacing w:after="0" w:line="236" w:lineRule="auto"/>
        <w:tabs>
          <w:tab w:leader="none" w:pos="820" w:val="left"/>
        </w:tabs>
        <w:numPr>
          <w:ilvl w:val="0"/>
          <w:numId w:val="1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 xml:space="preserve">The constant currency presentation of our Cannabis revenue based on market channel is a non-GAAP financial measure.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Use of Non-GAAP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Constant Currency Presentation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 discussion of these Non-GAAP Measures.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jc w:val="both"/>
        <w:ind w:firstLine="45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medical cannabis: </w:t>
      </w:r>
      <w:r>
        <w:rPr>
          <w:rFonts w:ascii="Times New Roman" w:cs="Times New Roman" w:eastAsia="Times New Roman" w:hAnsi="Times New Roman"/>
          <w:sz w:val="18"/>
          <w:szCs w:val="18"/>
          <w:color w:val="auto"/>
        </w:rPr>
        <w:t>Gross revenue from Canadian medical cannabis decreased to $5.8 million and remained consistent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$18.8 million for the three and nine months ended February 28, 2025 compared to gross revenue of $6.4 million and $18.8 million for the prior year period. On a constant currency basis, gross revenue from Canadian medical cannabis was $6.3 million and $19.4 million for the three and nine months ended February 28, 2025 compared to gross revenue of $6.4 million and $18.8 million for the prior year period. The nine months increase in gross revenue from medical cannabis on a constant currency basis was primarily driven by growth in the insured patient category exceeding the decline in un-insured patient attrition to the adult-use recreational market.</w:t>
      </w:r>
    </w:p>
    <w:p>
      <w:pPr>
        <w:spacing w:after="0" w:line="182"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adult-use cannabis: </w:t>
      </w:r>
      <w:r>
        <w:rPr>
          <w:rFonts w:ascii="Times New Roman" w:cs="Times New Roman" w:eastAsia="Times New Roman" w:hAnsi="Times New Roman"/>
          <w:sz w:val="18"/>
          <w:szCs w:val="18"/>
          <w:color w:val="auto"/>
        </w:rPr>
        <w:t>During the three and nine months ended February 28, 2025, our gross revenue from Canadian adult-use cannabis decreased to $49.3 million and $165.6 million, compared to gross revenue of $62.1 million and $205.4 million for the prior year period. Gross revenue in the prior year period included $1.5 million in advisory fees, which did not repeat during the three and nine months ended February 28, 2025. On a constant currency basis, our gross revenue from Canadian adult-use cannabis decreased to $52.8 million and $171.0 million for the three and nine months ended February 28, 2025. The decrease in gross adult-use revenue was driven by our renewed focus on preserving gross margin and maintaining a higher average selling price in growing categories such as vapes that have experienced a high degree of price compression. We expect to be able to increase our participation in these categories as a result of our capex investments in the fourth quarter ended May 31, 2025, to improve these trends. Additionally, we have shifted our strategic focus to redirect inventories to international cannabis markets to take advantage of the higher margin sales available in these markets. We expect these inventories to be sold during the fourth fiscal quarter ended May 31, 2025, however this caused a temporary decline in gross adult-use cannabis revenue and cannabis revenue overall until their eventual sale. We intend to enhance our global supply chain through Phase II of our accelerated growth plan and increase our cultivation footprint to support the growing demand in both the Canadian and international markets.</w:t>
      </w:r>
    </w:p>
    <w:p>
      <w:pPr>
        <w:spacing w:after="0" w:line="182"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Wholesale cannabis revenue: </w:t>
      </w:r>
      <w:r>
        <w:rPr>
          <w:rFonts w:ascii="Times New Roman" w:cs="Times New Roman" w:eastAsia="Times New Roman" w:hAnsi="Times New Roman"/>
          <w:sz w:val="18"/>
          <w:szCs w:val="18"/>
          <w:color w:val="auto"/>
        </w:rPr>
        <w:t>Gross revenue from wholesale cannabis increased to $3.9 million and $16.0 million for the three and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28, 2025 compared to gross revenue of $2.8 million and $12.3 million for the prior year period. On a constant currency basis, gross revenue from wholesale cannabis increased to $4.2 million and $16.5 million for the three and nine months ended February 28, 2025 compared to gross revenue of $2.8 million and $12.3 million for the prior year period. Due to the transition to asset-light business models, the Canadian cannabis industry has experienced a reduction in excess inventory resulting in price increases in the B2B market. This shift in market dynamics and demand enabled us to strategically sell inventory that was sought after in the wholesale market during the quarter but does not meet the high standards required for our branded product. In the near-term, we anticipate continued volatility and fluctuation in the wholesale market, and we will assess market conditions on a quarterly basis.</w:t>
      </w:r>
    </w:p>
    <w:p>
      <w:pPr>
        <w:spacing w:after="0" w:line="18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cannabis revenue: </w:t>
      </w:r>
      <w:r>
        <w:rPr>
          <w:rFonts w:ascii="Times New Roman" w:cs="Times New Roman" w:eastAsia="Times New Roman" w:hAnsi="Times New Roman"/>
          <w:sz w:val="18"/>
          <w:szCs w:val="18"/>
          <w:color w:val="auto"/>
        </w:rPr>
        <w:t>Net revenue from International cannabis was consistent at $13.9 million and increased to $41.0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and nine months ended February 28, 2025 compared to net revenue of $14.0 million and $40.2 million for the prior year period. On a constant currency basis, given the changes in the Euro against the U.S. Dollar when compared to the prior year quarter, net revenue from international cannabis increased to $14.3 million and $41.4 million compared to $14.0 million and $40.2 million in the prior year period. The increase during the period was primarily driven by higher sales in Germany, attributed to the expanding German medical market. This growth was partially offset by lower revenue in Poland driven by the timing of export/import permits and lower prescriptions due to restrictions placed on telemedicine in November 2024 as well as lower revenue in Australia and the strategic decision to exit the New Zealand medical market. Net international cannabis revenue may fluctuate from quarter to quarter based upon the timing of the receipt of export/import permits as well as the timing of shipments from one quarter to the next. We anticipate that the redirected product from the Canadian cannabis market will be sold in our fourth fiscal quarter through these international markets.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Distribution 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Revenue from our Distribution segment increased to $61.5 million and $197.2 million for the three and nine months ended February 28, 2025, compared to revenue of $56.8 million and $193.2 million for the prior year period. On a constant currency basis, given the change in the Euro and Argentine Peso against the U.S. Dollar in the quarter, revenue from Distribution increased to $65.1 million and $204.9 million for the three and nine months ended February 28, 2025, compared to $56.8 million and $193.2 million for the prior year period. The increase in distribution revenue for both the three and nine months periods was driven by a change in product mix offset by the impacts of foreign exchange and that, during the prior year period, there were IT infrastructure outages and weather complications that negatively impacted our sales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Wellness revenue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Wellness segment revenue increased to $14.1 million and $43.5 million for the three and nine months ended February 28, 2025 compared to $13.4 million and $39.7 million from the prior year period. On a constant currency basis for the three and nine months ended February 28, 2025, Wellness segment revenue increased to $14.5 million and $44.1 million from $13.4 million and $39.7 million. The increase in revenue was primarily attributed to our strategic focus on continued innovations, including the relaunch of HiBall Energy and organic growth within our branded hemp food business related to higher consumption.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Gross profit, gross margin and adjusted gross margin</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for our reporting segments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gross profit and gross margin for the three and nine months ended February 28, 2025 and February 29, 2024, respectively,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9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6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8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2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238"/>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Beverage</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340" w:type="dxa"/>
            <w:vAlign w:val="bottom"/>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55,921</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54,688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1,233</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174,974</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125,355</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49,619</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106,961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77,615</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29,346</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19,935</w:t>
            </w: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68,013</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47,740</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20,273</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8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Purchase price</w:t>
            </w:r>
          </w:p>
        </w:tc>
        <w:tc>
          <w:tcPr>
            <w:tcW w:w="100" w:type="dxa"/>
            <w:vAlign w:val="bottom"/>
            <w:vMerge w:val="restart"/>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right w:val="single" w:sz="8" w:color="CCEEFF"/>
            </w:tcBorders>
            <w:vMerge w:val="restart"/>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60" w:type="dxa"/>
            <w:vAlign w:val="bottom"/>
            <w:tcBorders>
              <w:right w:val="single" w:sz="8" w:color="CCEEFF"/>
            </w:tcBorders>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(2,014)</w:t>
            </w:r>
          </w:p>
        </w:tc>
        <w:tc>
          <w:tcPr>
            <w:tcW w:w="11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1,610</w:t>
            </w:r>
          </w:p>
        </w:tc>
        <w:tc>
          <w:tcPr>
            <w:tcW w:w="114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4,426</w:t>
            </w:r>
          </w:p>
        </w:tc>
        <w:tc>
          <w:tcPr>
            <w:tcW w:w="12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(2,816)</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1"/>
        </w:trPr>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accounting step-up</w:t>
            </w:r>
          </w:p>
        </w:tc>
        <w:tc>
          <w:tcPr>
            <w:tcW w:w="1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60" w:type="dxa"/>
            <w:vAlign w:val="bottom"/>
            <w:tcBorders>
              <w:right w:val="single" w:sz="8" w:color="CCEEFF"/>
            </w:tcBorders>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6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180" w:type="dxa"/>
            <w:vAlign w:val="bottom"/>
            <w:tcBorders>
              <w:right w:val="single" w:sz="8" w:color="CCEEFF"/>
            </w:tcBorders>
            <w:gridSpan w:val="2"/>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140" w:type="dxa"/>
            <w:vAlign w:val="bottom"/>
            <w:tcBorders>
              <w:right w:val="single" w:sz="8" w:color="CCEEFF"/>
            </w:tcBorders>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(931)</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69,623</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52,166</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17,457</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7"/>
        </w:trPr>
        <w:tc>
          <w:tcPr>
            <w:tcW w:w="1980" w:type="dxa"/>
            <w:vAlign w:val="bottom"/>
            <w:tcBorders>
              <w:top w:val="single" w:sz="8" w:color="CCEEFF"/>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Cannabis</w:t>
            </w: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54,274</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63,432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(9,158)</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181,175</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200,879</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(19,704)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(10,243)</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111,804</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139,507</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(27,703)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21,999</w:t>
            </w: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69,371</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61,372</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7,999</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8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Purchase price</w:t>
            </w:r>
          </w:p>
        </w:tc>
        <w:tc>
          <w:tcPr>
            <w:tcW w:w="1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vMerge w:val="restart"/>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Borders>
              <w:right w:val="single" w:sz="8" w:color="CCEEFF"/>
            </w:tcBorders>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11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7,628</w:t>
            </w:r>
          </w:p>
        </w:tc>
        <w:tc>
          <w:tcPr>
            <w:tcW w:w="12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(7,628)</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1"/>
        </w:trPr>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accounting step-up</w:t>
            </w: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60" w:type="dxa"/>
            <w:vAlign w:val="bottom"/>
            <w:tcBorders>
              <w:right w:val="single" w:sz="8" w:color="CCEEFF"/>
            </w:tcBorders>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6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180" w:type="dxa"/>
            <w:vAlign w:val="bottom"/>
            <w:tcBorders>
              <w:right w:val="single" w:sz="8" w:color="CCEEFF"/>
            </w:tcBorders>
            <w:gridSpan w:val="2"/>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140" w:type="dxa"/>
            <w:vAlign w:val="bottom"/>
            <w:tcBorders>
              <w:right w:val="single" w:sz="8" w:color="CCEEFF"/>
            </w:tcBorders>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69,371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69,000</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371</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7"/>
        </w:trPr>
        <w:tc>
          <w:tcPr>
            <w:tcW w:w="1980" w:type="dxa"/>
            <w:vAlign w:val="bottom"/>
            <w:tcBorders>
              <w:top w:val="single" w:sz="8" w:color="CCEEFF"/>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61,493</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56,794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4,699</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197,175</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193,174</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4,001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175,281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172,846</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2,435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21,894</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20,328</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1,566</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6"/>
              </w:rPr>
              <w:t>Wellness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14,092</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13,426</w:t>
            </w: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666</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43,450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39,652</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3,798</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29,791</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28,091</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1,700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13,659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11,561</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2,098</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980" w:type="dxa"/>
            <w:vAlign w:val="bottom"/>
            <w:tcBorders>
              <w:top w:val="single" w:sz="8" w:color="CCEEFF"/>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185,780</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188,340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(2,560)</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596,774</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559,060</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37,714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133,769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(5,175)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423,837</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418,059</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5,778</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49,396</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172,937</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141,001</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31,936</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8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Purchase price</w:t>
            </w:r>
          </w:p>
        </w:tc>
        <w:tc>
          <w:tcPr>
            <w:tcW w:w="100" w:type="dxa"/>
            <w:vAlign w:val="bottom"/>
            <w:vMerge w:val="restart"/>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right w:val="single" w:sz="8" w:color="CCEEFF"/>
            </w:tcBorders>
            <w:vMerge w:val="restart"/>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60" w:type="dxa"/>
            <w:vAlign w:val="bottom"/>
            <w:tcBorders>
              <w:right w:val="single" w:sz="8" w:color="CCEEFF"/>
            </w:tcBorders>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(2,188)</w:t>
            </w:r>
          </w:p>
        </w:tc>
        <w:tc>
          <w:tcPr>
            <w:tcW w:w="11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1,610</w:t>
            </w:r>
          </w:p>
        </w:tc>
        <w:tc>
          <w:tcPr>
            <w:tcW w:w="114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12,054</w:t>
            </w:r>
          </w:p>
        </w:tc>
        <w:tc>
          <w:tcPr>
            <w:tcW w:w="12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(10,444)</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1"/>
        </w:trPr>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accounting step-up</w:t>
            </w:r>
          </w:p>
        </w:tc>
        <w:tc>
          <w:tcPr>
            <w:tcW w:w="1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60" w:type="dxa"/>
            <w:vAlign w:val="bottom"/>
            <w:tcBorders>
              <w:right w:val="single" w:sz="8" w:color="CCEEFF"/>
            </w:tcBorders>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6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180" w:type="dxa"/>
            <w:vAlign w:val="bottom"/>
            <w:tcBorders>
              <w:right w:val="single" w:sz="8" w:color="CCEEFF"/>
            </w:tcBorders>
            <w:gridSpan w:val="2"/>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140" w:type="dxa"/>
            <w:vAlign w:val="bottom"/>
            <w:tcBorders>
              <w:right w:val="single" w:sz="8" w:color="CCEEFF"/>
            </w:tcBorders>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174,547</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153,055</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21,492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780" w:hanging="327"/>
        <w:spacing w:after="0" w:line="257" w:lineRule="auto"/>
        <w:tabs>
          <w:tab w:leader="none" w:pos="78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gross profit is our Gross profit (adjusted to exclude purchase price accounting valuation step-up) and adjusted gross margin is our Gross margin (adjusted to exclude purchase price accounting valuation step-up) and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additional discussion regarding these non-GAAP measures.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in isolation or as an alternative to financial measures determined in accordance with GAAP.</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Beverage gross margin: </w:t>
      </w:r>
      <w:r>
        <w:rPr>
          <w:rFonts w:ascii="Times New Roman" w:cs="Times New Roman" w:eastAsia="Times New Roman" w:hAnsi="Times New Roman"/>
          <w:sz w:val="18"/>
          <w:szCs w:val="18"/>
          <w:color w:val="auto"/>
        </w:rPr>
        <w:t>Gross margin of 36% and 39% for the three and nine months ended February 28, 2025 increased from 34% and 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prior year period. Adjusted gross margin of 36% and 40% for the three and nine months ended February 28, 2025 decreased from 38% and 42% in the prior year period. The change in the adjusted beverage gross margin during the three and nine months ended February 28, 2025 was driven by several factors. Our continued integration efforts of our Craft Acquisition, increased utilization of our facilities and improvements in our product mix as part of our strategic initiatives under Project 420 have had favorable impacts on our adjusted gross margin. However, these improvements were partially offset by the impacts from the Craft Acquisition II, which has lower margins than our historical business.</w:t>
      </w:r>
    </w:p>
    <w:p>
      <w:pPr>
        <w:spacing w:after="0" w:line="18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Cannabis gross margin: </w:t>
      </w:r>
      <w:r>
        <w:rPr>
          <w:rFonts w:ascii="Times New Roman" w:cs="Times New Roman" w:eastAsia="Times New Roman" w:hAnsi="Times New Roman"/>
          <w:sz w:val="18"/>
          <w:szCs w:val="18"/>
          <w:color w:val="auto"/>
        </w:rPr>
        <w:t>Gross margin increased during the three and nine months ended February 28, 2025 to 41% and 38% from 33% and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prior year period. Excluding the impact of the non-cash fair value purchase price accounting step-up, adjusted gross margin during the three and nine months ended February 28, 2025 increased to 41% and 38% from 33% and 34% in the prior year period. The improvement in gross margin and adjusted gross margin for the three and nine months ended February 28, 2025 was driven by our increased international cannabis revenue as a proportion of total cannabis revenue given its higher margin, as well as a continued focus on maintaining a higher average selling price and favorable product mix to improve gross margins in Canada despite lower sales in the Canadian adult-use market. Additionally, the prior year period also included $1.5 million of HEXO advisory services revenue, which did not recur in the current year period.</w:t>
      </w:r>
    </w:p>
    <w:p>
      <w:pPr>
        <w:spacing w:after="0" w:line="183" w:lineRule="exact"/>
        <w:rPr>
          <w:sz w:val="20"/>
          <w:szCs w:val="20"/>
          <w:color w:val="auto"/>
        </w:rPr>
      </w:pPr>
    </w:p>
    <w:p>
      <w:pPr>
        <w:ind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 gross margin: </w:t>
      </w:r>
      <w:r>
        <w:rPr>
          <w:rFonts w:ascii="Times New Roman" w:cs="Times New Roman" w:eastAsia="Times New Roman" w:hAnsi="Times New Roman"/>
          <w:sz w:val="18"/>
          <w:szCs w:val="18"/>
          <w:color w:val="auto"/>
        </w:rPr>
        <w:t>Gross margin decreased to 9% and remained consistent at 11% for the three and nine months ended February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from 10% and 11% for the prior year period, which was attributed to shortages in key pharmaceutical product lines as well as price reductions.</w:t>
      </w:r>
    </w:p>
    <w:p>
      <w:pPr>
        <w:spacing w:after="0" w:line="158"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Wellness gross margin: </w:t>
      </w:r>
      <w:r>
        <w:rPr>
          <w:rFonts w:ascii="Times New Roman" w:cs="Times New Roman" w:eastAsia="Times New Roman" w:hAnsi="Times New Roman"/>
          <w:sz w:val="18"/>
          <w:szCs w:val="18"/>
          <w:color w:val="auto"/>
        </w:rPr>
        <w:t>Gross margin increased to 32% and 31% for the three and nine months ended February 28, 2025 from 30% and 29%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period, which was a result of strong operational efficiencies, lower input costs and the culmination of a change in sales mix towards higher margin product offerings including HiBall energy drinks.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18"/>
                <w:szCs w:val="18"/>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129,356</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123,769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5,587</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9,995</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3,910</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41,757</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24,437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17,320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21,558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1,624</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67,913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65,700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11,191</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(4,398)</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28,079</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28,934</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20"/>
                <w:szCs w:val="20"/>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(5,983)</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(16,790)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16,790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699,235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699,235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699,235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than temporary change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 fair value of convertible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42,681</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(22,681)</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42,681</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(22,681)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Litigation costs, net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3,363</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5,254</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8,439</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5,178</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17,249</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8,748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(income),</w:t>
            </w:r>
          </w:p>
        </w:tc>
        <w:tc>
          <w:tcPr>
            <w:tcW w:w="1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(2,860)</w:t>
            </w:r>
          </w:p>
        </w:tc>
        <w:tc>
          <w:tcPr>
            <w:tcW w:w="1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2,563</w:t>
            </w:r>
          </w:p>
        </w:tc>
        <w:tc>
          <w:tcPr>
            <w:tcW w:w="2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13,061</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(10,498)</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811,942</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680,448</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1,011,656</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299,220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712,436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Operating expenses are comprised of general and administrative, selling, amortization, marketing and promotion, research and development, change in fair value of contingent consideration, impairments, other than temporary change in fair value of convertible notes receivable, litigation costs, net of recoveries, restructuring costs and transaction costs (income), net. These costs increased by $680.4 million and $712.4 million to $811.9 million and $1,011.7 million for the three and nine months ended February 28, 2025 compared to $131.5 million and $299.2 million for the prior year period. This nine months increase was primarily a result of the non-cash impairments recorded in the period described in detail below. Additionally, of the $680.4 million and $712.4 million increase recognized during the three and nine months ended February 28, 2025, $1.0 million and $19.8 million was attributed to the inclusion of expenses from our recent Craft Acquisition II, effective September 1, 2024, and the prior year period did not reflect a full period of results from the initial Craft Acquisition, completed on September 29, 2023. These changes period over period are described below.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General and administrative costs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February 28, 2025, the changes in general and administrative costs when compared to the prior year period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21,908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66,201</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57,067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7,385</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4,190</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3,195</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26,103</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20,423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8,059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(4,024)</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18,189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24,517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2,942</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3,569</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8,552</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9,917</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4,658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loss on sale of capital</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(978)%</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(24,533)%</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3,041</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3,457</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Total general and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39,246</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39,940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w:t>
            </w:r>
          </w:p>
        </w:tc>
        <w:tc>
          <w:tcPr>
            <w:tcW w:w="1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129,356</w:t>
            </w:r>
          </w:p>
        </w:tc>
        <w:tc>
          <w:tcPr>
            <w:tcW w:w="2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123,769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5,587</w:t>
            </w:r>
          </w:p>
        </w:tc>
        <w:tc>
          <w:tcPr>
            <w:tcW w:w="11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administrative costs</w:t>
            </w:r>
          </w:p>
        </w:tc>
        <w:tc>
          <w:tcPr>
            <w:tcW w:w="1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Salaries and wages increased by 3% and 16% during the three and nine months ended February 28, 2025. The increase during the three and nine months ended February 28, 2025 was primarily due to the inclusion of employees from our recent Craft Acquisition II, effective September 1, 2024, and the prior year period did not reflect a full period of results from the initial Craft Acquisition, completed on September 29, 2023. Additionally, included in the nine months period ended February 28, 2025, there was $3.2 million of retention payments that did not occur in the prior year period.</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Office and general increased by 76% and 28% during the three and nine months ended February 28, 2025. The increase was primarily due to the inclusion of bad debt recoveries of $4.4 million in the prior year period ended February 29, 2024, that did not recur and expenses from our recent Craft Acquisition II, effective September 1, 2024, and the prior year period did not reflect a full period of results from the initial Craft Acquisition, completed on September 29, 2023. These impacts were partially offset by our continued cost saving initiatives.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Company recognized stock-based compensation expense of $4.0 million and $18.2 million for the three and nine months ended February 28, 2025 compared to $8.1 million and $24.5 million for the prior year period. Stock-based compensation expense is based on the time-based vesting schedules and varies according to the assumptions used in the vesting model. During the three and nine months ended February 28, 2025, as a result of previously issued stock options, restricted stock units (“RSUs”) and stock appreciation rights (“SARs”) under Tilray 2018 Equity Incentive Plan and Original Plan, as described in the Annual Report on Form 10-K for the fiscal year ended May 31, 2024, that have fully vested, stock-based compensation decreased period over period. Additionally, the decrease for the three months ended February 28, 2025 was driven by the cancellation of certain performance-based RSUs.</w:t>
      </w:r>
    </w:p>
    <w:p>
      <w:pPr>
        <w:spacing w:after="0" w:line="18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Insurance expense decreased by 18% and decreased by 14% for the three and nine months ended February 28, 2025 to $2.9 million and $8.6 million from $3.6 million and $9.9 million for the prior year period. The change for the three and nine months ended February 28, 2025 was driven by lower premiums, offset by the additional polices required for our newly acquired beverage business portfolio for both the Craft Acquisition and Craft Acquisition</w:t>
      </w:r>
    </w:p>
    <w:p>
      <w:pPr>
        <w:spacing w:after="0" w:line="1" w:lineRule="exact"/>
        <w:rPr>
          <w:sz w:val="20"/>
          <w:szCs w:val="20"/>
          <w:color w:val="auto"/>
        </w:rPr>
      </w:pPr>
    </w:p>
    <w:p>
      <w:pPr>
        <w:ind w:firstLine="8"/>
        <w:spacing w:after="0" w:line="260" w:lineRule="auto"/>
        <w:tabs>
          <w:tab w:leader="none" w:pos="2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February 28, 2025, as a percentage of revenue insurance was 2% and 1% compared to 2% and 2% in the prior year period, demonstrating our ability to manage our policy costs despite growing the business.</w:t>
      </w:r>
    </w:p>
    <w:p>
      <w:pPr>
        <w:spacing w:after="0" w:line="181"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Rent expense decreased by 29% and 12% for the three and nine months ended February 28, 2025 to $0.7 million and $3.0 million from $1.0 million and $3.5 million for the prior period. Rent expense is predominantly comprised of operating lease costs for our brew pubs and office spaces. The decrease was driven by the exit from the Truss lease in the current year and a reduction in lease payments, which was previously included in the prior period results, offset by the inclusion of expenses from our recent Craft Acquisition II, effective September 1, 2024, and the prior year period did not reflect a full period of results from the initial Craft Acquisition, completed on September 29,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costs</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February 28, 2025, the Company incurred selling costs of $13.9 million and $41.8 million or 7.5% and 7.0% of net revenue as compared to $10.0 million and $24.4 million or 5.3% and 4.4% of net revenue in the prior year period. These costs relate to third-party shipping costs for all segments, in addition to distributor commission incurred by the cannabis segment, Health Canada cannabis fees, and patient acquisition and maintenance costs. The increase for the three and nine months ended February 28, 2025, is predominately due to the higher freight costs experienced in the beverage segment. Additionally, during the three and nine months period ended February 29, 2024, the Company received a refund of $2.1 million and $3.3 million on cannabis selling fees related to an amended fee calculation and a commission refund that did not recur in the current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incurred non-production related amortization charges of $23.2 million and $67.9 million for the three and nine months ended February 28, 2025 compared to $21.6 million and $65.7 million in the prior year period based on depreciable capital and intangible assets useful lives.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promotion costs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February 28, 2025, the Company incurred marketing and promotion costs of $6.8 million and $28.1 million as compared to $11.2 million and $28.9 million for the prior year period. The current period change was primarily due to the inclusion of expenses from our recent Craft Acquisition II, effective September 1, 2024, and that the prior year period did not reflect a full period of results from the initial Craft Acquisition, completed on September 29, 2023, offset by the quarterly variability in discretionary marketing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Research and development costs were $0.1 million and $0.3 million during the three and nine months ended February 28, 2025, compared to $0.1 million and $0.2 million in the prior year period. These relate to external costs associated with the development of new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consideration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measures contingent consideration at fair value classified as Level 3, as discussed in Note 25 (Fair value measurements). During the three and nine months ended February 28, 2025, the Company recognized $nil and $nil change in fair value of contingent consideration as there were no changes to the likelihood achievement for Montauk Brewing compared to a gain of $6.0 million and a gain of $16.8 million in the prior period from the conclusion of the Sweetwater obligation, the favorable cash settlement for the Truss contingent consideration, and was offset by an increase related to the increased probability of achieving the contingent consideration from the Montauk acquisition.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Based upon a combination of factors including a sustained decline in the Company’s market capitalization stemming from the uncertainty resulting from certain changes in U.S. global economic policy, including slower than anticipated progress in global cannabis legalization and overall declines in the craft beer industry sector, the Company concluded that it is more likely than not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fair value of our reporting units were less than their carrying amounts as of February 28,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the Company utilized the income approach, which uses future discounted cash flows, to determine the fair value of each reporting unit. As a result, the Company recorded non-cash impairment charges of $570.0 million of cannabis goodwill, $100.0 million of beverage goodwill, $25.0 million of wellness goodwill and $4.2 million of distribution goodwill for the three and nine months ended February 28,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non-cash impairment charge had no impact on the Company’s compliance with debt covenants, its cash flows or available liquidity.</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Company's cannabis goodwill assessment, the Company used a discount rate of 12.00%, a terminal growth rate of 5%, and an average revenue growth rate of 34% over 5 years, based on an 88% and 40% average probability of anticipated EU and U.S. cannabis legalization, respectively and/or changes in drug policy in various countries within the next 5 years. A 1% increase in the discount rate would result in an additional $285.0 million in impairment, a 1% decrease in the terminal growth rate would result in an additional $210.0 million in impairment, a 5% decrease in the average growth rate would result in an additional $170.0 million in impairment, a 5% decrease in the probability of EU cannabis legalization would result in an additional $80.0 million in impairment and a 5% decrease in the probability of US cannabis legalization would result in an additional $7.0 million in impairment. Changes to those probabilities resulting in continued delays in or cessation of legalization of cannabis within the United States and internationally, or adverse regulatory changes to existing legislation, could have an unfavorable impact on the estimated future cash flows, and ultimately, the fair value of the cannabis reporting unit, which may result in a material impairment expense recognized in future reporting periods.</w:t>
      </w:r>
    </w:p>
    <w:p>
      <w:pPr>
        <w:sectPr>
          <w:pgSz w:w="11900" w:h="16838" w:orient="portrait"/>
          <w:cols w:equalWidth="0" w:num="1">
            <w:col w:w="11240"/>
          </w:cols>
          <w:pgMar w:left="320" w:top="580" w:right="339" w:bottom="0" w:gutter="0" w:footer="0" w:header="0"/>
        </w:sectPr>
      </w:pPr>
    </w:p>
    <w:bookmarkStart w:id="48" w:name="page49"/>
    <w:bookmarkEnd w:id="48"/>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Company's beverage goodwill assessment, the Company used a discount rate of 9.25%, a terminal growth rate of 2%, and an average revenue growth rate of 12% over 5 years. A 1% increase in the discount rate would result in an additional $70.0 million in impairment, a 1% decrease in the terminal growth rate would result in an additional $50.0 million in impairment and a 1% decrease in the average growth rate would result in an additional $40.0 million in impairment.</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Company's wellness goodwill assessment, the Company used a discount rate of 10.50%, a terminal growth rate of 2%, and an average revenue growth rate of 7% over 5 years. A 1% increase in the discount rate would result in an additional $5.0 million in impairment, a 1% decrease in the terminal growth rate would result in an additional $3.0 million in impairment and a 1% decrease in the average growth rate would result in an additional $2.0 million in impairment.</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Company's distribution goodwill assessment, the Company recorded $4.2 million of impairments which brought the remaining distribution goodwill balance to $nil.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than temporary write-down of convertible notes receivable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February 28, 2025, the Company recognized an other-than-temporary change in fair value, which resulted in a non-cash expense of $20.0 million and $20.0 million compared to $42.7 million and $42.7 million for the prior year period. The MedMen Convertible Note was valued based upon the estimated fair value of the collateral assets net of estimated disposal costs and has been reduced to reflect recent developments in restructuring efforts. See Note 8, (Convertible notes receivable) for additional transactions related to the MedMen Convertible Note which occurred during the period ended February 28,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Litigation costs, net of recoveries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February 28, 2025, the Company recorded $2.8 million and $5.3 million of litigation settlements costs and third-party fees incurred in defending these claims, net of favorable recoveries compared to $3.4 million and $8.4 million in the prior period. The decrease is related to period-to-period variability as litigation and settlement costs are non-recurring in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our acquisition strategy and strategic transactions, the Company has incurred non-recurring restructuring and exit costs associated with the integration efforts of these transactions. In connection with these efforts, during the three and nine months ended February 28, 2025, the Company incurred $6.1 million and $17.2 million of restructuring charges compared to $5.2 million and $8.7 million for the prior year period. All restructuring plans are approved at the executive level, and their associated expenses are recognized in the period in which the plan is committed. All amounts incurred as of February 28, 2025 have been paid.</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Within the Cannabis segment, our restructuring costs predominantly related to the HEXO acquisition, which are expected to be completed within 24 months from the original acquisition, which occurred June 2023. In the nine months ended February 28, 2025, we recognized $7.9 million of expenses related to employee termination severance and benefits and other costs related to the conversion of the HEXO Quebec cultivation facility from cannabis to produce (which is currently held for sale), the optimization of our Redecan facilities, and $0.8 million of restructuring charges related to the remaining costs of exiting the Truss facility following its sale to a third party in the fiscal year ended May 31, 2024. Additionally, the Company recognized $1.1 million of cost associated with the winding down of our Avanti facility, the closure of which was announced during the quarter ended November 30, 2024. Lastly, the Company recognized $0.3 million of restructuring charges related to our decision to exit from the New Zealand medical cannabis market announced during the quarter ended February 28, 2025.</w:t>
      </w:r>
    </w:p>
    <w:p>
      <w:pPr>
        <w:spacing w:after="0" w:line="192"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color w:val="auto"/>
        </w:rPr>
        <w:t>Within the Beverage segment, the Company recognized $1.0 million of expenses related to employee termination severance and benefits and $2.8 million of costs associated with the consolidation of production sites through the integration of the Craft Acquisition and the Craft Acquisition II. Additionally, the Company recognized $0.8 million of restructuring charges related to terminating a legacy storage agreement from the Craft Acquisition. We expect to transition to a new storage facility in the fourth quarter of fiscal year ending May 31, 2025, consistent with our announced cost savings initiatives.</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Within the Distribution segment, the Company recognized $0.4 million of restructuring charges related to the divestiture of its retail pharmacy location in Argentina.</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Lastly, for the nine months ended February 28, 2025, the Company recognized $2.1 million of costs associated with the investment held in Superhero Acquisition Corp. as a result of MedMen’s ongoing restructuring and liquidation undertakings.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(income) costs, net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Transaction (income) costs, net, includes acquisition related income and expenses, related legal, financial advisor and due diligence cost and expenses and transaction related compensation. The three and nine months ended February 28, 2025 decrease of 83% and 80% from the prior year period was a result of HEXO, Truss and the Craft Acquisition taking place in the previous year which did not recur. The expenses incurred in the current period largely related to the Craft Acquisition II, for the four craft beer brands and breweries from Molson, which was effective September 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(expense) income, net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Non-operating (expense), net income was comprised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debenture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6,311</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12,352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1,338</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2,896</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(22,290)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(18,988)</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(44,206)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(46,147)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long-term</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(5,474)</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(5,507)</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(16,688)%</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(5,540)</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non-operating (losses)</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2,404</w:t>
            </w:r>
          </w:p>
        </w:tc>
        <w:tc>
          <w:tcPr>
            <w:tcW w:w="2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(8,245)</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10,649</w:t>
            </w:r>
          </w:p>
        </w:tc>
        <w:tc>
          <w:tcPr>
            <w:tcW w:w="13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2,219</w:t>
            </w:r>
          </w:p>
        </w:tc>
        <w:tc>
          <w:tcPr>
            <w:tcW w:w="2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(9,427)</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11,646</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net</w:t>
            </w: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34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non-operating income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(24,022)</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(17,239)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(6,783)</w:t>
            </w:r>
          </w:p>
        </w:tc>
        <w:tc>
          <w:tcPr>
            <w:tcW w:w="13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(44,631)</w:t>
            </w:r>
          </w:p>
        </w:tc>
        <w:tc>
          <w:tcPr>
            <w:tcW w:w="20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(20,820)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(23,811)</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4"/>
        </w:trPr>
        <w:tc>
          <w:tcPr>
            <w:tcW w:w="22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(expense)</w:t>
            </w:r>
          </w:p>
        </w:tc>
        <w:tc>
          <w:tcPr>
            <w:tcW w:w="1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50" w:name="page51"/>
    <w:bookmarkEnd w:id="50"/>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For the three and nine months ended February 28, 2025, the Company recognized a change in fair value of its convertible debentures payable of $0.0 million and $0.0 million compared to ($6.3) million and ($12.4) million in the prior year period. The change was driven primarily by the exchange of APHA 24 convertible debenture prior to and upon maturity. Additionally, for the three and nine months ended February 28, 2025, the Company recognized a change in fair value of its warrants, resulting in a gain of $1.3 million and $2.9 million compared to a gain of $0.6 million and a loss of ($1.4) million as a result of the change in our share price and the exercise price of the instrument. For the three and nine months ended February 28, 2025, the Company recognized a loss of ($22.3) million and ($44.2) million resulting from the changes in foreign exchange rates during the period compared to a loss of ($3.3) million and a gain of $1.9 million for the prior period. For the three and nine months ended February 28, 2025, the Company recognized a loss on long-term investments, resulting a loss of ($5.5) million and ($5.5) million as a result of a change in fair value of certain long-term investments compared to a gain of $0.0 million and a gain of $0.4 million for the prior period. The other non-operating (losses) gains, net were $2.4 million and $2.2 million for the three and nine months ended February 28, 2025, compared to loss of ($8.2) million and ($9.4) million, for the prior period, and was mainly comprised of a gain of $2.4 million resulting from the exchange transaction of the TLRY 27 Notes, see Note 17 (Convertible debentures payable).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Adjusted EBITDA is a non-GAAP financial measure that does not have any standardized meaning prescribed by GAAP and may not be comparable to similar measures presented by other companies. The Company calculates adjusted EBITDA as net loss/net income before income taxes, net interest expense, depreciation and amortization, equity in net loss of equity-method investees, purchase price accounting step-up on inventory, stock-based compensation, impairments, other than temporary change in fair value of convertible notes receivable, restructuring costs, transaction (income) costs net, litigation costs net of recoveries, change in fair value of contingent consideration, unrealized currency gains and losses and other adjustments.</w:t>
      </w:r>
    </w:p>
    <w:p>
      <w:pPr>
        <w:spacing w:after="0" w:line="183"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We believe that this presentation provides useful information to management, analysts and investors regarding certain additional financial and business trends relating to its results of operations and financial condition. In addition, management uses this measure for reviewing the financial results of the Company and as a component of performance-based executive compensation.</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do not consider adjusted EBITDA in isolation or as an alternative to financial measures determined in accordance with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spacing w:after="0" w:line="183"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three and nine months ended February 28, 2025, adjusted EBITDA decreased to $9.0 million and $27.4 million compared to $10.2 million and $31.0 million for the prior year period as we continue to integrate our recent craft beverage acquisitions.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34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(793,534)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(104,983)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(688,551)</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(913,461)</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(207,029)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(706,432)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(recovery), net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1,203</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(2,871)</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4,074</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4,125</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3,112</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8,517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25,986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26,977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Non-operating income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(expense), net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24,022</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17,239</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6,783</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44,631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20,820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23,811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33,546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32,842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99,410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95,183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4,227</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8,059</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(4,024)</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18,189</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24,517</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(5,983)</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5,983</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(16,790)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16,790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699,235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699,235</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699,235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699,235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than temporary change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fair value of convertible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42,681</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(22,681)</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42,681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(22,681)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Project 420 business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optimization</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price accounting</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step-up</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2,247</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(2,188)</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12,054</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(10,444)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Facility start-up and closure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Litigation costs, net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2,758</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3,363</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(605)</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5,254</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8,439</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6,133</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5,178</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955</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17,249</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8,748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(income),</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(2,860)</w:t>
            </w:r>
          </w:p>
        </w:tc>
        <w:tc>
          <w:tcPr>
            <w:tcW w:w="13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2,563</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13,061</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(10,498)</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34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10,154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(1,114)</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27,391</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52" w:name="page53"/>
    <w:bookmarkEnd w:id="52"/>
    <w:p>
      <w:pPr>
        <w:ind w:left="500"/>
        <w:spacing w:after="0"/>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net loss. There are a number of limitations related to the use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as compared to net loss, the closest comparable GAAP measure. Adjusted EBITDA adjusts for the following:</w:t>
      </w:r>
    </w:p>
    <w:p>
      <w:pPr>
        <w:spacing w:after="0" w:line="207" w:lineRule="exact"/>
        <w:rPr>
          <w:sz w:val="20"/>
          <w:szCs w:val="20"/>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amortization expenses and, although these are non-cash charges, the assets being depreciated and amortized may have to be replaced in the future;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a non-cash expense and are an important part of our compensation strategy;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impairment charges, as the charges are not expected to be a recurring business activity;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other than temporary write-down of convertible notes receivable, as the charges are not expected to be a recurring business activity;</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change in fair value of warrant liability;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420 business optimization costs;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start up new facilities, and to fund emerging market operations;</w:t>
      </w:r>
    </w:p>
    <w:p>
      <w:pPr>
        <w:spacing w:after="0" w:line="252"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(income) costs, net which includes acquisition related income and expenses, related legal, financial advisor and due diligence cost and expenses and transaction related compensation, which vary significantly by transaction and are excluded to evaluate ongoing operating results;</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net of favorable recoveries and the third party fees associated with defending these claims, includes costs related to legacy and non-operational litigation matters, legal settlements and recoveries;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 accounting fair value step-up in inventory value included in costs of goods sold; and</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deferred income tax expenses and recoveries, which could be a significant recurring expense or recovery in our business in the future and reduce or increase cash available to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Adjusted Gross Profit and Adjusted Gross Margin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Adjusted gross profit and adjusted gross margin are non-GAAP financial measures and may not be comparable to similar measures presented by other companies. Adjusted gross profit is our Gross profit (adjusted to exclude PPA valuation step-up) and adjusted gross margin is our Gross margin (adjusted to exclude PPA valuation step-up) and are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percentage in isolation or as an alternative to financial measures determined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actively manage our cash and investments in order to internally fund operating needs, make scheduled interest and principal payments on our borrowings, and complete acquisitions. We believe that existing cash, cash equivalents, marketable securities and cash generated by operations, together with access to external sources of funds, will be sufficient to meet our domestic and foreign capital needs for the short and long term outlook.</w:t>
      </w:r>
    </w:p>
    <w:p>
      <w:pPr>
        <w:spacing w:after="0" w:line="176" w:lineRule="exact"/>
        <w:rPr>
          <w:sz w:val="20"/>
          <w:szCs w:val="20"/>
          <w:color w:val="auto"/>
        </w:rPr>
      </w:pPr>
    </w:p>
    <w:p>
      <w:pPr>
        <w:jc w:val="both"/>
        <w:ind w:right="20" w:firstLine="450"/>
        <w:spacing w:after="0" w:line="261" w:lineRule="auto"/>
        <w:rPr>
          <w:sz w:val="20"/>
          <w:szCs w:val="20"/>
          <w:color w:val="auto"/>
        </w:rPr>
      </w:pPr>
      <w:r>
        <w:rPr>
          <w:rFonts w:ascii="Times New Roman" w:cs="Times New Roman" w:eastAsia="Times New Roman" w:hAnsi="Times New Roman"/>
          <w:sz w:val="18"/>
          <w:szCs w:val="18"/>
          <w:color w:val="auto"/>
        </w:rPr>
        <w:t>For the Company's short-term liquidity requirements, we are focused on generating positive cash flows from operations and being free cash flow positive. As a result of delays in legalization across multiple markets, management continues to optimize our operating structure, headcount, as well as the elimination of other discretionary operational costs. Additionally, the Company continues to invest our excess cash in the short-term in marketable securities which are comprised of U.S. treasury bills and term deposits with major Canadian, European and Australian banks.</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the Company's long-term liquidity requirements, we are focused on funding operations through profitable organic and inorganic growth through acquisitions. We may need to take on additional debt or equity financing arrangements in order to achieve these ambitions on a long-term basis.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May 17, 2024, the Company entered into an equity distribution agreement with TD Securities (USA) LLC and Jefferies LLC in connection with an aggregate offering value of up to $250 million from time to time through an at-the-market equity program (“ATM Program”). During the nine months ended February 28, 2025, the Company issued 93,610,801 shares under the ATM Program generating gross proceeds of $143.4 million. The Company paid $3.7 million in commissions and other fees associated with these issuances generating net proceeds of $139.7 million. The Company intends to use the net proceeds from the ATM Program to fund strategic and accretive acquisitions or investments in businesses and capital expenditures for acquired businesses, including potential acquisitions of assets in the U.S. and internationally in order to capitalize on expected regulatory advancements or expansion opportunities. As of February 28, 2025, $96.6 million of gross proceeds remain available through the ATM program.</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Additionally, we are committed to optimizing our capital structure and enhancing financial flexibility as we intend to continue to opportunistically purchase or exchange equity for the TLRY 27 Notes prior to their underlying maturity date in June 2027, subject to market conditions.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statements of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16"/>
        </w:trPr>
        <w:tc>
          <w:tcPr>
            <w:tcW w:w="6060" w:type="dxa"/>
            <w:vAlign w:val="bottom"/>
          </w:tcPr>
          <w:p>
            <w:pPr>
              <w:spacing w:after="0"/>
              <w:rPr>
                <w:sz w:val="18"/>
                <w:szCs w:val="18"/>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February 29,</w:t>
            </w:r>
          </w:p>
        </w:tc>
      </w:tr>
      <w:tr>
        <w:trPr>
          <w:trHeight w:val="238"/>
        </w:trPr>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(5,761)</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(81,792)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(61,612)</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28,086</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(60,239)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83,293</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(10,909)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(82,257)</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Effect on cash of foreign currency translation</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144,949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228,340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206,632</w:t>
            </w:r>
          </w:p>
        </w:tc>
      </w:tr>
      <w:tr>
        <w:trPr>
          <w:trHeight w:val="20"/>
        </w:trPr>
        <w:tc>
          <w:tcPr>
            <w:tcW w:w="6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199,956</w:t>
            </w:r>
          </w:p>
        </w:tc>
        <w:tc>
          <w:tcPr>
            <w:tcW w:w="22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146,253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199,956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146,253</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79,605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79,605</w:t>
            </w:r>
          </w:p>
        </w:tc>
      </w:tr>
      <w:tr>
        <w:trPr>
          <w:trHeight w:val="20"/>
        </w:trPr>
        <w:tc>
          <w:tcPr>
            <w:tcW w:w="6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Cash and marketable securities(1)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248,414</w:t>
            </w:r>
          </w:p>
        </w:tc>
        <w:tc>
          <w:tcPr>
            <w:tcW w:w="22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225,858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225,858</w:t>
            </w:r>
          </w:p>
        </w:tc>
      </w:tr>
      <w:tr>
        <w:trPr>
          <w:trHeight w:val="20"/>
        </w:trPr>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780" w:hanging="327"/>
        <w:spacing w:after="0" w:line="258" w:lineRule="auto"/>
        <w:tabs>
          <w:tab w:leader="none" w:pos="7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and marketable securities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additional discussion regarding these non-GAAP measures. The Company combines the Cash and cash equivalent financial statement line item,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combing these three GAAP metrics.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change in net cash used in operating activities was ($5.8) million and ($81.8) million for three and nine months ended February 28, 2025 compared to ($15.4) million and ($61.6) million for the prior year period and was a result of additional working capital requirements as we continued to scale up our operations, including the Craft Acquisition II in September 2024.</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change in net cash used in investing activities was ($0.1) million and ($60.2) million for three and nine months ended February 28, 2025 compared to $28.1 million and $83.3 million for the prior period, and was a result of the purchase of marketable securities in the current year compared to the sale of marketable securities in the prior period, and the differences in cash paid for the Craft Acquisition II in the current year compared to HEXO, Truss and the Craft Acquisition in the prior period.</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change in cash provided by financing activities was $18.1 million and $116.9 million for three and nine months ended February 28, 2025 compared to ($10.9) million and ($82.3) million for the prior year period. In the current period, cash was provided by funds from the ATM Program that did not occur in the prior period. In the prior period ended February 29 2024, the Company received proceeds of $21.6 million for the overallotment issuance of the TLRY 27 Notes and proceeds from the delayed draw on the ABC credit facility, offset by the $107.3 million repayment of the TLRY 23 Notes and the APHA 24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Refer to Part I, Financial Information, Note 27 </w:t>
      </w:r>
      <w:r>
        <w:rPr>
          <w:rFonts w:ascii="Times New Roman" w:cs="Times New Roman" w:eastAsia="Times New Roman" w:hAnsi="Times New Roman"/>
          <w:sz w:val="18"/>
          <w:szCs w:val="18"/>
          <w:i w:val="1"/>
          <w:iCs w:val="1"/>
          <w:color w:val="auto"/>
        </w:rPr>
        <w:t>Subsequent Events.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addition to the litigation described in the Part II, Item 1 - Legal Proceedings, the Company is and may be a defendant in lawsuits from time to time in the normal course of business. While the results of litigation and claims cannot be predicted with certainty, the Company believes the reasonably possible losses of such matters, individually and in the aggregate, are not material. Additionally, the Company believes the probable final outcome of such matters will not have a material adverse effect on the Company’s consolidated results of operations, financial position, cash flows or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The accounting principles we use require us to make estimates and assumptions that affect the reported amounts of assets and liabilities at the date of the financial statements and amounts of income and expenses during the reporting periods presented. We believe in the quality and reasonableness of our critical accounting policies, however, materially different amounts may be reported under different conditions or using assumptions different from those that we have applied. The accounting estimates that have been identified as critical to our business operations and to understanding the results of our operations pertain to revenue recognition, valuation of inventory, valuation of long-lived assets, goodwill and intangible assets, stock-based compensation and valuation allowances for deferred tax assets. The application of each of these critical accounting policies and estimates is discussed in Part II, Item 7, Management’s Discussion and Analysis of Financial Condition and Results of Operations, of our Annual Report on Form 10-K for the fiscal year ended May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“Part I, Item 1. Note 1 – Basis of presentation and summary of significant accounting policies” to our financial statements appearing elsewhere in this Quarterly Report on Form 10-Q.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market risk from those addressed in the Company’s Annual Report on Form 10-K for the fiscal year ended May 31, 2024 during the nine months ended February 28, 2025. See the information set forth in Part II, Item 7A, Quantitative and Qualitative Disclosures About Market Risk, of the Company’s Annual Report on Form 10-K for the fiscal year ended May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and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An evaluation of the effectiveness of the design and operation of our disclosure controls and procedures as of the end of the period covered by this Quarterly Report was made under the supervision and with the participation of our management, including our Chief Executive Officer and Chief Financial Officer.</w:t>
      </w:r>
    </w:p>
    <w:p>
      <w:pPr>
        <w:spacing w:after="0" w:line="18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Based upon this evaluation, our Chief Executive Officer and Chief Financial Officer have concluded that, as of February 28, 2025, our disclosure controls and procedures (a) are effective to ensure that information required to be disclosed by us in reports filed or submitted under the Exchange Act is timely recorded, processed, summarized and reported and (b)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Consistent with guidance issued by the SEC, the scope of management’s assessment of the effectiveness of our disclosure controls and procedures did not include the internal controls over financial reporting of our recently acquired businesses from the Craft Acquisition II, which was effective on September 1, 2024. The acquired businesses represented 0.7% of our consolidated assets and 3.4% of our consolidated net revenues as of and for the nine months ended February 28,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period covered by this Quarterly Report that have materially affected, or are reasonably likely to materially affect, our internal control over financial reporting. As mentioned above, the Company acquired four craft brands on September 1, 2024. The Company is in the process of reviewing the internal control structure of those brands and, if necessary, will make appropriate changes as it integrates them into the Company’s overall internal control over financial reporting process. Additionally, beginning June 1, 2024, the Company fully integrated the initial Craft Acquisition entities into the Company’s overall internal control over financial reporting processes.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our management believes that it has established appropriate legal reserves. Any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“Item 3. Legal Proceedings” of our Annual Report on Form 10-K for the fiscal year ended May 31, 2024 includes a discussion of our legal proceedings. There have been no material changes from the legal proceedings described in our Form 10-K, except with respect to the matters disclosed and incorporated herein by reference to Note 19 (Commitments and contingencies), in the Notes to the Consolidated Financial Statements included in Part I, Item 1 of this Form 10-Q.</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“Item 1A. Risk Factors” of our Annual Report on Form 10-K for the fiscal year ended May 31, 2024 includes a discussion of our known material risk factors, other than risks that could apply to any issuer or offering. A summary of our risk factors is included below. Except for the below risk factors, there have been no material changes from the risk factors described in our Form 10-K.</w:t>
      </w:r>
    </w:p>
    <w:p>
      <w:pPr>
        <w:spacing w:after="0" w:line="176"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expected revenue or other benefits from the craft beer operations acquired.</w:t>
      </w:r>
    </w:p>
    <w:p>
      <w:pPr>
        <w:spacing w:after="0" w:line="252"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integrating operations and realizing the expected benefits of recent acquisitions, including the HEXO arrangement and the Craft brands acquisitions.</w:t>
      </w:r>
    </w:p>
    <w:p>
      <w:pPr>
        <w:spacing w:after="0" w:line="16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regulatory approvals and licenses, ongoing compliance and reporting obligations, and timely renewals.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is evolving, and unfavorable changes or lack of commercial legalization could impact our ability to carry on our business as currently conducted and the potential expansion of our business.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processing facilities are integral to our business and adverse changes or developments affecting our facilities may have an adverse impact on our business.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anticipate competition will increase, which could hurt our business.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constrain our ability to market and distribute our products in Canada.</w:t>
      </w:r>
    </w:p>
    <w:p>
      <w:pPr>
        <w:spacing w:after="0" w:line="252"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regulations relating to hemp-derived products, including Delta 9 beverages, are new and rapidly evolving, and changes may not develop in the timeframe or manner most favorable to our business objectives.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or public attitudes about alcohol could decrease demand for our beverage alcohol products.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SweetWater Brewing, Breckenridge Distillery, Montauk Brewing and our recently-acquired craft beer brands each face substantial competition in the beer industry or the broader market for alcoholic beverage products which could impact our business and financial results.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a history of net losses, and we may not achieve or maintain profitability in the future.</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and demands, which could result in significant liability and costs, and impact our resources and reputation.</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alliances and other third-party business relationships may not achieve the intended beneficial impact and expose us to risks.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execute future acquisitions, dispositions or other equity transactions or to successfully manage the impacts of such transactions on our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in an agricultural business, including the risk of crop failure.</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recalls for a variety of reasons, which could require us to expend significant management and capital resources.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interruptions in our access to certain supply chains for key inputs such as raw materials, supplies, electricity, water and other utilities may impair our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may not be able to successfully establish and maintain effective internal controls over financial reporting.</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in public markets has experienced and may continue to experience severe volatility and fluctuations.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and the stockholder base may hinder or prevent us from engaging in beneficial corporate initiatives.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16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the convertible securities in cash or to repurchase the convertible securities upon a fundamental change.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w:t>
      </w:r>
    </w:p>
    <w:p>
      <w:pPr>
        <w:spacing w:after="0" w:line="24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business may be materially adversely affected by the imposition of duties and tariffs and other trade barriers and retaliatory countermeasures implemented by the U.S. and other governments.</w:t>
      </w:r>
    </w:p>
    <w:p>
      <w:pPr>
        <w:spacing w:after="0" w:line="15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Recently there have been significant changes to U.S. trade policies, sanctions, legislation, treaties and tariffs, including, but not limited to, trade policies and tariffs affecting products from outside of the U.S. For example, in early 2025, the current U.S. presidential administration announced</w:t>
      </w:r>
    </w:p>
    <w:p>
      <w:pPr>
        <w:sectPr>
          <w:pgSz w:w="11900" w:h="16954" w:orient="portrait"/>
          <w:cols w:equalWidth="0" w:num="1">
            <w:col w:w="11240"/>
          </w:cols>
          <w:pgMar w:left="320" w:top="576" w:right="339" w:bottom="0" w:gutter="0" w:footer="0" w:header="0"/>
        </w:sectPr>
      </w:pPr>
    </w:p>
    <w:bookmarkStart w:id="58" w:name="page59"/>
    <w:bookmarkEnd w:id="58"/>
    <w:p>
      <w:pPr>
        <w:jc w:val="both"/>
        <w:spacing w:after="0" w:line="253" w:lineRule="auto"/>
        <w:rPr>
          <w:sz w:val="20"/>
          <w:szCs w:val="20"/>
          <w:color w:val="auto"/>
        </w:rPr>
      </w:pPr>
      <w:r>
        <w:rPr>
          <w:rFonts w:ascii="Times New Roman" w:cs="Times New Roman" w:eastAsia="Times New Roman" w:hAnsi="Times New Roman"/>
          <w:sz w:val="18"/>
          <w:szCs w:val="18"/>
          <w:color w:val="auto"/>
        </w:rPr>
        <w:t>significant new tariffs on foreign imports into the U.S., specifically from Mexico and Canada, and has proposed additional new tariffs that may be implemented in the future.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for our products in affected markets. Any new or additional tariffs on goods imported to the U.S. from Mexico, Canada, or other countries, or products imported into the European Union or other non-U.S. markets, could also increase the cost of some of our products and reduce our margins. In response to the tariffs, the Company may seek to increase prices to its customers, which may diminish demand for its products. The imposition of additional tariffs or other trade barriers could increase our costs in certain markets and may cause our customers to find alternative sourcing or could make it more difficult for us to sell our products in some markets. Other countries where we operate or sell our products have changed, and may continue to change, their own policies on trade as well as business and foreign investment in their respective countries. Additionally, it is possible that U.S. policy changes and uncertainty about such changes could increase market volatility and currency exchange rate fluctuations. As a result of these dynamics, we cannot predict the impact to our business of any future changes to the U.S.’s or other countries’ trading relationships or the impact of new laws or regulations adopted by the U.S. or other countries.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meet the continued listing requirements of Nasdaq could result in a delisting of our securities.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March 25, 2025, the Company received written notice (the “Notice”) from the Nasdaq Listing Qualifications Department of the Nasdaq Stock Market, LLC (“Nasdaq”) notifying the Company that it is not in compliance with the minimum bid price requirement set forth in Nasdaq Listing Rule 5450(a)(1) for continued listing on The Nasdaq Global Select Market. Nasdaq Listing Rule 5450(a)(1) requires listed securities to maintain a minimum bid price of $1.00 per share, and Listing Rule 5810(c)(3)(A) provides that a failure to meet the minimum bid price requirement exists if the deficiency continues for a period of 30 consecutive business days. The Notice does not impact the listing of the Company’s common stock on The Nasdaq Global Select Market at this time. In accordance with Nasdaq Listing Rule 5810(c)(3)(A), the Company has 180 calendar days to regain compliance with the minimum bid price requirement. To regain compliance, the closing bid price of the Company’s common stock must be at least $1.00 per share for a minimum of ten consecutive business days before September 21, 2025. In the event that the Company does not regain compliance within this 180-day period, the Company may be eligible to transfer from the Nasdaq Global Select Market to the Nasdaq Capital Market and seek an additional compliance period of 180 calendar days if it meets the continued listing requirement for market value of publicly held shares and all other initial listing standards for The Nasdaq Capital Market, with the exception of the minimum bid price requirement, and provides written notice to Nasdaq of its intent to cure the deficiency during this second compliance period by effecting a reverse stock split if necessary. However, if it appears to the Nasdaq staff that the Company will not be able to cure the deficiency, or if the Company is otherwise not eligible, Nasdaq will provide notice to the Company that its common stock will be subject to delisting. The Company is actively monitoring the closing bid price of its common stock and evaluating available options to regain compliance with the minimum bid price requirement. There can be no assurance that the Company will regain compliance with Nasdaq’s minimum bid price requirements.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Between January 28, 2025 and February 28, 2025, Tilray issued an aggregate of 27,136,770 shares of the Company’s common stock in exchange for $26.6 million aggregate principal amount of the Company’s 5.20% Convertible Senior Notes due June 1, 2027 (the “Exchange Transactions”). The shares of Common Stock issued in the Exchange Transactions were issued without registration under the Securities Act, as amended, in reliance on the exemption provided by Section 3(a)(9) of the Securities Act as securities exchanged by the Company with an existing security holder where no commission or other remuneration was paid or given directly or indirectly for soliciting such exchange.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February 21, 2025, Aphria Diamond Inc. (the “Borrower”), a majority-owned subsidiary of Tilray, refinanced its existing term loan by entering into a new Credit Agreement (the “Credit Agreement”), by and among Tilray and certain other affiliates of the Borrower and Canadian Imperial Bank of Commerce, as Lender and Administrative Agent (the “Lender”). The Credit Agreement provides for term loans in an aggregate principal amount equal to CAD $53,000,000 (the “Term Loans”). The Borrower used CAD $48,171,221 of the proceeds from the Credit Agreement to repay in full all outstanding obligations under that certain Amended and Restated Credit Agreement, dated as of November 28, 2022, by and among the Borrower, Bank of Montreal, as agent, and a syndicate of lenders (the “Prior Credit Agreement”).</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March 25, 2025, the Company received written notice (the “Notice”) from the Nasdaq Listing Qualifications Department of the Nasdaq Stock Market, LLC (“Nasdaq”) notifying the Company that it is not in compliance with the minimum bid price requirement set forth in Nasdaq Listing Rule 5450(a)(1) for continued listing on The Nasdaq Global Select Market. Nasdaq Listing Rule 5450(a)(1) requires listed securities to maintain a minimum bid price of $1.00 per share, and Listing Rule 5810(c)(3)(A) provides that a failure to meet the minimum bid price requirement exists if the deficiency continues for a period of 30 consecutive business days. The Notice does not impact the listing of the Company’s common stock on The Nasdaq Global Select Market at this time. In accordance with Nasdaq Listing Rule 5810(c)(3)(A), the Company has 180 calendar days to regain compliance with the minimum bid price requirement. To regain compliance, the closing bid price of the Company’s common stock must be at least $1.00 per share for a minimum of ten consecutive business days before September 21, 2025. The Company is actively monitoring the closing bid price of its common stock and evaluating available options to regain compliance with the minimum bid price requirement.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3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Credit Agreement, dated February 21, 2025, by and among Aphria Diamond Inc., Canadian Imperial Bank of Commerce and the other parties</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thereto (incorporated by reference to Exhibit 10.1 to the Current Report on Form 8-K filed with the U.S. Securities and Exchange Commission</w:t>
            </w:r>
          </w:p>
        </w:tc>
      </w:tr>
      <w:tr>
        <w:trPr>
          <w:trHeight w:val="234"/>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on February 26, 2025).</w:t>
            </w: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6000" w:type="dxa"/>
            <w:vAlign w:val="bottom"/>
            <w:gridSpan w:val="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6020" w:type="dxa"/>
            <w:vAlign w:val="bottom"/>
            <w:gridSpan w:val="3"/>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3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9420" w:type="dxa"/>
            <w:vAlign w:val="bottom"/>
            <w:gridSpan w:val="3"/>
          </w:tcPr>
          <w:p>
            <w:pPr>
              <w:jc w:val="right"/>
              <w:ind w:right="550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7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February 28, 2025, formatted in</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 Consolidated Statements of Financial Position, (ii) Consolidated Statements of Loss and Comprehensive Loss , (iii)</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(iv) Consolidated Statements of Cash Flows, and (v) Notes to Condensed Interim</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Financial Statements, tagged as blocks of text and including detailed tags.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5540" w:right="5280" w:hanging="5532"/>
        <w:spacing w:after="0" w:line="511" w:lineRule="auto"/>
        <w:tabs>
          <w:tab w:leader="none" w:pos="50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25"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April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7"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April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Carl Merton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57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Irwin D. Simon, certify that:</w:t>
      </w:r>
    </w:p>
    <w:p>
      <w:pPr>
        <w:spacing w:after="0" w:line="225"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April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Merton, certify that:</w:t>
      </w:r>
    </w:p>
    <w:p>
      <w:pPr>
        <w:spacing w:after="0" w:line="225"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April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February 28,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April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February 28,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April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upperLetter"/>
      <w:start w:val="29"/>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upperLetter"/>
      <w:start w:val="35"/>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2025-04-08T16:09:22Z</dcterms:created>
  <dcterms:modified xsi:type="dcterms:W3CDTF">2025-04-08T16:09:22Z</dcterms:modified>
</cp:coreProperties>
</file>