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Hopkinson David G.</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TILRAY BRANDS,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265 TALBOT STREET WEST</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LEAMINGTON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ON</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N8H 4H3</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 xml:space="preserve">CANADA (FEDERAL LEVEL) </w:t>
                  </w:r>
                </w:p>
              </w:tc>
            </w:tr>
          </w:tbl>
          <w:p>
            <w:pPr>
              <w:pStyle w:val="HorizontalLine"/>
              <w:pBdr>
                <w:bottom w:val="double" w:sz="2" w:space="0" w:color="808080"/>
              </w:pBdr>
              <w:bidi w:val="0"/>
              <w:spacing w:before="0" w:after="283"/>
              <w:jc w:val="left"/>
              <w:rPr/>
            </w:pPr>
            <w:r>
              <w:rPr/>
            </w:r>
          </w:p>
          <w:p>
            <w:pPr>
              <w:pStyle w:val="TableContents"/>
              <w:bidi w:val="0"/>
              <w:spacing w:before="0" w:after="283"/>
              <w:jc w:val="left"/>
              <w:rPr>
                <w:rFonts w:ascii="arial;helvetica;sans-serif" w:hAnsi="arial;helvetica;sans-serif"/>
                <w:sz w:val="20"/>
              </w:rPr>
            </w:pPr>
            <w:r>
              <w:rPr>
                <w:rFonts w:ascii="arial;helvetica;sans-serif" w:hAnsi="arial;helvetica;sans-serif"/>
                <w:sz w:val="20"/>
              </w:rPr>
              <w:t>(Country)</w:t>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Tilray Brands, Inc.</w:t>
              </w:r>
            </w:hyperlink>
            <w:r>
              <w:rPr/>
              <w:t xml:space="preserve"> [ </w:t>
            </w:r>
            <w:r>
              <w:rPr>
                <w:rFonts w:ascii="Times;serif" w:hAnsi="Times;serif"/>
                <w:color w:val="0000FF"/>
                <w:sz w:val="24"/>
                <w:shd w:fill="FFFFFF" w:val="clear"/>
              </w:rPr>
              <w:t>TLRY</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07/29/2026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89"/>
        <w:gridCol w:w="904"/>
        <w:gridCol w:w="773"/>
        <w:gridCol w:w="600"/>
        <w:gridCol w:w="349"/>
        <w:gridCol w:w="974"/>
        <w:gridCol w:w="456"/>
        <w:gridCol w:w="671"/>
        <w:gridCol w:w="1165"/>
        <w:gridCol w:w="999"/>
        <w:gridCol w:w="92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89"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01"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89"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7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7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89"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07/29/2026</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7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43,104</w:t>
            </w:r>
            <w:r>
              <w:rPr>
                <w:rFonts w:ascii="Times;serif" w:hAnsi="Times;serif"/>
                <w:color w:val="008000"/>
                <w:position w:val="7"/>
                <w:sz w:val="16"/>
                <w:sz w:val="20"/>
                <w:shd w:fill="FFFFFF" w:val="clear"/>
              </w:rPr>
              <w:t>(1)(2)</w:t>
            </w:r>
          </w:p>
        </w:tc>
        <w:tc>
          <w:tcPr>
            <w:tcW w:w="4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0.00</w:t>
            </w:r>
          </w:p>
        </w:tc>
        <w:tc>
          <w:tcPr>
            <w:tcW w:w="116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43,104</w:t>
            </w:r>
            <w:r>
              <w:rPr>
                <w:rFonts w:ascii="Times;serif" w:hAnsi="Times;serif"/>
                <w:color w:val="008000"/>
                <w:position w:val="7"/>
                <w:sz w:val="16"/>
                <w:sz w:val="20"/>
                <w:shd w:fill="FFFFFF" w:val="clear"/>
              </w:rPr>
              <w:t>(2)(3)</w:t>
            </w:r>
          </w:p>
        </w:tc>
        <w:tc>
          <w:tcPr>
            <w:tcW w:w="9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749"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711"/>
        <w:gridCol w:w="771"/>
        <w:gridCol w:w="906"/>
        <w:gridCol w:w="801"/>
        <w:gridCol w:w="891"/>
        <w:gridCol w:w="861"/>
        <w:gridCol w:w="801"/>
        <w:gridCol w:w="936"/>
        <w:gridCol w:w="831"/>
        <w:gridCol w:w="846"/>
      </w:tblGrid>
      <w:tr>
        <w:trPr>
          <w:tblHeader w:val="true"/>
        </w:trPr>
        <w:tc>
          <w:tcPr>
            <w:tcW w:w="1274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48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7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77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6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07/29/2026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43,104</w:t>
            </w:r>
            <w:r>
              <w:rPr>
                <w:rFonts w:ascii="Times;serif" w:hAnsi="Times;serif"/>
                <w:color w:val="008000"/>
                <w:position w:val="7"/>
                <w:sz w:val="16"/>
                <w:sz w:val="20"/>
                <w:shd w:fill="FFFFFF" w:val="clear"/>
              </w:rPr>
              <w:t>(2)</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43,104</w:t>
            </w:r>
            <w:r>
              <w:rPr>
                <w:rFonts w:ascii="Times;serif" w:hAnsi="Times;serif"/>
                <w:color w:val="008000"/>
                <w:position w:val="7"/>
                <w:sz w:val="16"/>
                <w:sz w:val="20"/>
                <w:shd w:fill="FFFFFF" w:val="clear"/>
              </w:rPr>
              <w:t>(2)</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0.00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07/30/2026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62,657</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62,657</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0.00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62,657</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On July 29, 2026, a total of 43,104 restricted stock units ("RSUs") vested. Each RSU represents a contingent right to receive one (1) share of Tilray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Effective December 2, 2025, Tilray implemented a 1-for-10 reverse stock split (the "Reverse Stock Split") of its outstanding shares of Common Stock. All RSUs and listed securities amounts have been adjusted to reflect the Reverse Stock Split.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Amount includes shares of Common Stock beneficially owned by the reporting person, but excludes other unvested RSUs.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Each restricted stock unit represents a contingent right to receive one (1) share of Tilray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Subject to the reporting person's continuous service, the restricted stock units shall vest one year from the date of grant, with accelerated vesting solely upon death or disability prior to such date. In the event of a voluntary resignation by the reporting person prior to the vesting date, all restricted stock units will be forfeited.</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Carl A. Merton, as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07/30/2026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860606" TargetMode="External"/><Relationship Id="rId5" Type="http://schemas.openxmlformats.org/officeDocument/2006/relationships/hyperlink" Target="http://www.sec.gov/cgi-bin/browse-edgar?action=getcompany&amp;CIK=0001731348"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760</Words>
  <Characters>4093</Characters>
  <CharactersWithSpaces>4757</CharactersWithSpaces>
  <Paragraphs>125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