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April 21, 2025</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Tilray Brands,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rFonts w:ascii="Times New Roman" w:hAnsi="Times New Roman"/>
          <w:sz w:val="20"/>
        </w:rPr>
      </w:pPr>
      <w:r>
        <w:rPr>
          <w:rFonts w:ascii="Times New Roman" w:hAnsi="Times New Roman"/>
          <w:sz w:val="20"/>
        </w:rPr>
      </w:r>
    </w:p>
    <w:tbl>
      <w:tblPr>
        <w:tblW w:w="9030" w:type="dxa"/>
        <w:jc w:val="left"/>
        <w:tblInd w:w="0" w:type="dxa"/>
        <w:tblLayout w:type="fixed"/>
        <w:tblCellMar>
          <w:top w:w="0" w:type="dxa"/>
          <w:left w:w="0" w:type="dxa"/>
          <w:bottom w:w="0" w:type="dxa"/>
          <w:right w:w="0" w:type="dxa"/>
        </w:tblCellMar>
      </w:tblPr>
      <w:tblGrid>
        <w:gridCol w:w="3860"/>
        <w:gridCol w:w="2300"/>
        <w:gridCol w:w="2870"/>
      </w:tblGrid>
      <w:tr>
        <w:trPr/>
        <w:tc>
          <w:tcPr>
            <w:tcW w:w="38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001-38594</w:t>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82-4310622</w:t>
            </w:r>
          </w:p>
        </w:tc>
      </w:tr>
      <w:tr>
        <w:trPr/>
        <w:tc>
          <w:tcPr>
            <w:tcW w:w="38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(Commission File Number)</w:t>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345" w:type="dxa"/>
        <w:jc w:val="left"/>
        <w:tblInd w:w="0" w:type="dxa"/>
        <w:tblLayout w:type="fixed"/>
        <w:tblCellMar>
          <w:top w:w="0" w:type="dxa"/>
          <w:left w:w="0" w:type="dxa"/>
          <w:bottom w:w="0" w:type="dxa"/>
          <w:right w:w="0" w:type="dxa"/>
        </w:tblCellMar>
      </w:tblPr>
      <w:tblGrid>
        <w:gridCol w:w="3365"/>
        <w:gridCol w:w="60"/>
        <w:gridCol w:w="920"/>
      </w:tblGrid>
      <w:tr>
        <w:trPr/>
        <w:tc>
          <w:tcPr>
            <w:tcW w:w="33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265 Talbot Street West,</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Leamington, ON</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N8H 5L4</w:t>
            </w:r>
          </w:p>
        </w:tc>
      </w:tr>
      <w:tr>
        <w:trPr/>
        <w:tc>
          <w:tcPr>
            <w:tcW w:w="33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Registrant’s Telephone Number, Including Area Code: </w:t>
      </w:r>
      <w:r>
        <w:rPr>
          <w:rFonts w:ascii="Times New Roman" w:hAnsi="Times New Roman"/>
          <w:b/>
          <w:color w:val="000000"/>
          <w:sz w:val="20"/>
          <w:shd w:fill="FFFFFF" w:val="clear"/>
        </w:rPr>
        <w:t>(844) 845-7291</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7530" w:type="dxa"/>
        <w:jc w:val="left"/>
        <w:tblInd w:w="0" w:type="dxa"/>
        <w:tblLayout w:type="fixed"/>
        <w:tblCellMar>
          <w:top w:w="0" w:type="dxa"/>
          <w:left w:w="0" w:type="dxa"/>
          <w:bottom w:w="0" w:type="dxa"/>
          <w:right w:w="0" w:type="dxa"/>
        </w:tblCellMar>
      </w:tblPr>
      <w:tblGrid>
        <w:gridCol w:w="3785"/>
        <w:gridCol w:w="860"/>
        <w:gridCol w:w="2885"/>
      </w:tblGrid>
      <w:tr>
        <w:trPr/>
        <w:tc>
          <w:tcPr>
            <w:tcW w:w="378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8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288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registered</w:t>
            </w:r>
          </w:p>
        </w:tc>
      </w:tr>
      <w:tr>
        <w:trPr/>
        <w:tc>
          <w:tcPr>
            <w:tcW w:w="378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$0.0001 par value per share</w:t>
            </w:r>
          </w:p>
        </w:tc>
        <w:tc>
          <w:tcPr>
            <w:tcW w:w="860"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TLRY</w:t>
            </w:r>
          </w:p>
        </w:tc>
        <w:tc>
          <w:tcPr>
            <w:tcW w:w="288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The Nasdaq Global Select Market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13(a) of the Exchange Act.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tbl>
      <w:tblPr>
        <w:tblW w:w="4180" w:type="dxa"/>
        <w:jc w:val="left"/>
        <w:tblInd w:w="0" w:type="dxa"/>
        <w:tblLayout w:type="fixed"/>
        <w:tblCellMar>
          <w:top w:w="0" w:type="dxa"/>
          <w:left w:w="0" w:type="dxa"/>
          <w:bottom w:w="0" w:type="dxa"/>
          <w:right w:w="0" w:type="dxa"/>
        </w:tblCellMar>
      </w:tblPr>
      <w:tblGrid>
        <w:gridCol w:w="830"/>
        <w:gridCol w:w="335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3.02</w:t>
            </w:r>
          </w:p>
        </w:tc>
        <w:tc>
          <w:tcPr>
            <w:tcW w:w="335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Unregistered Sales of Equity Securities.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Between April 9, 2025 and April 21, 2025, Tilray Brands, Inc. (the “Company”) entered into certain private debt-for-equity exchange transactions (the “Exchange Transactions”) with unrelated parties.  Pursuant to the Exchange Transactions, the Company issued an aggregate of 19,034,603 shares of the Company’s common stock, par value $0.0001 per share (“Common Stock”), in exchange for $9.4 million aggregate principal amount of the Company’s 5.20% Convertible Senior Notes due June 1, 2027.</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shares of Common Stock issued in the Exchange Transactions were issued without registration under the Securities Act of 1933, as amended (the “Securities Act”), in reliance on the exemption provided by Section 3(a)(9) of the Securities Act as securities exchanged by the Company with an existing security holder where no commission or other remuneration was paid or given directly or indirectly for soliciting such exchange.</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4240" w:type="dxa"/>
        <w:jc w:val="left"/>
        <w:tblInd w:w="0" w:type="dxa"/>
        <w:tblLayout w:type="fixed"/>
        <w:tblCellMar>
          <w:top w:w="0" w:type="dxa"/>
          <w:left w:w="0" w:type="dxa"/>
          <w:bottom w:w="0" w:type="dxa"/>
          <w:right w:w="0" w:type="dxa"/>
        </w:tblCellMar>
      </w:tblPr>
      <w:tblGrid>
        <w:gridCol w:w="1760"/>
        <w:gridCol w:w="2480"/>
      </w:tblGrid>
      <w:tr>
        <w:trPr/>
        <w:tc>
          <w:tcPr>
            <w:tcW w:w="17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Tilray Brands, Inc.</w:t>
            </w:r>
          </w:p>
        </w:tc>
      </w:tr>
      <w:tr>
        <w:trPr/>
        <w:tc>
          <w:tcPr>
            <w:tcW w:w="1760" w:type="dxa"/>
            <w:tcBorders/>
            <w:vAlign w:val="center"/>
          </w:tcPr>
          <w:p>
            <w:pPr>
              <w:pStyle w:val="TableContents"/>
              <w:bidi w:val="0"/>
              <w:spacing w:before="0" w:after="0"/>
              <w:jc w:val="left"/>
              <w:rPr>
                <w:color w:val="000000"/>
              </w:rPr>
            </w:pPr>
            <w:r>
              <w:rPr>
                <w:color w:val="000000"/>
              </w:rPr>
              <w:t> </w:t>
            </w:r>
            <w:r>
              <w:rPr>
                <w:rFonts w:ascii="Times New Roman" w:hAnsi="Times New Roman"/>
                <w:color w:val="000000"/>
                <w:sz w:val="20"/>
              </w:rPr>
              <w:t>Date: April 25, 2025</w:t>
            </w:r>
          </w:p>
        </w:tc>
        <w:tc>
          <w:tcPr>
            <w:tcW w:w="248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By: </w:t>
            </w:r>
            <w:r>
              <w:rPr>
                <w:rFonts w:ascii="Times New Roman" w:hAnsi="Times New Roman"/>
                <w:color w:val="000000"/>
                <w:sz w:val="20"/>
                <w:u w:val="single"/>
              </w:rPr>
              <w:t>/s/ Mitchell Gendel</w:t>
            </w:r>
          </w:p>
        </w:tc>
      </w:tr>
      <w:tr>
        <w:trPr/>
        <w:tc>
          <w:tcPr>
            <w:tcW w:w="17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 Mitchell Gendel</w:t>
            </w:r>
          </w:p>
        </w:tc>
      </w:tr>
      <w:tr>
        <w:trPr/>
        <w:tc>
          <w:tcPr>
            <w:tcW w:w="17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 Global General Counsel</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498</Words>
  <Characters>2769</Characters>
  <CharactersWithSpaces>3222</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