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2026</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394" w:right="499" w:bottom="1440" w:gutter="0" w:footer="0" w:header="0"/>
        </w:sectPr>
      </w:pPr>
    </w:p>
    <w:p>
      <w:pPr>
        <w:spacing w:after="0" w:line="228"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000"/>
          </w:cols>
          <w:pgMar w:left="320" w:top="394" w:right="499" w:bottom="1440" w:gutter="0" w:footer="0" w:header="0"/>
          <w:type w:val="continuous"/>
        </w:sectPr>
      </w:pPr>
    </w:p>
    <w:p>
      <w:pPr>
        <w:spacing w:after="0" w:line="30"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Leamington, 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N8H 4H3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000"/>
          </w:cols>
          <w:pgMar w:left="320" w:top="394"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3"/>
        </w:trPr>
        <w:tc>
          <w:tcPr>
            <w:tcW w:w="4700" w:type="dxa"/>
            <w:vAlign w:val="bottom"/>
          </w:tcPr>
          <w:p>
            <w:pPr>
              <w:spacing w:after="0"/>
              <w:rPr>
                <w:sz w:val="24"/>
                <w:szCs w:val="24"/>
                <w:color w:val="auto"/>
              </w:rPr>
            </w:pPr>
          </w:p>
        </w:tc>
        <w:tc>
          <w:tcPr>
            <w:tcW w:w="23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0"/>
        </w:trPr>
        <w:tc>
          <w:tcPr>
            <w:tcW w:w="47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38"/>
        </w:trPr>
        <w:tc>
          <w:tcPr>
            <w:tcW w:w="47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3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TLRY</w:t>
            </w:r>
          </w:p>
        </w:tc>
        <w:tc>
          <w:tcPr>
            <w:tcW w:w="36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9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firstLine="646"/>
        <w:spacing w:after="0" w:line="261" w:lineRule="auto"/>
        <w:rPr>
          <w:sz w:val="20"/>
          <w:szCs w:val="20"/>
          <w:color w:val="auto"/>
        </w:rPr>
      </w:pPr>
      <w:r>
        <w:rPr>
          <w:rFonts w:ascii="Times New Roman" w:cs="Times New Roman" w:eastAsia="Times New Roman" w:hAnsi="Times New Roman"/>
          <w:sz w:val="18"/>
          <w:szCs w:val="18"/>
          <w:color w:val="auto"/>
        </w:rPr>
        <w:t>Between June 15, 2026 and June 24, 2026, Tilray Brands, Inc. (the “Company”) entered into certain private debt-for-equity exchange transactions (the “Exchange Transactions”) with unrelated parties. Pursuant to the Exchange Transactions, the Company issued an aggregate of 2,638,341 shares of the Company’s common stock, par value $0.0001 per share (“Common Stock”), in exchange for $12 million aggregate principal amount of the Company’s 5.20% Convertible Senior Notes due June 15, 2027.</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in the Exchange Transactions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Mitchell Gendel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2026-06-30T17:03:18Z</dcterms:created>
  <dcterms:modified xsi:type="dcterms:W3CDTF">2026-06-30T17:03:18Z</dcterms:modified>
</cp:coreProperties>
</file>